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ind w:left="200"/>
        <w:spacing w:after="0" w:line="237" w:lineRule="auto"/>
        <w:rPr>
          <w:sz w:val="20"/>
          <w:szCs w:val="20"/>
          <w:color w:val="auto"/>
        </w:rPr>
      </w:pPr>
      <w:r>
        <w:rPr>
          <w:rFonts w:ascii="Times New Roman" w:cs="Times New Roman" w:eastAsia="Times New Roman" w:hAnsi="Times New Roman"/>
          <w:sz w:val="13"/>
          <w:szCs w:val="13"/>
          <w:b w:val="1"/>
          <w:bCs w:val="1"/>
          <w:color w:val="auto"/>
        </w:rPr>
        <w:t>(Mark One)</w:t>
      </w:r>
    </w:p>
    <w:p>
      <w:pPr>
        <w:ind w:left="1060" w:hanging="620"/>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w:t>
      </w:r>
    </w:p>
    <w:p>
      <w:pPr>
        <w:spacing w:after="0" w:line="1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ACT OF 1934</w:t>
      </w:r>
    </w:p>
    <w:p>
      <w:pPr>
        <w:jc w:val="center"/>
        <w:spacing w:after="0" w:line="221" w:lineRule="auto"/>
        <w:rPr>
          <w:sz w:val="20"/>
          <w:szCs w:val="20"/>
          <w:color w:val="auto"/>
        </w:rPr>
      </w:pPr>
      <w:r>
        <w:rPr>
          <w:rFonts w:ascii="Times New Roman" w:cs="Times New Roman" w:eastAsia="Times New Roman" w:hAnsi="Times New Roman"/>
          <w:sz w:val="13"/>
          <w:szCs w:val="13"/>
          <w:b w:val="1"/>
          <w:bCs w:val="1"/>
          <w:color w:val="auto"/>
        </w:rPr>
        <w:t>For the Fiscal Year Ended December 27, 2024.</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Or</w:t>
      </w:r>
    </w:p>
    <w:p>
      <w:pPr>
        <w:ind w:left="1060" w:hanging="620"/>
        <w:spacing w:after="0"/>
        <w:tabs>
          <w:tab w:leader="none" w:pos="10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w:t>
      </w:r>
    </w:p>
    <w:p>
      <w:pPr>
        <w:spacing w:after="0" w:line="1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3"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w:t>
            </w:r>
          </w:p>
        </w:tc>
        <w:tc>
          <w:tcPr>
            <w:tcW w:w="2880" w:type="dxa"/>
            <w:vAlign w:val="bottom"/>
          </w:tcPr>
          <w:p>
            <w:pPr>
              <w:jc w:val="right"/>
              <w:ind w:right="275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3260" w:type="dxa"/>
            <w:vAlign w:val="bottom"/>
            <w:gridSpan w:val="2"/>
          </w:tcPr>
          <w:p>
            <w:pPr>
              <w:jc w:val="center"/>
              <w:ind w:left="26"/>
              <w:spacing w:after="0" w:line="146" w:lineRule="exact"/>
              <w:rPr>
                <w:sz w:val="20"/>
                <w:szCs w:val="20"/>
                <w:color w:val="auto"/>
              </w:rPr>
            </w:pPr>
            <w:r>
              <w:rPr>
                <w:rFonts w:ascii="Times New Roman" w:cs="Times New Roman" w:eastAsia="Times New Roman" w:hAnsi="Times New Roman"/>
                <w:sz w:val="14"/>
                <w:szCs w:val="14"/>
                <w:b w:val="1"/>
                <w:bCs w:val="1"/>
                <w:color w:val="auto"/>
              </w:rPr>
              <w:t>Commission File Number 001-33076</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760" w:type="dxa"/>
            <w:vAlign w:val="bottom"/>
          </w:tcPr>
          <w:p>
            <w:pPr>
              <w:spacing w:after="0"/>
              <w:rPr>
                <w:sz w:val="24"/>
                <w:szCs w:val="24"/>
                <w:color w:val="auto"/>
              </w:rPr>
            </w:pPr>
          </w:p>
        </w:tc>
        <w:tc>
          <w:tcPr>
            <w:tcW w:w="3260" w:type="dxa"/>
            <w:vAlign w:val="bottom"/>
            <w:gridSpan w:val="2"/>
          </w:tcPr>
          <w:p>
            <w:pPr>
              <w:jc w:val="center"/>
              <w:ind w:left="26"/>
              <w:spacing w:after="0"/>
              <w:rPr>
                <w:sz w:val="20"/>
                <w:szCs w:val="20"/>
                <w:color w:val="auto"/>
              </w:rPr>
            </w:pPr>
            <w:r>
              <w:rPr>
                <w:rFonts w:ascii="Times New Roman" w:cs="Times New Roman" w:eastAsia="Times New Roman" w:hAnsi="Times New Roman"/>
                <w:sz w:val="25"/>
                <w:szCs w:val="25"/>
                <w:b w:val="1"/>
                <w:bCs w:val="1"/>
                <w:color w:val="auto"/>
              </w:rPr>
              <w:t>WILLDAN GROUP, INC.</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760" w:type="dxa"/>
            <w:vAlign w:val="bottom"/>
            <w:vMerge w:val="restart"/>
          </w:tcPr>
          <w:p>
            <w:pPr>
              <w:ind w:left="196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26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880" w:type="dxa"/>
            <w:vAlign w:val="bottom"/>
            <w:vMerge w:val="restart"/>
          </w:tcPr>
          <w:p>
            <w:pPr>
              <w:jc w:val="center"/>
              <w:ind w:right="1518"/>
              <w:spacing w:after="0"/>
              <w:rPr>
                <w:sz w:val="20"/>
                <w:szCs w:val="20"/>
                <w:color w:val="auto"/>
              </w:rPr>
            </w:pPr>
            <w:r>
              <w:rPr>
                <w:rFonts w:ascii="Times New Roman" w:cs="Times New Roman" w:eastAsia="Times New Roman" w:hAnsi="Times New Roman"/>
                <w:sz w:val="13"/>
                <w:szCs w:val="13"/>
                <w:b w:val="1"/>
                <w:bCs w:val="1"/>
                <w:color w:val="auto"/>
                <w:w w:val="92"/>
              </w:rPr>
              <w:t>14-1951112</w:t>
            </w:r>
          </w:p>
        </w:tc>
        <w:tc>
          <w:tcPr>
            <w:tcW w:w="0" w:type="dxa"/>
            <w:vAlign w:val="bottom"/>
          </w:tcPr>
          <w:p>
            <w:pPr>
              <w:spacing w:after="0"/>
              <w:rPr>
                <w:sz w:val="1"/>
                <w:szCs w:val="1"/>
                <w:color w:val="auto"/>
              </w:rPr>
            </w:pPr>
          </w:p>
        </w:tc>
      </w:tr>
      <w:tr>
        <w:trPr>
          <w:trHeight w:val="100"/>
        </w:trPr>
        <w:tc>
          <w:tcPr>
            <w:tcW w:w="276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060" w:type="dxa"/>
            <w:vAlign w:val="bottom"/>
            <w:gridSpan w:val="2"/>
          </w:tcPr>
          <w:p>
            <w:pPr>
              <w:jc w:val="center"/>
              <w:ind w:right="366"/>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960" w:type="dxa"/>
            <w:vAlign w:val="bottom"/>
          </w:tcPr>
          <w:p>
            <w:pPr>
              <w:spacing w:after="0"/>
              <w:rPr>
                <w:sz w:val="11"/>
                <w:szCs w:val="11"/>
                <w:color w:val="auto"/>
              </w:rPr>
            </w:pPr>
          </w:p>
        </w:tc>
        <w:tc>
          <w:tcPr>
            <w:tcW w:w="2880" w:type="dxa"/>
            <w:vAlign w:val="bottom"/>
          </w:tcPr>
          <w:p>
            <w:pPr>
              <w:jc w:val="center"/>
              <w:ind w:right="1518"/>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5060" w:type="dxa"/>
            <w:vAlign w:val="bottom"/>
            <w:gridSpan w:val="2"/>
          </w:tcPr>
          <w:p>
            <w:pPr>
              <w:jc w:val="center"/>
              <w:ind w:right="34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960" w:type="dxa"/>
            <w:vAlign w:val="bottom"/>
          </w:tcPr>
          <w:p>
            <w:pPr>
              <w:spacing w:after="0"/>
              <w:rPr>
                <w:sz w:val="14"/>
                <w:szCs w:val="14"/>
                <w:color w:val="auto"/>
              </w:rPr>
            </w:pPr>
          </w:p>
        </w:tc>
        <w:tc>
          <w:tcPr>
            <w:tcW w:w="2880" w:type="dxa"/>
            <w:vAlign w:val="bottom"/>
          </w:tcPr>
          <w:p>
            <w:pPr>
              <w:jc w:val="center"/>
              <w:ind w:right="1518"/>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182"/>
        </w:trPr>
        <w:tc>
          <w:tcPr>
            <w:tcW w:w="8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2401 East Katella Avenue, Suite 300, Anaheim, California 92806</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3260" w:type="dxa"/>
            <w:vAlign w:val="bottom"/>
            <w:gridSpan w:val="2"/>
          </w:tcPr>
          <w:p>
            <w:pPr>
              <w:jc w:val="center"/>
              <w:ind w:left="2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2300" w:type="dxa"/>
            <w:vAlign w:val="bottom"/>
          </w:tcPr>
          <w:p>
            <w:pPr>
              <w:jc w:val="center"/>
              <w:ind w:left="1006"/>
              <w:spacing w:after="0" w:line="151" w:lineRule="exact"/>
              <w:rPr>
                <w:sz w:val="20"/>
                <w:szCs w:val="20"/>
                <w:color w:val="auto"/>
              </w:rPr>
            </w:pPr>
            <w:r>
              <w:rPr>
                <w:rFonts w:ascii="Times New Roman" w:cs="Times New Roman" w:eastAsia="Times New Roman" w:hAnsi="Times New Roman"/>
                <w:sz w:val="14"/>
                <w:szCs w:val="14"/>
                <w:b w:val="1"/>
                <w:bCs w:val="1"/>
                <w:color w:val="auto"/>
              </w:rPr>
              <w:t>(800) 424-9144</w:t>
            </w:r>
          </w:p>
        </w:tc>
        <w:tc>
          <w:tcPr>
            <w:tcW w:w="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3260" w:type="dxa"/>
            <w:vAlign w:val="bottom"/>
            <w:gridSpan w:val="2"/>
          </w:tcPr>
          <w:p>
            <w:pPr>
              <w:jc w:val="center"/>
              <w:ind w:left="26"/>
              <w:spacing w:after="0" w:line="149"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60" w:type="dxa"/>
            <w:vAlign w:val="bottom"/>
            <w:gridSpan w:val="2"/>
          </w:tcPr>
          <w:p>
            <w:pPr>
              <w:jc w:val="center"/>
              <w:ind w:right="1686"/>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jc w:val="center"/>
              <w:ind w:left="475"/>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300" w:type="dxa"/>
            <w:vAlign w:val="bottom"/>
          </w:tcPr>
          <w:p>
            <w:pPr>
              <w:jc w:val="center"/>
              <w:ind w:left="826"/>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960" w:type="dxa"/>
            <w:vAlign w:val="bottom"/>
          </w:tcPr>
          <w:p>
            <w:pPr>
              <w:spacing w:after="0"/>
              <w:rPr>
                <w:sz w:val="15"/>
                <w:szCs w:val="15"/>
                <w:color w:val="auto"/>
              </w:rPr>
            </w:pPr>
          </w:p>
        </w:tc>
        <w:tc>
          <w:tcPr>
            <w:tcW w:w="2880" w:type="dxa"/>
            <w:vAlign w:val="bottom"/>
          </w:tcPr>
          <w:p>
            <w:pPr>
              <w:jc w:val="center"/>
              <w:ind w:right="538"/>
              <w:spacing w:after="0"/>
              <w:rPr>
                <w:sz w:val="20"/>
                <w:szCs w:val="20"/>
                <w:color w:val="auto"/>
              </w:rPr>
            </w:pPr>
            <w:r>
              <w:rPr>
                <w:rFonts w:ascii="Times New Roman" w:cs="Times New Roman" w:eastAsia="Times New Roman" w:hAnsi="Times New Roman"/>
                <w:sz w:val="13"/>
                <w:szCs w:val="13"/>
                <w:b w:val="1"/>
                <w:bCs w:val="1"/>
                <w:color w:val="auto"/>
                <w:w w:val="96"/>
              </w:rPr>
              <w:t>Name of Exchange</w:t>
            </w:r>
          </w:p>
        </w:tc>
        <w:tc>
          <w:tcPr>
            <w:tcW w:w="0" w:type="dxa"/>
            <w:vAlign w:val="bottom"/>
          </w:tcPr>
          <w:p>
            <w:pPr>
              <w:spacing w:after="0"/>
              <w:rPr>
                <w:sz w:val="1"/>
                <w:szCs w:val="1"/>
                <w:color w:val="auto"/>
              </w:rPr>
            </w:pPr>
          </w:p>
        </w:tc>
      </w:tr>
      <w:tr>
        <w:trPr>
          <w:trHeight w:val="29"/>
        </w:trPr>
        <w:tc>
          <w:tcPr>
            <w:tcW w:w="2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2760" w:type="dxa"/>
            <w:vAlign w:val="bottom"/>
          </w:tcPr>
          <w:p>
            <w:pPr>
              <w:jc w:val="center"/>
              <w:ind w:left="455"/>
              <w:spacing w:after="0" w:line="110" w:lineRule="exact"/>
              <w:rPr>
                <w:sz w:val="20"/>
                <w:szCs w:val="20"/>
                <w:color w:val="auto"/>
              </w:rPr>
            </w:pPr>
            <w:r>
              <w:rPr>
                <w:rFonts w:ascii="Times New Roman" w:cs="Times New Roman" w:eastAsia="Times New Roman" w:hAnsi="Times New Roman"/>
                <w:sz w:val="12"/>
                <w:szCs w:val="12"/>
                <w:color w:val="auto"/>
              </w:rPr>
              <w:t>Common Stock, par value $0.01 per share</w:t>
            </w:r>
          </w:p>
        </w:tc>
        <w:tc>
          <w:tcPr>
            <w:tcW w:w="2300" w:type="dxa"/>
            <w:vAlign w:val="bottom"/>
          </w:tcPr>
          <w:p>
            <w:pPr>
              <w:jc w:val="center"/>
              <w:ind w:left="806"/>
              <w:spacing w:after="0" w:line="110" w:lineRule="exact"/>
              <w:rPr>
                <w:sz w:val="20"/>
                <w:szCs w:val="20"/>
                <w:color w:val="auto"/>
              </w:rPr>
            </w:pPr>
            <w:r>
              <w:rPr>
                <w:rFonts w:ascii="Times New Roman" w:cs="Times New Roman" w:eastAsia="Times New Roman" w:hAnsi="Times New Roman"/>
                <w:sz w:val="12"/>
                <w:szCs w:val="12"/>
                <w:color w:val="auto"/>
              </w:rPr>
              <w:t>WLDN</w:t>
            </w:r>
          </w:p>
        </w:tc>
        <w:tc>
          <w:tcPr>
            <w:tcW w:w="960" w:type="dxa"/>
            <w:vAlign w:val="bottom"/>
          </w:tcPr>
          <w:p>
            <w:pPr>
              <w:spacing w:after="0"/>
              <w:rPr>
                <w:sz w:val="9"/>
                <w:szCs w:val="9"/>
                <w:color w:val="auto"/>
              </w:rPr>
            </w:pPr>
          </w:p>
        </w:tc>
        <w:tc>
          <w:tcPr>
            <w:tcW w:w="2880" w:type="dxa"/>
            <w:vAlign w:val="bottom"/>
          </w:tcPr>
          <w:p>
            <w:pPr>
              <w:jc w:val="center"/>
              <w:ind w:right="538"/>
              <w:spacing w:after="0" w:line="110" w:lineRule="exact"/>
              <w:rPr>
                <w:sz w:val="20"/>
                <w:szCs w:val="20"/>
                <w:color w:val="auto"/>
              </w:rPr>
            </w:pPr>
            <w:r>
              <w:rPr>
                <w:rFonts w:ascii="Times New Roman" w:cs="Times New Roman" w:eastAsia="Times New Roman" w:hAnsi="Times New Roman"/>
                <w:sz w:val="12"/>
                <w:szCs w:val="12"/>
                <w:color w:val="auto"/>
              </w:rPr>
              <w:t>The Nasdaq Stock Market LLC</w:t>
            </w:r>
          </w:p>
        </w:tc>
        <w:tc>
          <w:tcPr>
            <w:tcW w:w="0" w:type="dxa"/>
            <w:vAlign w:val="bottom"/>
          </w:tcPr>
          <w:p>
            <w:pPr>
              <w:spacing w:after="0"/>
              <w:rPr>
                <w:sz w:val="1"/>
                <w:szCs w:val="1"/>
                <w:color w:val="auto"/>
              </w:rPr>
            </w:pPr>
          </w:p>
        </w:tc>
      </w:tr>
      <w:tr>
        <w:trPr>
          <w:trHeight w:val="164"/>
        </w:trPr>
        <w:tc>
          <w:tcPr>
            <w:tcW w:w="2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jc w:val="center"/>
              <w:ind w:right="538"/>
              <w:spacing w:after="0"/>
              <w:rPr>
                <w:sz w:val="20"/>
                <w:szCs w:val="20"/>
                <w:color w:val="auto"/>
              </w:rPr>
            </w:pPr>
            <w:r>
              <w:rPr>
                <w:rFonts w:ascii="Times New Roman" w:cs="Times New Roman" w:eastAsia="Times New Roman" w:hAnsi="Times New Roman"/>
                <w:sz w:val="13"/>
                <w:szCs w:val="13"/>
                <w:color w:val="auto"/>
                <w:w w:val="97"/>
              </w:rPr>
              <w:t>(Nasdaq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66" w:lineRule="exact"/>
        <w:rPr>
          <w:sz w:val="24"/>
          <w:szCs w:val="24"/>
          <w:color w:val="auto"/>
        </w:rPr>
      </w:pPr>
    </w:p>
    <w:p>
      <w:pPr>
        <w:ind w:left="60"/>
        <w:spacing w:after="0" w:line="188" w:lineRule="exact"/>
        <w:tabs>
          <w:tab w:leader="none" w:pos="74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left="80" w:right="459" w:hanging="35"/>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Securities Exchange Act of 1934.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8" w:lineRule="exact"/>
        <w:rPr>
          <w:sz w:val="24"/>
          <w:szCs w:val="24"/>
          <w:color w:val="auto"/>
        </w:rPr>
      </w:pPr>
    </w:p>
    <w:p>
      <w:pPr>
        <w:ind w:left="60" w:right="1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left="60" w:right="2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left="60" w:right="9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4" w:lineRule="exact"/>
        <w:rPr>
          <w:sz w:val="24"/>
          <w:szCs w:val="24"/>
          <w:color w:val="auto"/>
        </w:rPr>
      </w:pPr>
    </w:p>
    <w:p>
      <w:pPr>
        <w:ind w:left="320"/>
        <w:spacing w:after="0" w:line="175" w:lineRule="exact"/>
        <w:tabs>
          <w:tab w:leader="none" w:pos="2120" w:val="left"/>
          <w:tab w:leader="none" w:pos="3500" w:val="left"/>
          <w:tab w:leader="none" w:pos="4980" w:val="left"/>
          <w:tab w:leader="none" w:pos="704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Arial Unicode MS" w:cs="Arial Unicode MS" w:eastAsia="Arial Unicode MS" w:hAnsi="Arial Unicode MS"/>
          <w:sz w:val="12"/>
          <w:szCs w:val="12"/>
          <w:color w:val="auto"/>
        </w:rPr>
        <w:t>☐</w:t>
      </w:r>
    </w:p>
    <w:p>
      <w:pPr>
        <w:spacing w:after="0" w:line="133" w:lineRule="exact"/>
        <w:rPr>
          <w:sz w:val="24"/>
          <w:szCs w:val="24"/>
          <w:color w:val="auto"/>
        </w:rPr>
      </w:pPr>
    </w:p>
    <w:p>
      <w:pPr>
        <w:ind w:left="60" w:right="7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left="60" w:right="4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prepared or issued its audit report.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left="60" w:right="23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left="60" w:right="7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left="60"/>
        <w:spacing w:after="0" w:line="188"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jc w:val="both"/>
        <w:ind w:left="60" w:right="119"/>
        <w:spacing w:after="0" w:line="22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as reported on the Nasdaq Global Market, as of the last business day of the registrant’s most recently completed second fiscal quarter was $285.3 million.</w:t>
      </w:r>
    </w:p>
    <w:p>
      <w:pPr>
        <w:spacing w:after="0" w:line="1" w:lineRule="exact"/>
        <w:rPr>
          <w:sz w:val="24"/>
          <w:szCs w:val="24"/>
          <w:color w:val="auto"/>
        </w:rPr>
      </w:pPr>
    </w:p>
    <w:p>
      <w:pPr>
        <w:jc w:val="right"/>
        <w:ind w:left="60" w:right="2859"/>
        <w:spacing w:after="0" w:line="291" w:lineRule="auto"/>
        <w:rPr>
          <w:sz w:val="20"/>
          <w:szCs w:val="20"/>
          <w:color w:val="auto"/>
        </w:rPr>
      </w:pPr>
      <w:r>
        <w:rPr>
          <w:rFonts w:ascii="Times New Roman" w:cs="Times New Roman" w:eastAsia="Times New Roman" w:hAnsi="Times New Roman"/>
          <w:sz w:val="14"/>
          <w:szCs w:val="14"/>
          <w:color w:val="auto"/>
        </w:rPr>
        <w:t xml:space="preserve">On March 5, 2025 there were 14,407,642 shares of the registrant’s common stock issued and outstanding. </w:t>
      </w:r>
      <w:r>
        <w:rPr>
          <w:rFonts w:ascii="Times New Roman" w:cs="Times New Roman" w:eastAsia="Times New Roman" w:hAnsi="Times New Roman"/>
          <w:sz w:val="14"/>
          <w:szCs w:val="14"/>
          <w:b w:val="1"/>
          <w:bCs w:val="1"/>
          <w:color w:val="auto"/>
        </w:rPr>
        <w:t>DOCUMENTS INCORPORATED BY REFERENCE</w:t>
      </w:r>
    </w:p>
    <w:p>
      <w:pPr>
        <w:spacing w:after="0" w:line="1" w:lineRule="exact"/>
        <w:rPr>
          <w:sz w:val="24"/>
          <w:szCs w:val="24"/>
          <w:color w:val="auto"/>
        </w:rPr>
      </w:pPr>
    </w:p>
    <w:p>
      <w:pPr>
        <w:ind w:left="60" w:right="419"/>
        <w:spacing w:after="0" w:line="248" w:lineRule="auto"/>
        <w:rPr>
          <w:sz w:val="20"/>
          <w:szCs w:val="20"/>
          <w:color w:val="auto"/>
        </w:rPr>
      </w:pPr>
      <w:r>
        <w:rPr>
          <w:rFonts w:ascii="Times New Roman" w:cs="Times New Roman" w:eastAsia="Times New Roman" w:hAnsi="Times New Roman"/>
          <w:sz w:val="14"/>
          <w:szCs w:val="14"/>
          <w:color w:val="auto"/>
        </w:rPr>
        <w:t>Designated portions of the Proxy Statement relating to registrant’s 2025 Annual Meeting of Stockholders, which will be filed with the Securities and Exchange Commission within 120 days after the end of fiscal year 2024, are incorporated by reference into Part III of this Report</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566420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43815</wp:posOffset>
            </wp:positionV>
            <wp:extent cx="5657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26670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3420" w:type="dxa"/>
            <w:vAlign w:val="bottom"/>
            <w:gridSpan w:val="15"/>
            <w:vMerge w:val="restart"/>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420" w:type="dxa"/>
            <w:vAlign w:val="bottom"/>
            <w:gridSpan w:val="15"/>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1.</w:t>
            </w:r>
          </w:p>
        </w:tc>
        <w:tc>
          <w:tcPr>
            <w:tcW w:w="320" w:type="dxa"/>
            <w:vAlign w:val="bottom"/>
            <w:gridSpan w:val="5"/>
          </w:tcPr>
          <w:p>
            <w:pPr>
              <w:spacing w:after="0"/>
              <w:rPr>
                <w:sz w:val="19"/>
                <w:szCs w:val="19"/>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w:t>
            </w:r>
          </w:p>
        </w:tc>
        <w:tc>
          <w:tcPr>
            <w:tcW w:w="160" w:type="dxa"/>
            <w:vAlign w:val="bottom"/>
          </w:tcPr>
          <w:p>
            <w:pPr>
              <w:spacing w:after="0"/>
              <w:rPr>
                <w:sz w:val="18"/>
                <w:szCs w:val="18"/>
                <w:color w:val="auto"/>
              </w:rPr>
            </w:pPr>
          </w:p>
        </w:tc>
        <w:tc>
          <w:tcPr>
            <w:tcW w:w="1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RISK FACTORS</w:t>
            </w:r>
          </w:p>
        </w:tc>
        <w:tc>
          <w:tcPr>
            <w:tcW w:w="6120" w:type="dxa"/>
            <w:vAlign w:val="bottom"/>
            <w:gridSpan w:val="30"/>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1B.</w:t>
            </w:r>
          </w:p>
        </w:tc>
        <w:tc>
          <w:tcPr>
            <w:tcW w:w="180" w:type="dxa"/>
            <w:vAlign w:val="bottom"/>
            <w:gridSpan w:val="2"/>
          </w:tcPr>
          <w:p>
            <w:pPr>
              <w:spacing w:after="0"/>
              <w:rPr>
                <w:sz w:val="18"/>
                <w:szCs w:val="18"/>
                <w:color w:val="auto"/>
              </w:rPr>
            </w:pPr>
          </w:p>
        </w:tc>
        <w:tc>
          <w:tcPr>
            <w:tcW w:w="28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UNRESOLVED STAFF COMMENTS</w:t>
            </w:r>
          </w:p>
        </w:tc>
        <w:tc>
          <w:tcPr>
            <w:tcW w:w="4540" w:type="dxa"/>
            <w:vAlign w:val="bottom"/>
            <w:gridSpan w:val="22"/>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ITEM 1C.</w:t>
            </w:r>
          </w:p>
        </w:tc>
        <w:tc>
          <w:tcPr>
            <w:tcW w:w="200" w:type="dxa"/>
            <w:vAlign w:val="bottom"/>
            <w:gridSpan w:val="3"/>
          </w:tcPr>
          <w:p>
            <w:pPr>
              <w:spacing w:after="0"/>
              <w:rPr>
                <w:sz w:val="18"/>
                <w:szCs w:val="18"/>
                <w:color w:val="auto"/>
              </w:rPr>
            </w:pPr>
          </w:p>
        </w:tc>
        <w:tc>
          <w:tcPr>
            <w:tcW w:w="1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5880" w:type="dxa"/>
            <w:vAlign w:val="bottom"/>
            <w:gridSpan w:val="28"/>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2.</w:t>
            </w:r>
          </w:p>
        </w:tc>
        <w:tc>
          <w:tcPr>
            <w:tcW w:w="320" w:type="dxa"/>
            <w:vAlign w:val="bottom"/>
            <w:gridSpan w:val="5"/>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3.</w:t>
            </w:r>
          </w:p>
        </w:tc>
        <w:tc>
          <w:tcPr>
            <w:tcW w:w="320" w:type="dxa"/>
            <w:vAlign w:val="bottom"/>
            <w:gridSpan w:val="5"/>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4.</w:t>
            </w:r>
          </w:p>
        </w:tc>
        <w:tc>
          <w:tcPr>
            <w:tcW w:w="320" w:type="dxa"/>
            <w:vAlign w:val="bottom"/>
            <w:gridSpan w:val="5"/>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6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gridSpan w:val="18"/>
          </w:tcPr>
          <w:p>
            <w:pPr>
              <w:jc w:val="center"/>
              <w:ind w:right="340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ITEM 5.</w:t>
            </w:r>
          </w:p>
        </w:tc>
        <w:tc>
          <w:tcPr>
            <w:tcW w:w="320" w:type="dxa"/>
            <w:vAlign w:val="bottom"/>
            <w:gridSpan w:val="5"/>
          </w:tcPr>
          <w:p>
            <w:pPr>
              <w:spacing w:after="0"/>
              <w:rPr>
                <w:sz w:val="18"/>
                <w:szCs w:val="18"/>
                <w:color w:val="auto"/>
              </w:rPr>
            </w:pPr>
          </w:p>
        </w:tc>
        <w:tc>
          <w:tcPr>
            <w:tcW w:w="67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MARKET FOR THE REGISTRANT’S COMMON EQUITY, RELATED STOCKHOLDER</w:t>
            </w:r>
          </w:p>
        </w:tc>
        <w:tc>
          <w:tcPr>
            <w:tcW w:w="660" w:type="dxa"/>
            <w:vAlign w:val="bottom"/>
            <w:gridSpan w:val="4"/>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MATTERS AND ISSUER PURCHASES OF EQUITY SECURITIES</w:t>
            </w:r>
          </w:p>
        </w:tc>
        <w:tc>
          <w:tcPr>
            <w:tcW w:w="2300" w:type="dxa"/>
            <w:vAlign w:val="bottom"/>
            <w:gridSpan w:val="9"/>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6.</w:t>
            </w:r>
          </w:p>
        </w:tc>
        <w:tc>
          <w:tcPr>
            <w:tcW w:w="320" w:type="dxa"/>
            <w:vAlign w:val="bottom"/>
            <w:gridSpan w:val="5"/>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ITEM 7.</w:t>
            </w:r>
          </w:p>
        </w:tc>
        <w:tc>
          <w:tcPr>
            <w:tcW w:w="320" w:type="dxa"/>
            <w:vAlign w:val="bottom"/>
            <w:gridSpan w:val="5"/>
          </w:tcPr>
          <w:p>
            <w:pPr>
              <w:spacing w:after="0"/>
              <w:rPr>
                <w:sz w:val="18"/>
                <w:szCs w:val="18"/>
                <w:color w:val="auto"/>
              </w:rPr>
            </w:pPr>
          </w:p>
        </w:tc>
        <w:tc>
          <w:tcPr>
            <w:tcW w:w="6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80" w:type="dxa"/>
            <w:vAlign w:val="bottom"/>
            <w:gridSpan w:val="5"/>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RESULTS OF OPERATIONS</w:t>
            </w:r>
          </w:p>
        </w:tc>
        <w:tc>
          <w:tcPr>
            <w:tcW w:w="5180" w:type="dxa"/>
            <w:vAlign w:val="bottom"/>
            <w:gridSpan w:val="25"/>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7A.</w:t>
            </w:r>
          </w:p>
        </w:tc>
        <w:tc>
          <w:tcPr>
            <w:tcW w:w="160" w:type="dxa"/>
            <w:vAlign w:val="bottom"/>
          </w:tcPr>
          <w:p>
            <w:pPr>
              <w:spacing w:after="0"/>
              <w:rPr>
                <w:sz w:val="18"/>
                <w:szCs w:val="18"/>
                <w:color w:val="auto"/>
              </w:rPr>
            </w:pPr>
          </w:p>
        </w:tc>
        <w:tc>
          <w:tcPr>
            <w:tcW w:w="61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220" w:type="dxa"/>
            <w:vAlign w:val="bottom"/>
            <w:gridSpan w:val="7"/>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8.</w:t>
            </w:r>
          </w:p>
        </w:tc>
        <w:tc>
          <w:tcPr>
            <w:tcW w:w="320" w:type="dxa"/>
            <w:vAlign w:val="bottom"/>
            <w:gridSpan w:val="5"/>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ITEM 9.</w:t>
            </w:r>
          </w:p>
        </w:tc>
        <w:tc>
          <w:tcPr>
            <w:tcW w:w="320" w:type="dxa"/>
            <w:vAlign w:val="bottom"/>
            <w:gridSpan w:val="5"/>
          </w:tcPr>
          <w:p>
            <w:pPr>
              <w:spacing w:after="0"/>
              <w:rPr>
                <w:sz w:val="18"/>
                <w:szCs w:val="18"/>
                <w:color w:val="auto"/>
              </w:rPr>
            </w:pPr>
          </w:p>
        </w:tc>
        <w:tc>
          <w:tcPr>
            <w:tcW w:w="69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w:t>
            </w:r>
          </w:p>
        </w:tc>
        <w:tc>
          <w:tcPr>
            <w:tcW w:w="44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FINANCIAL DISCLOSURE</w:t>
            </w:r>
          </w:p>
        </w:tc>
        <w:tc>
          <w:tcPr>
            <w:tcW w:w="5240" w:type="dxa"/>
            <w:vAlign w:val="bottom"/>
            <w:gridSpan w:val="26"/>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9A.</w:t>
            </w:r>
          </w:p>
        </w:tc>
        <w:tc>
          <w:tcPr>
            <w:tcW w:w="160" w:type="dxa"/>
            <w:vAlign w:val="bottom"/>
          </w:tcPr>
          <w:p>
            <w:pPr>
              <w:spacing w:after="0"/>
              <w:rPr>
                <w:sz w:val="18"/>
                <w:szCs w:val="18"/>
                <w:color w:val="auto"/>
              </w:rPr>
            </w:pPr>
          </w:p>
        </w:tc>
        <w:tc>
          <w:tcPr>
            <w:tcW w:w="2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4760" w:type="dxa"/>
            <w:vAlign w:val="bottom"/>
            <w:gridSpan w:val="2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9B.</w:t>
            </w:r>
          </w:p>
        </w:tc>
        <w:tc>
          <w:tcPr>
            <w:tcW w:w="180" w:type="dxa"/>
            <w:vAlign w:val="bottom"/>
            <w:gridSpan w:val="2"/>
          </w:tcPr>
          <w:p>
            <w:pPr>
              <w:spacing w:after="0"/>
              <w:rPr>
                <w:sz w:val="18"/>
                <w:szCs w:val="18"/>
                <w:color w:val="auto"/>
              </w:rPr>
            </w:pPr>
          </w:p>
        </w:tc>
        <w:tc>
          <w:tcPr>
            <w:tcW w:w="1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5"/>
              </w:rPr>
              <w:t>OTHER INFORMATION</w:t>
            </w:r>
          </w:p>
        </w:tc>
        <w:tc>
          <w:tcPr>
            <w:tcW w:w="5500" w:type="dxa"/>
            <w:vAlign w:val="bottom"/>
            <w:gridSpan w:val="27"/>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6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2920" w:type="dxa"/>
            <w:vAlign w:val="bottom"/>
            <w:tcBorders>
              <w:top w:val="single" w:sz="8" w:color="0000EE"/>
            </w:tcBorders>
            <w:gridSpan w:val="10"/>
          </w:tcPr>
          <w:p>
            <w:pPr>
              <w:spacing w:after="0"/>
              <w:rPr>
                <w:sz w:val="18"/>
                <w:szCs w:val="18"/>
                <w:color w:val="auto"/>
              </w:rPr>
            </w:pPr>
          </w:p>
        </w:tc>
        <w:tc>
          <w:tcPr>
            <w:tcW w:w="4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2"/>
              </w:rPr>
              <w:t>ITEM 10.</w:t>
            </w:r>
          </w:p>
        </w:tc>
        <w:tc>
          <w:tcPr>
            <w:tcW w:w="240" w:type="dxa"/>
            <w:vAlign w:val="bottom"/>
            <w:gridSpan w:val="4"/>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7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ITEM 11.</w:t>
            </w:r>
          </w:p>
        </w:tc>
        <w:tc>
          <w:tcPr>
            <w:tcW w:w="240" w:type="dxa"/>
            <w:vAlign w:val="bottom"/>
            <w:gridSpan w:val="4"/>
          </w:tcPr>
          <w:p>
            <w:pPr>
              <w:spacing w:after="0"/>
              <w:rPr>
                <w:sz w:val="18"/>
                <w:szCs w:val="18"/>
                <w:color w:val="auto"/>
              </w:rPr>
            </w:pPr>
          </w:p>
        </w:tc>
        <w:tc>
          <w:tcPr>
            <w:tcW w:w="578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580" w:type="dxa"/>
            <w:vAlign w:val="bottom"/>
            <w:gridSpan w:val="8"/>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ITEM 12.</w:t>
            </w:r>
          </w:p>
        </w:tc>
        <w:tc>
          <w:tcPr>
            <w:tcW w:w="240" w:type="dxa"/>
            <w:vAlign w:val="bottom"/>
            <w:gridSpan w:val="4"/>
          </w:tcPr>
          <w:p>
            <w:pPr>
              <w:spacing w:after="0"/>
              <w:rPr>
                <w:sz w:val="18"/>
                <w:szCs w:val="18"/>
                <w:color w:val="auto"/>
              </w:rPr>
            </w:pPr>
          </w:p>
        </w:tc>
        <w:tc>
          <w:tcPr>
            <w:tcW w:w="716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RELATED SHAREHOLDER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ITEM 13.</w:t>
            </w:r>
          </w:p>
        </w:tc>
        <w:tc>
          <w:tcPr>
            <w:tcW w:w="240" w:type="dxa"/>
            <w:vAlign w:val="bottom"/>
            <w:gridSpan w:val="4"/>
          </w:tcPr>
          <w:p>
            <w:pPr>
              <w:spacing w:after="0"/>
              <w:rPr>
                <w:sz w:val="18"/>
                <w:szCs w:val="18"/>
                <w:color w:val="auto"/>
              </w:rPr>
            </w:pPr>
          </w:p>
        </w:tc>
        <w:tc>
          <w:tcPr>
            <w:tcW w:w="62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 AND DIRECTOR</w:t>
            </w:r>
          </w:p>
        </w:tc>
        <w:tc>
          <w:tcPr>
            <w:tcW w:w="1080" w:type="dxa"/>
            <w:vAlign w:val="bottom"/>
            <w:gridSpan w:val="6"/>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INDEPENDENCE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ITEM 14.</w:t>
            </w:r>
          </w:p>
        </w:tc>
        <w:tc>
          <w:tcPr>
            <w:tcW w:w="240" w:type="dxa"/>
            <w:vAlign w:val="bottom"/>
            <w:gridSpan w:val="4"/>
          </w:tcPr>
          <w:p>
            <w:pPr>
              <w:spacing w:after="0"/>
              <w:rPr>
                <w:sz w:val="18"/>
                <w:szCs w:val="18"/>
                <w:color w:val="auto"/>
              </w:rPr>
            </w:pPr>
          </w:p>
        </w:tc>
        <w:tc>
          <w:tcPr>
            <w:tcW w:w="3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PRINCIPAL ACCOUNTING FEES AND SERVICES</w:t>
            </w:r>
          </w:p>
        </w:tc>
        <w:tc>
          <w:tcPr>
            <w:tcW w:w="3440" w:type="dxa"/>
            <w:vAlign w:val="bottom"/>
            <w:gridSpan w:val="16"/>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36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ITEM 15.</w:t>
            </w:r>
          </w:p>
        </w:tc>
        <w:tc>
          <w:tcPr>
            <w:tcW w:w="240" w:type="dxa"/>
            <w:vAlign w:val="bottom"/>
            <w:gridSpan w:val="4"/>
          </w:tcPr>
          <w:p>
            <w:pPr>
              <w:spacing w:after="0"/>
              <w:rPr>
                <w:sz w:val="18"/>
                <w:szCs w:val="18"/>
                <w:color w:val="auto"/>
              </w:rPr>
            </w:pPr>
          </w:p>
        </w:tc>
        <w:tc>
          <w:tcPr>
            <w:tcW w:w="40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EXHIBITS, FINANCIAL STATEMENT SCHEDULES</w:t>
            </w:r>
          </w:p>
        </w:tc>
        <w:tc>
          <w:tcPr>
            <w:tcW w:w="3320" w:type="dxa"/>
            <w:vAlign w:val="bottom"/>
            <w:gridSpan w:val="11"/>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2"/>
              </w:rPr>
              <w:t>ITEM 16.</w:t>
            </w:r>
          </w:p>
        </w:tc>
        <w:tc>
          <w:tcPr>
            <w:tcW w:w="240" w:type="dxa"/>
            <w:vAlign w:val="bottom"/>
            <w:gridSpan w:val="4"/>
          </w:tcPr>
          <w:p>
            <w:pPr>
              <w:spacing w:after="0"/>
              <w:rPr>
                <w:sz w:val="18"/>
                <w:szCs w:val="18"/>
                <w:color w:val="auto"/>
              </w:rPr>
            </w:pPr>
          </w:p>
        </w:tc>
        <w:tc>
          <w:tcPr>
            <w:tcW w:w="73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“10-K”)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6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43"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p>
      <w:pPr>
        <w:spacing w:after="0" w:line="135"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complete projects in a timely manner;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the highly competitive energy services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work from our top ten clients;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local and regional economies and government budgets;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new contracts, to renew existing contracts and to compete effectively for contracts awarded through bidding processes;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principal and interest payments on our outstanding debt as they come due and to comply with the financial covenants contained in our debt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supply chain constraints, labor shortages, elevated interest rates, and elevated inflation;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and to refinance our outstanding debt as it matures;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our acquisitions and execute on our growth strategy;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managerial, technical, and administrative talent.</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“Risk Factors,” “Management’s Discussion and Analysis of Financial Condition and Results of Operations” and elsewhere in this Annual Report on Form 10-K, as such disclosures may be amended, supplemented or superseded from time to time by other reports we file with the Securities and Exchange Commission, including subsequent Annual Reports on Form 10-K and Quarterly Reports on Form 10-Q, Current Reports on Form 8-K, and public communications. You should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evaluate all forward-looking statements made in this Annual Report on Form 10-K and otherwise in the context of these risks and uncertainties.</w:t>
      </w:r>
    </w:p>
    <w:p>
      <w:pPr>
        <w:spacing w:after="0" w:line="13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Annual Report on Form 10-K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Willdan Group, Inc. (“Willdan”) is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spacing w:after="0" w:line="16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was founded in 1964 to serve public agencies in communities with populations ranging from 10,000 to 300,000 people. Willdan, a Delaware corporation, was formed in 2006 to serve as our holding company for the expanding subsidiary operations. We commenced providing energy efficiency services in 2008 and since then, through organic growth and acquisitions, our client base has grown to include investor-owned and other public utilities, as well as substantial energy users in government and business.</w:t>
      </w:r>
    </w:p>
    <w:p>
      <w:pPr>
        <w:spacing w:after="0" w:line="14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overall growth strategy revolves around a combination of strong organic expansion and strategic acquisitions which provides us the ability to expand the breadth and depth of the services we provide to new and existing clients. We believe that we are well positioned to capitalize on the ongoing expansion and transformation of the energy and infrastructure environments as they adapt to climate change, electrification, and technology advancements.</w:t>
      </w:r>
    </w:p>
    <w:p>
      <w:pPr>
        <w:spacing w:after="0" w:line="13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operate our business through a nationwide network of offices spread across 22 states, the District of Columbia, the Canadian province of Alberta, and the Commonwealth of Puerto Rico. We serve a majority of the largest investor-owned electric utilities and over half of the largest municipal utilities in the United States (“U.S.”). Our business with public and private utilities has concentrations in California and New York, but includes numerous other utilities in the Midwest, Southeast and Mountain states and additional acquisitions may continue to expand our geographic footprint. Our business with public agencies is concentrated in California, New York, and Arizona. We also serve special districts, school districts, and a large range of public agencies and private industry throughout the U.S.</w:t>
      </w:r>
    </w:p>
    <w:p>
      <w:pPr>
        <w:spacing w:after="0" w:line="16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broad portfolio of services operates within two financial reporting segments: (i) Energy and (ii) Engineering and Consulting. The interfaces and synergies between these segments are important elements of our strategy to design and deliver trusted, comprehensive, innovative, and proven solutions and services for our customers.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operate in the energy services market and the engineering and consulting market. We provide a wide variety of services related to energy planning and analysis, energy efficiency and sustainability, engineering, construction management, and economic and financial consulting services primarily to public agencies, utilities, and commercial/industrial firms.</w:t>
      </w:r>
    </w:p>
    <w:p>
      <w:pPr>
        <w:spacing w:after="0" w:line="15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believe the energy services market will continue to expand in response to the increasing awareness of global warming, climate change issues, and the advent of new technologies in renewable energy generation and the electrification of the nation’s economy. In addition, the rapid growth in artificial intelligence is creating increased power demand from data centers and thus becoming a new catalyst in expanding the energy services market. Private industry and public agencies increasingly seek out cost-effective, turnkey solutions that provide innovative plans, tools, and solutions to address energy efficiency, renewable energy, water conservation and sustainability. State and local governments frequently turn to specialized resource conservation firms to help strike the balance between environmental responsibility and economic competitiveness. The use of energy services, including audits, program design, benchmark analysis, metering and incentivized sale and installation of energy efficiency measures provides public agencies, utilities, and commercial/industrial firms with the ability to realize long-term energy savings and greenhouse gas reductions.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engineering and consulting market has grown as public agencies and utilities, as well as private utilities and commercial/industrial firms, find it more efficient to outsource design, construction oversight, advisory, and training services to contract providers, rather than maintain the necessary staff and resources to provide such services themselves. For example, we serve as municipal engineers and building and safety departments for local governments. We also design and provide construction oversight of various infrastructure projects for state and local governments to address environmental goals and mandates, population shifts, changes in local and state funding and aging infrastructure. We also provide consulting services to public agencies as they raise the necessary funds to develop such infrastructure projects and provide other services. Relatedly, we provide local government staffing, traffic and transportation engineering, studies, plan reviews, grant support, and inspections.</w:t>
      </w:r>
    </w:p>
    <w:p>
      <w:pPr>
        <w:spacing w:after="0" w:line="161"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are a professional services firm focused on transformational growth and value creation for our clients, employees and shareholders. We seek to establish long-term close working relationships with our clients and expand the breadth and depth of the services we provide to them over time. We believe the market for these services is, and will be, driven by a number of factors, including:</w:t>
      </w:r>
    </w:p>
    <w:p>
      <w:pPr>
        <w:spacing w:after="0" w:line="139" w:lineRule="exact"/>
        <w:rPr>
          <w:sz w:val="20"/>
          <w:szCs w:val="20"/>
          <w:color w:val="auto"/>
        </w:rPr>
      </w:pPr>
    </w:p>
    <w:p>
      <w:pPr>
        <w:ind w:left="1040" w:right="29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 and solutions that provide energy efficiency, greenhouse gas reduction, sustainability, electrification, water conservation, infrastructure development and renewable energy in the public and private sectors;</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that affect the generation, distribution and consumption of energy;</w:t>
      </w:r>
    </w:p>
    <w:p>
      <w:pPr>
        <w:spacing w:after="0" w:line="198"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efforts to upgrade aging energy infrastructure to meet power, transmission, and environmental goals and requirements;</w:t>
      </w:r>
    </w:p>
    <w:p>
      <w:pPr>
        <w:spacing w:after="0" w:line="12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challenge to balance energy demand from electrification and trends toward electric vehicles with the changing sources of energy from wind, solar, and distributed energy resources;</w:t>
      </w:r>
    </w:p>
    <w:p>
      <w:pPr>
        <w:spacing w:after="0" w:line="12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small and medium sized communities to obtain highly specialized services without incurring the costs of hiring permanent staffing and the associated support structure;</w:t>
      </w:r>
    </w:p>
    <w:p>
      <w:pPr>
        <w:spacing w:after="0" w:line="134"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assistance from utilities, government-funded programs and state legislation for local communities to provide services to constituents;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offer services in two financial reporting segments: (i) Energy and (ii) Engineering and Consulting. Management established these segments based upon the services provided, the different marketing strategies associated with these services, and the specialized needs of their respective clients.</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approximate percentage of our consolidated contract revenue attributable to each financial reporting segment.</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6460" w:type="dxa"/>
            <w:vAlign w:val="bottom"/>
          </w:tcPr>
          <w:p>
            <w:pPr>
              <w:spacing w:after="0"/>
              <w:rPr>
                <w:sz w:val="17"/>
                <w:szCs w:val="17"/>
                <w:color w:val="auto"/>
              </w:rPr>
            </w:pP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7"/>
                <w:szCs w:val="17"/>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7"/>
                <w:szCs w:val="17"/>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7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fiscal year 2024, we derived 10.7% of our Energy segment contract revenues from one customer, </w:t>
      </w:r>
      <w:r>
        <w:rPr>
          <w:rFonts w:ascii="Times New Roman" w:cs="Times New Roman" w:eastAsia="Times New Roman" w:hAnsi="Times New Roman"/>
          <w:sz w:val="18"/>
          <w:szCs w:val="18"/>
          <w:color w:val="212529"/>
        </w:rPr>
        <w:t>Southern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California Edison. </w:t>
      </w:r>
      <w:r>
        <w:rPr>
          <w:rFonts w:ascii="Times New Roman" w:cs="Times New Roman" w:eastAsia="Times New Roman" w:hAnsi="Times New Roman"/>
          <w:sz w:val="18"/>
          <w:szCs w:val="18"/>
          <w:color w:val="000000"/>
        </w:rPr>
        <w:t>During fiscal year 2024, we had no individual customers that accounted for more than 10% of our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Engineering and Consulting segment contract revenues.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39" w:firstLine="648"/>
        <w:spacing w:after="0" w:line="267" w:lineRule="auto"/>
        <w:rPr>
          <w:sz w:val="20"/>
          <w:szCs w:val="20"/>
          <w:color w:val="auto"/>
        </w:rPr>
      </w:pPr>
      <w:r>
        <w:rPr>
          <w:rFonts w:ascii="Times New Roman" w:cs="Times New Roman" w:eastAsia="Times New Roman" w:hAnsi="Times New Roman"/>
          <w:sz w:val="18"/>
          <w:szCs w:val="18"/>
          <w:color w:val="auto"/>
        </w:rPr>
        <w:t>For further information related to our financial reporting segments, see Part II, Item 8, Note 9, “</w:t>
      </w:r>
      <w:r>
        <w:rPr>
          <w:rFonts w:ascii="Times New Roman" w:cs="Times New Roman" w:eastAsia="Times New Roman" w:hAnsi="Times New Roman"/>
          <w:sz w:val="18"/>
          <w:szCs w:val="18"/>
          <w:i w:val="1"/>
          <w:iCs w:val="1"/>
          <w:color w:val="auto"/>
        </w:rPr>
        <w:t>Segment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Geographical Information”</w:t>
      </w:r>
      <w:r>
        <w:rPr>
          <w:rFonts w:ascii="Times New Roman" w:cs="Times New Roman" w:eastAsia="Times New Roman" w:hAnsi="Times New Roman"/>
          <w:sz w:val="18"/>
          <w:szCs w:val="18"/>
          <w:color w:val="auto"/>
        </w:rPr>
        <w:t>, of the Notes to Consolidated Financial Statements included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Energy Services</w:t>
      </w:r>
    </w:p>
    <w:p>
      <w:pPr>
        <w:spacing w:after="0" w:line="22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Energy segment provides specialized, innovative, and comprehensive energy solutions to businesses, utilities, state agencies, municipalities, and non-profit organizations. Our experienced engineers, consultants, and staff help our clients realize cost and energy savings by tailoring efficient and cost-effective solutions to assist in optimizing energy spend. Our energy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 term planning.</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energy services include the following:</w:t>
      </w:r>
    </w:p>
    <w:p>
      <w:pPr>
        <w:spacing w:after="0" w:line="22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Efficiency. </w:t>
      </w:r>
      <w:r>
        <w:rPr>
          <w:rFonts w:ascii="Times New Roman" w:cs="Times New Roman" w:eastAsia="Times New Roman" w:hAnsi="Times New Roman"/>
          <w:sz w:val="18"/>
          <w:szCs w:val="18"/>
          <w:color w:val="auto"/>
        </w:rPr>
        <w:t>We provide complete energy efficiency consulting and engineering services,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design, management and administration; marketing, customer outreach and project origination; energy audits and feasibility analyses; implementation; training; management; retro-commissioning; data management and reporting; measurement and verification services; and construction management.</w:t>
      </w:r>
    </w:p>
    <w:p>
      <w:pPr>
        <w:spacing w:after="0" w:line="18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Program Design and Implementation. </w:t>
      </w:r>
      <w:r>
        <w:rPr>
          <w:rFonts w:ascii="Times New Roman" w:cs="Times New Roman" w:eastAsia="Times New Roman" w:hAnsi="Times New Roman"/>
          <w:sz w:val="18"/>
          <w:szCs w:val="18"/>
          <w:color w:val="auto"/>
        </w:rPr>
        <w:t>We assist utilities and governmental clients with the design,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implementation of energy efficiency plans and programs. These plans include the design, outreach, and implementation of strategies to reduce peak energy demand and greenhouse gas emissions through energy efficiency, water conservation, and renewable energy planning.</w:t>
      </w:r>
    </w:p>
    <w:p>
      <w:pPr>
        <w:spacing w:after="0" w:line="180"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 Customer Support. </w:t>
      </w:r>
      <w:r>
        <w:rPr>
          <w:rFonts w:ascii="Times New Roman" w:cs="Times New Roman" w:eastAsia="Times New Roman" w:hAnsi="Times New Roman"/>
          <w:sz w:val="18"/>
          <w:szCs w:val="18"/>
          <w:color w:val="auto"/>
        </w:rPr>
        <w:t>We assist clients (including hospitals, hotels, government offices, schools, and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in developing and managing facilities and related infrastructures through a holistic, practical approach to facility management. Our services cover audits, local compliance, operations and maintenance review, renewable energy planning, master plan development, infrastructure analyses, Leadership in Energy and Environmental Design (“LEED”) certification for buildings, and strategies for energy spend and greenhouse gas reduction.</w:t>
      </w:r>
    </w:p>
    <w:p>
      <w:pPr>
        <w:spacing w:after="0" w:line="183"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Turnkey Facility and Infrastructure Projects. </w:t>
      </w:r>
      <w:r>
        <w:rPr>
          <w:rFonts w:ascii="Times New Roman" w:cs="Times New Roman" w:eastAsia="Times New Roman" w:hAnsi="Times New Roman"/>
          <w:sz w:val="18"/>
          <w:szCs w:val="18"/>
          <w:color w:val="auto"/>
        </w:rPr>
        <w:t>We provide turnkey/design-build facility and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projects to a wide array of private and public clients including municipalities, county governments, public and private K-12 schools, and higher education institutions. Our services cover preliminary planning, project design, construction management, commissioning, post-project support and measurement and verification.</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Project Examples. </w:t>
      </w:r>
      <w:r>
        <w:rPr>
          <w:rFonts w:ascii="Times New Roman" w:cs="Times New Roman" w:eastAsia="Times New Roman" w:hAnsi="Times New Roman"/>
          <w:sz w:val="18"/>
          <w:szCs w:val="18"/>
          <w:color w:val="auto"/>
        </w:rPr>
        <w:t>The following are examples of typical projects in the Energy segment:</w:t>
      </w:r>
    </w:p>
    <w:p>
      <w:pPr>
        <w:spacing w:after="0" w:line="225" w:lineRule="exact"/>
        <w:rPr>
          <w:sz w:val="20"/>
          <w:szCs w:val="20"/>
          <w:color w:val="auto"/>
        </w:rPr>
      </w:pPr>
    </w:p>
    <w:p>
      <w:pPr>
        <w:ind w:left="1040" w:right="199" w:hanging="315"/>
        <w:spacing w:after="0" w:line="255"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Edison, New York. </w:t>
      </w:r>
      <w:r>
        <w:rPr>
          <w:rFonts w:ascii="Times New Roman" w:cs="Times New Roman" w:eastAsia="Times New Roman" w:hAnsi="Times New Roman"/>
          <w:sz w:val="18"/>
          <w:szCs w:val="18"/>
          <w:color w:val="auto"/>
        </w:rPr>
        <w:t>We serve as Consolidated Edison’s program manager and implementer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Small Business Direct Install (“SMB”) program across the utility’s New York City and Westchester County service areas. The SMB program, Consolidated Edison’s largest energy efficiency program, helps customers save energy, lower their bills, and protect the environment by providing financial incentives to identify and install certain energy efficiency measures. To support this effort, we provide full-service program implementation, including outreach and direct sales to potential commercial customers, on-site energy efficiency assessments, direct implementation of energy-savings measures, and subcontractor and trade-ally management.</w:t>
      </w:r>
    </w:p>
    <w:p>
      <w:pPr>
        <w:spacing w:after="0" w:line="184" w:lineRule="exact"/>
        <w:rPr>
          <w:rFonts w:ascii="Times New Roman" w:cs="Times New Roman" w:eastAsia="Times New Roman" w:hAnsi="Times New Roman"/>
          <w:sz w:val="18"/>
          <w:szCs w:val="18"/>
          <w:color w:val="auto"/>
        </w:rPr>
      </w:pPr>
    </w:p>
    <w:p>
      <w:pPr>
        <w:ind w:left="1040" w:right="299" w:hanging="315"/>
        <w:spacing w:after="0" w:line="25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Dormitory Authority-State New York (“DASNY”), New York. </w:t>
      </w:r>
      <w:r>
        <w:rPr>
          <w:rFonts w:ascii="Times New Roman" w:cs="Times New Roman" w:eastAsia="Times New Roman" w:hAnsi="Times New Roman"/>
          <w:sz w:val="18"/>
          <w:szCs w:val="18"/>
          <w:color w:val="auto"/>
        </w:rPr>
        <w:t>In connection with our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assets of Genesys Engineering, P.C. (“Genesys”) in March 2016, we entered into an administrative services agreement with Genesys pursuant to which we, through our subsidiary Willdan Energy Solutions (“WES”), provide Genesys with ongoing administrative, operational and other non-professional support services in its performance of rehabilitation, construction management, architectural, and engineering services at various college and university sites within New York State. Services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19"/>
        <w:spacing w:after="0" w:line="266" w:lineRule="auto"/>
        <w:rPr>
          <w:sz w:val="20"/>
          <w:szCs w:val="20"/>
          <w:color w:val="auto"/>
        </w:rPr>
      </w:pPr>
      <w:r>
        <w:rPr>
          <w:rFonts w:ascii="Times New Roman" w:cs="Times New Roman" w:eastAsia="Times New Roman" w:hAnsi="Times New Roman"/>
          <w:sz w:val="18"/>
          <w:szCs w:val="18"/>
          <w:color w:val="auto"/>
        </w:rPr>
        <w:t>DASNY under these contracts also include energy efficient design, utility cost evaluation, and various regulatory compliance services. Specific project descriptions are set out by DASNY in work authorizations, which are issued under the terms of the master contracts.</w:t>
      </w:r>
    </w:p>
    <w:p>
      <w:pPr>
        <w:spacing w:after="0" w:line="174" w:lineRule="exact"/>
        <w:rPr>
          <w:sz w:val="20"/>
          <w:szCs w:val="20"/>
          <w:color w:val="auto"/>
        </w:rPr>
      </w:pPr>
    </w:p>
    <w:p>
      <w:pPr>
        <w:ind w:left="1040" w:right="199" w:hanging="315"/>
        <w:spacing w:after="0" w:line="253"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Marshak Science Building Rehabilitation, The City University of New York. </w:t>
      </w:r>
      <w:r>
        <w:rPr>
          <w:rFonts w:ascii="Times New Roman" w:cs="Times New Roman" w:eastAsia="Times New Roman" w:hAnsi="Times New Roman"/>
          <w:sz w:val="18"/>
          <w:szCs w:val="18"/>
          <w:color w:val="auto"/>
        </w:rPr>
        <w:t>Performed under the DASNY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master contract, the Marshak Science Building is a mid-rise, 750,000 square-foot science building, which consists of a 350,000 square-foot, 13-story tower and a 300,000 square-foot plaza level and underground. The science building houses research and teaching labs, a vivarium, a morgue, office areas, a library, an auditorium, a gymnasium and a pool. We were responsible for the study, design, and construction management that included the retrofit of 200 standard-flow fume hoods to low-flow, high-efficiency hoods and the installation of high-entrainment fume hood exhaust systems, new lab make-up air units with heat recovery, liquid desiccant dehumidification systems, new supply air risers and general exhaust risers throughout the tower, new hot water and chilled water risers, new central station air handling equipment, new high-temperature hot water to low-temperature hot water heat exchangers, and a lab fit-out with chilled beam secondary heating and cooling.</w:t>
      </w:r>
    </w:p>
    <w:p>
      <w:pPr>
        <w:spacing w:after="0" w:line="191" w:lineRule="exact"/>
        <w:rPr>
          <w:rFonts w:ascii="Times New Roman" w:cs="Times New Roman" w:eastAsia="Times New Roman" w:hAnsi="Times New Roman"/>
          <w:sz w:val="18"/>
          <w:szCs w:val="18"/>
          <w:color w:val="auto"/>
        </w:rPr>
      </w:pPr>
    </w:p>
    <w:p>
      <w:pPr>
        <w:ind w:left="1040" w:right="9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Pueblo School District 70 Infrastructure Improvement, Colorado. </w:t>
      </w:r>
      <w:r>
        <w:rPr>
          <w:rFonts w:ascii="Times New Roman" w:cs="Times New Roman" w:eastAsia="Times New Roman" w:hAnsi="Times New Roman"/>
          <w:sz w:val="18"/>
          <w:szCs w:val="18"/>
          <w:color w:val="auto"/>
        </w:rPr>
        <w:t>Pueblo School District 70 has 25+ schools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facilities covering approximately 1.5 million square-feet. We were responsible for development, design, and construction management of nearly 150 energy efficiency and infrastructure improvement projects district wide. These projects included multiple building additions, several major interior renovations, district-wide LED upgrade, 10 building-wide HVAC and controls projects, 11 roof replacements, a dozen major parking lot improvements and replacements, and multiple CCTV and public address system replacements.</w:t>
      </w:r>
    </w:p>
    <w:p>
      <w:pPr>
        <w:spacing w:after="0" w:line="182" w:lineRule="exact"/>
        <w:rPr>
          <w:rFonts w:ascii="Times New Roman" w:cs="Times New Roman" w:eastAsia="Times New Roman" w:hAnsi="Times New Roman"/>
          <w:sz w:val="18"/>
          <w:szCs w:val="18"/>
          <w:color w:val="auto"/>
        </w:rPr>
      </w:pPr>
    </w:p>
    <w:p>
      <w:pPr>
        <w:ind w:left="1040" w:right="139" w:hanging="315"/>
        <w:spacing w:after="0" w:line="258"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San Diego Gas and Electric (“SDG&amp;E”), California</w:t>
      </w:r>
      <w:r>
        <w:rPr>
          <w:rFonts w:ascii="Times New Roman" w:cs="Times New Roman" w:eastAsia="Times New Roman" w:hAnsi="Times New Roman"/>
          <w:sz w:val="18"/>
          <w:szCs w:val="18"/>
          <w:color w:val="auto"/>
        </w:rPr>
        <w:t>. We provided peak-load reduction and energy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SDG&amp;E by coordinating the installation of proven energy efficiency measures, including chiller retrofits, chiller variable-frequency drives (“VFDs”), HVAC VFDs, evaporative cooling, demand control ventilation, two-way valves, and chilled water pump VFDs. These measures produced both peak-load reductions and energy savings.</w:t>
      </w:r>
    </w:p>
    <w:p>
      <w:pPr>
        <w:spacing w:after="0" w:line="183" w:lineRule="exact"/>
        <w:rPr>
          <w:rFonts w:ascii="Times New Roman" w:cs="Times New Roman" w:eastAsia="Times New Roman" w:hAnsi="Times New Roman"/>
          <w:sz w:val="18"/>
          <w:szCs w:val="18"/>
          <w:color w:val="auto"/>
        </w:rPr>
      </w:pPr>
    </w:p>
    <w:p>
      <w:pPr>
        <w:ind w:left="1040" w:right="11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Entergy Corporation, Louisiana. </w:t>
      </w:r>
      <w:r>
        <w:rPr>
          <w:rFonts w:ascii="Times New Roman" w:cs="Times New Roman" w:eastAsia="Times New Roman" w:hAnsi="Times New Roman"/>
          <w:sz w:val="18"/>
          <w:szCs w:val="18"/>
          <w:color w:val="auto"/>
        </w:rPr>
        <w:t>We supported Entergy’s investments in grid data and analytics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its electric distribution footprint through a software license for LoadSEER. LoadSEER was developed to provide unique insights and modeling capability for distributed energy resources and the evolving distribution grid. The application is used in short- and long-term circuit-level planning and to proactively integrate renewables, energy storage, and efficiency investments. LoadSEER combines multi-layer risk, geospatial, and scenario modeling; utilities’ existing tools; engineering efforts; and multiple data sources in order to deliver dynamic, granular load profiles and perform valuation analyses.</w:t>
      </w:r>
    </w:p>
    <w:p>
      <w:pPr>
        <w:spacing w:after="0" w:line="182" w:lineRule="exact"/>
        <w:rPr>
          <w:rFonts w:ascii="Times New Roman" w:cs="Times New Roman" w:eastAsia="Times New Roman" w:hAnsi="Times New Roman"/>
          <w:sz w:val="18"/>
          <w:szCs w:val="18"/>
          <w:color w:val="auto"/>
        </w:rPr>
      </w:pPr>
    </w:p>
    <w:p>
      <w:pPr>
        <w:ind w:left="1040" w:right="7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Energy Efficiency Programs. </w:t>
      </w:r>
      <w:r>
        <w:rPr>
          <w:rFonts w:ascii="Times New Roman" w:cs="Times New Roman" w:eastAsia="Times New Roman" w:hAnsi="Times New Roman"/>
          <w:sz w:val="18"/>
          <w:szCs w:val="18"/>
          <w:color w:val="auto"/>
        </w:rPr>
        <w:t>Southern California Edison has contracted with us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and offer these programs to SCE customers. We are the implementer of the Commercial Program, which is targeted to help SCE customers lower their energy bills and reduce demand and energy usage by providing technical services, connection to financing, and financial incentives to identify and install energy efficiency measures. To support this effort, we provide full-service program implementation, including customer outreach, performing energy audits, and facilitating installation and verifying savings of approved energy efficiency measures.</w:t>
      </w:r>
    </w:p>
    <w:p>
      <w:pPr>
        <w:spacing w:after="0" w:line="182" w:lineRule="exact"/>
        <w:rPr>
          <w:rFonts w:ascii="Times New Roman" w:cs="Times New Roman" w:eastAsia="Times New Roman" w:hAnsi="Times New Roman"/>
          <w:sz w:val="18"/>
          <w:szCs w:val="18"/>
          <w:color w:val="auto"/>
        </w:rPr>
      </w:pPr>
    </w:p>
    <w:p>
      <w:pPr>
        <w:ind w:left="1040" w:right="99" w:hanging="315"/>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City of New York – LL97 Implementation Action Plan</w:t>
      </w:r>
      <w:r>
        <w:rPr>
          <w:rFonts w:ascii="Times New Roman" w:cs="Times New Roman" w:eastAsia="Times New Roman" w:hAnsi="Times New Roman"/>
          <w:sz w:val="18"/>
          <w:szCs w:val="18"/>
          <w:color w:val="auto"/>
        </w:rPr>
        <w:t>. We developed a plan for New York City that identifies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most feasible route to achieving the City’s deep decarbonization, energy efficiency, and clean and renewable electricity goals. The plan is designed to balance policy compliance, technical and practical feasibility, and cost considerations, and will result in more than 50% greenhouse gas emissions reductions from City government infrastructure and energy system upgrades in City buildings by 2030. Each City agency now has actionable targets and an initial pathway to meeting them under the plan. The effort included the virtual survey of more than 4,000 publicly owned facilities in the city, detailed building energy modeling of prototypical city facilities, and transformation of these analyses into a comprehensive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79"/>
        <w:spacing w:after="0" w:line="266" w:lineRule="auto"/>
        <w:rPr>
          <w:sz w:val="20"/>
          <w:szCs w:val="20"/>
          <w:color w:val="auto"/>
        </w:rPr>
      </w:pPr>
      <w:r>
        <w:rPr>
          <w:rFonts w:ascii="Times New Roman" w:cs="Times New Roman" w:eastAsia="Times New Roman" w:hAnsi="Times New Roman"/>
          <w:sz w:val="18"/>
          <w:szCs w:val="18"/>
          <w:color w:val="auto"/>
        </w:rPr>
        <w:t>plan for the implementation of new renewable electricity sources, a heat electrification initiative, improved building energy efficiency and changes in wastewater, transportation, and other processes to meet the established goals.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Engineering and Consulting Services</w:t>
      </w:r>
    </w:p>
    <w:p>
      <w:pPr>
        <w:spacing w:after="0" w:line="227"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w:t>
      </w:r>
    </w:p>
    <w:p>
      <w:pPr>
        <w:spacing w:after="0" w:line="19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general, contracts for engineering and consulting services are awarded by public agencies based primarily upon the qualifications of the engineering or consulting professional, rather than the proposed fees. We have longstanding relationships with many of these agencies and are recognized as having relevant expertise and customer focused services. A substantial percentage of our work is for existing clients that we have served for many years.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Engineering and Consulting services include the following:</w:t>
      </w:r>
    </w:p>
    <w:p>
      <w:pPr>
        <w:spacing w:after="0" w:line="223"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Building and Safety. </w:t>
      </w:r>
      <w:r>
        <w:rPr>
          <w:rFonts w:ascii="Times New Roman" w:cs="Times New Roman" w:eastAsia="Times New Roman" w:hAnsi="Times New Roman"/>
          <w:sz w:val="18"/>
          <w:szCs w:val="18"/>
          <w:color w:val="auto"/>
        </w:rPr>
        <w:t>Our building and safety services range from managing and staffing an entire municipal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department to providing specific outsourced services, such as plan review and field inspections for code compliance. Other related services under this umbrella include performing accessibility compliance and providing disaster recovery teams, energy compliance evaluations, fire and life safety, permit processing and issuance, seismic retrofitting programs, and structural plan review. Many of our building and safety services contracts are with municipalities and counties where we supplement the capacity of in-house staff.</w:t>
      </w:r>
    </w:p>
    <w:p>
      <w:pPr>
        <w:spacing w:after="0" w:line="18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City Engineering and Code Enforcement. </w:t>
      </w:r>
      <w:r>
        <w:rPr>
          <w:rFonts w:ascii="Times New Roman" w:cs="Times New Roman" w:eastAsia="Times New Roman" w:hAnsi="Times New Roman"/>
          <w:sz w:val="18"/>
          <w:szCs w:val="18"/>
          <w:color w:val="auto"/>
        </w:rPr>
        <w:t>We provide municipalities with city engineering services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works department needs and assist with the development and capital improvements implementation, and enforcement of building and development codes. These services are tailored to the unique needs of each municipality, ranging from staffing an entire engineering department to carrying out specific projects within a municipality.</w:t>
      </w:r>
    </w:p>
    <w:p>
      <w:pPr>
        <w:spacing w:after="0" w:line="18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Development Review. </w:t>
      </w:r>
      <w:r>
        <w:rPr>
          <w:rFonts w:ascii="Times New Roman" w:cs="Times New Roman" w:eastAsia="Times New Roman" w:hAnsi="Times New Roman"/>
          <w:sz w:val="18"/>
          <w:szCs w:val="18"/>
          <w:color w:val="auto"/>
        </w:rPr>
        <w:t>We offer development plan review and inspection services including Americans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Disabilities Act (“ADA”) compliance, preliminary and final plats (maps), grading and drainage, complete infrastructure improvements for residential site plans, commercial site plans, industrial development and subdivision, and major master plan development services. We have reviewed grading plans, street lighting and traffic signal plans, erosion control plans, storm drain plans, street improvement plans, and sewer water and utility plans.</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Disaster Recovery. </w:t>
      </w:r>
      <w:r>
        <w:rPr>
          <w:rFonts w:ascii="Times New Roman" w:cs="Times New Roman" w:eastAsia="Times New Roman" w:hAnsi="Times New Roman"/>
          <w:sz w:val="18"/>
          <w:szCs w:val="18"/>
          <w:color w:val="auto"/>
        </w:rPr>
        <w:t>We provide disaster recovery services to cities, counties and local government.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disaster recovery includes assisting communities in the disaster recovery process following earthquakes, firestorms, hurricanes, mudslides and other natural disasters. We typically organize and staff several local disaster recovery centers which function as “one-stop permit centers” that guarantee turn-around performance for fast-track plan checking and inspection services. Additionally, we have performed street and storm drain clean-up, replacement or repair of damaged storm drains, streets, and bridges, debris management and preparation and implementation of a near-term erosion and sediment control program.</w:t>
      </w:r>
    </w:p>
    <w:p>
      <w:pPr>
        <w:spacing w:after="0" w:line="183"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Geotechnical. </w:t>
      </w:r>
      <w:r>
        <w:rPr>
          <w:rFonts w:ascii="Times New Roman" w:cs="Times New Roman" w:eastAsia="Times New Roman" w:hAnsi="Times New Roman"/>
          <w:sz w:val="18"/>
          <w:szCs w:val="18"/>
          <w:color w:val="auto"/>
        </w:rPr>
        <w:t>Our geotechnical and earthquake engineering services include soil engineering, earthquake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seismic hazard studies, geology and hydrogeology engineering, and construction inspection. We operate a licensed, full-service geotechnical laboratory at our headquarters in Anaheim, California, which offers an array of testing services, including construction materials testing and inspection.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Planning and Surveying. </w:t>
      </w:r>
      <w:r>
        <w:rPr>
          <w:rFonts w:ascii="Times New Roman" w:cs="Times New Roman" w:eastAsia="Times New Roman" w:hAnsi="Times New Roman"/>
          <w:sz w:val="18"/>
          <w:szCs w:val="18"/>
          <w:color w:val="auto"/>
        </w:rPr>
        <w:t>We assist communities with a full range of planning services, from the preparation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long-range policy plans to assistance with the day-to-day operations of a planning department. For several cities, we provide contract staff support, which ranges from staffing entire departments to providing interim or long-term services to entities that have determined that it is not cost-effective to have a full-time engineer on staff, to relieve peak workload situations or to fill vacant positions during a job search. Typical assignments include land use studies, development of specific plans or general plan elements, design guidelines, and zoning ordinances. We also provide surveying and mapping services, including major construction layout, design survey, topographic survey, aerial mapping, Geographic Information Systems, and right-of-way engineering.</w:t>
      </w:r>
    </w:p>
    <w:p>
      <w:pPr>
        <w:spacing w:after="0" w:line="185" w:lineRule="exact"/>
        <w:rPr>
          <w:sz w:val="20"/>
          <w:szCs w:val="20"/>
          <w:color w:val="auto"/>
        </w:rPr>
      </w:pPr>
    </w:p>
    <w:p>
      <w:pPr>
        <w:ind w:left="60" w:right="4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Program and Construction Management. </w:t>
      </w:r>
      <w:r>
        <w:rPr>
          <w:rFonts w:ascii="Times New Roman" w:cs="Times New Roman" w:eastAsia="Times New Roman" w:hAnsi="Times New Roman"/>
          <w:sz w:val="18"/>
          <w:szCs w:val="18"/>
          <w:color w:val="auto"/>
        </w:rPr>
        <w:t>We provide comprehensive program and construction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our public sector clients. These services include construction administration, inspection, observation, labor compliance, and community relations, depending on the client’s needs and the scope of the specific project. Our construction management experience encompasses projects such as streets, bridges, sewers and storm drains, water systems, parks, pools, public buildings, and utilities.</w:t>
      </w:r>
    </w:p>
    <w:p>
      <w:pPr>
        <w:spacing w:after="0" w:line="18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Structures. </w:t>
      </w:r>
      <w:r>
        <w:rPr>
          <w:rFonts w:ascii="Times New Roman" w:cs="Times New Roman" w:eastAsia="Times New Roman" w:hAnsi="Times New Roman"/>
          <w:sz w:val="18"/>
          <w:szCs w:val="18"/>
          <w:color w:val="auto"/>
        </w:rPr>
        <w:t>Our structural engineering services include bridge design, bridge evaluation and inspection, highway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railroad bridge planning and design, highway interchange design, railroad grade separation design, bridge seismic retrofitting, building design and retrofit, sound wall and retaining wall design, and planning and design for bridge rehabilitation and replacement.</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and Traffic. </w:t>
      </w:r>
      <w:r>
        <w:rPr>
          <w:rFonts w:ascii="Times New Roman" w:cs="Times New Roman" w:eastAsia="Times New Roman" w:hAnsi="Times New Roman"/>
          <w:sz w:val="18"/>
          <w:szCs w:val="18"/>
          <w:color w:val="auto"/>
        </w:rPr>
        <w:t>We provide a wide range of services relating to transportation, traffic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projects. For example, our transportation engineering services cover a full spectrum of support functions, including right of way, utility relocation, landscape, survey and mapping, geographic information systems, public outreach, and interagency coordination. Our traffic engineering services include serving as the contract city traffic engineer in communities, as well as performing design and traffic planning projects for our clients.</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Water Resources. </w:t>
      </w:r>
      <w:r>
        <w:rPr>
          <w:rFonts w:ascii="Times New Roman" w:cs="Times New Roman" w:eastAsia="Times New Roman" w:hAnsi="Times New Roman"/>
          <w:sz w:val="18"/>
          <w:szCs w:val="18"/>
          <w:color w:val="auto"/>
        </w:rPr>
        <w:t>We assist clients in addressing the many facets of water development, treatment,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conservation, including energy savings, technical, financial, legal, political, and regulatory requirements. Our core competencies include hydraulic modeling, master planning, rate studies and design and construction services. Our design experience includes reservoirs, pressure reducing stations, pump and lift stations, and pipeline alignment studies, as well as water/wastewater collection, distribution, and treatment facilities. We also provide a complete analysis and projection of storm flows for use in drainage master plans and for individual storm drain systems to reduce flooding in streets and adjacent properties. We design open and closed storm drain systems and detention basin facilities for cities, counties and the Army Corp of Engineers.</w:t>
      </w:r>
    </w:p>
    <w:p>
      <w:pPr>
        <w:spacing w:after="0" w:line="18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District Administration. </w:t>
      </w:r>
      <w:r>
        <w:rPr>
          <w:rFonts w:ascii="Times New Roman" w:cs="Times New Roman" w:eastAsia="Times New Roman" w:hAnsi="Times New Roman"/>
          <w:sz w:val="18"/>
          <w:szCs w:val="18"/>
          <w:color w:val="auto"/>
        </w:rPr>
        <w:t>We administer special districts on behalf of public agencies. The types of special districts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administered include property assessed clean energy (PACE), community facilities districts (in California, Mello-Roos districts), assessment districts, landscape and lighting districts, school facilities improvement districts, benefit assessment districts, fire suppression districts, and business improvement districts. Our district administration services include calculating the annual levy for each parcel in the district; billing charges directly or through a county tax roll; preparing the annual Engineer’s Report, budget and resolutions; reporting on collections and payment status; calculating prepayment quotes; and providing financial analyses, modeling and budget forecasting.</w:t>
      </w:r>
    </w:p>
    <w:p>
      <w:pPr>
        <w:spacing w:after="0" w:line="1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Consulting. </w:t>
      </w:r>
      <w:r>
        <w:rPr>
          <w:rFonts w:ascii="Times New Roman" w:cs="Times New Roman" w:eastAsia="Times New Roman" w:hAnsi="Times New Roman"/>
          <w:sz w:val="18"/>
          <w:szCs w:val="18"/>
          <w:color w:val="auto"/>
        </w:rPr>
        <w:t>We perform economic analyses and financial projects for public agencies, including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rate studies; utility rate analyses; utility system appraisals and asset acquisitions; economic development and redevelopment planning; development and implementation of land-based financing districts to provide revenue for public facilities and services; feasibility analyses, formation assistance, long-term financial plans, and annual district administration of Texas special districts (Public Improvement Districts, Tax Increment Reinvestment Zones, and Municipal Management Districts); real estate and market analyses associated with planning efforts; development fee studies; special district formation and other special projects.</w:t>
      </w:r>
    </w:p>
    <w:p>
      <w:pPr>
        <w:spacing w:after="0" w:line="142" w:lineRule="exact"/>
        <w:rPr>
          <w:sz w:val="20"/>
          <w:szCs w:val="20"/>
          <w:color w:val="auto"/>
        </w:rPr>
      </w:pPr>
    </w:p>
    <w:p>
      <w:pPr>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Federal Compliance. </w:t>
      </w:r>
      <w:r>
        <w:rPr>
          <w:rFonts w:ascii="Times New Roman" w:cs="Times New Roman" w:eastAsia="Times New Roman" w:hAnsi="Times New Roman"/>
          <w:sz w:val="18"/>
          <w:szCs w:val="18"/>
          <w:color w:val="auto"/>
        </w:rPr>
        <w:t>We offer several services that support bonded debt compliance reporting for cities, counties,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school districts, water districts, housing authorities, 501(c)(3) and other municipal entities. We provide</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39"/>
        <w:spacing w:after="0" w:line="282" w:lineRule="auto"/>
        <w:rPr>
          <w:sz w:val="20"/>
          <w:szCs w:val="20"/>
          <w:color w:val="auto"/>
        </w:rPr>
      </w:pPr>
      <w:r>
        <w:rPr>
          <w:rFonts w:ascii="Times New Roman" w:cs="Times New Roman" w:eastAsia="Times New Roman" w:hAnsi="Times New Roman"/>
          <w:sz w:val="18"/>
          <w:szCs w:val="18"/>
          <w:color w:val="auto"/>
        </w:rPr>
        <w:t>federal compliance services to approximately 750 issuers in 43 states and the District of Columbia managing approximately $69 billion in municipal debt.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are examples of typical projects we have performed in the Engineering and Consulting segment:</w:t>
      </w:r>
    </w:p>
    <w:p>
      <w:pPr>
        <w:spacing w:after="0" w:line="223" w:lineRule="exact"/>
        <w:rPr>
          <w:sz w:val="20"/>
          <w:szCs w:val="20"/>
          <w:color w:val="auto"/>
        </w:rPr>
      </w:pPr>
    </w:p>
    <w:p>
      <w:pPr>
        <w:ind w:left="1040" w:right="259" w:hanging="315"/>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City of Elk Grove, California, City Engineering, Capital Improvement, and Infrastructure Services.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comprehensive technical support to the Public Works and Development Services Departments for the over 170,000-resident community of Elk Grove, California. Our services have included public counter service, drainage/stormwater/NPDES, traffic engineering, permitting, land development review and inspection, CIP design and construction support. Serving the two City departments was a team of full-time engineers, scientists, managers, observers/inspectors, project managers, administrative support staff, and a team of subconsultants. All work was accomplished through a task order process that defined the scope of work, time of performance, and cost of services.</w:t>
      </w:r>
    </w:p>
    <w:p>
      <w:pPr>
        <w:spacing w:after="0" w:line="103" w:lineRule="exact"/>
        <w:rPr>
          <w:rFonts w:ascii="Times New Roman" w:cs="Times New Roman" w:eastAsia="Times New Roman" w:hAnsi="Times New Roman"/>
          <w:sz w:val="18"/>
          <w:szCs w:val="18"/>
          <w:color w:val="auto"/>
        </w:rPr>
      </w:pPr>
    </w:p>
    <w:p>
      <w:pPr>
        <w:ind w:left="1040" w:right="159" w:hanging="31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City of Long Beach, California, Engineering and Construction Management Services. </w:t>
      </w:r>
      <w:r>
        <w:rPr>
          <w:rFonts w:ascii="Times New Roman" w:cs="Times New Roman" w:eastAsia="Times New Roman" w:hAnsi="Times New Roman"/>
          <w:sz w:val="18"/>
          <w:szCs w:val="18"/>
          <w:color w:val="auto"/>
        </w:rPr>
        <w:t>We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management and public works inspection services for the City’s capital improvement and street maintenance programs. The projects involve building tenant improvements, landscaping, asphalt overlays, ADA compliance ramps, sidewalks, storm drains, water lines, sewer installations, underground utility improvements and other appurtenant work. We acted as the Owner’s Representative and Construction Manager responsible for coordinating all aspects of the construction, including coordination with the City’s Building Inspection Staff.</w:t>
      </w:r>
    </w:p>
    <w:p>
      <w:pPr>
        <w:spacing w:after="0" w:line="115" w:lineRule="exact"/>
        <w:rPr>
          <w:rFonts w:ascii="Times New Roman" w:cs="Times New Roman" w:eastAsia="Times New Roman" w:hAnsi="Times New Roman"/>
          <w:sz w:val="18"/>
          <w:szCs w:val="18"/>
          <w:color w:val="auto"/>
        </w:rPr>
      </w:pPr>
    </w:p>
    <w:p>
      <w:pPr>
        <w:ind w:left="1040" w:right="43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County of Los Angeles, California, Traffic Design and Operational Support Services. </w:t>
      </w:r>
      <w:r>
        <w:rPr>
          <w:rFonts w:ascii="Times New Roman" w:cs="Times New Roman" w:eastAsia="Times New Roman" w:hAnsi="Times New Roman"/>
          <w:sz w:val="18"/>
          <w:szCs w:val="18"/>
          <w:color w:val="auto"/>
        </w:rPr>
        <w:t>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traffic engineering services for Traffic Signal Synchronization Project. The services include meetings and project coordination with Los Angeles County and various municipalities as well as field review, equipment inventory, reporting for recommended improvements, traffic signal base plans, traffic signal improvement plans, traffic signal utility plans and engineering estimates for multiple signalized intersections along various street corridors.</w:t>
      </w:r>
    </w:p>
    <w:p>
      <w:pPr>
        <w:spacing w:after="0" w:line="114" w:lineRule="exact"/>
        <w:rPr>
          <w:rFonts w:ascii="Times New Roman" w:cs="Times New Roman" w:eastAsia="Times New Roman" w:hAnsi="Times New Roman"/>
          <w:sz w:val="18"/>
          <w:szCs w:val="18"/>
          <w:color w:val="auto"/>
        </w:rPr>
      </w:pPr>
    </w:p>
    <w:p>
      <w:pPr>
        <w:ind w:left="1040" w:right="99" w:hanging="315"/>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County of Orange, California, Code Enforcement Services. </w:t>
      </w:r>
      <w:r>
        <w:rPr>
          <w:rFonts w:ascii="Times New Roman" w:cs="Times New Roman" w:eastAsia="Times New Roman" w:hAnsi="Times New Roman"/>
          <w:sz w:val="18"/>
          <w:szCs w:val="18"/>
          <w:color w:val="auto"/>
        </w:rPr>
        <w:t>Our code enforcement team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responding to citizen concerns and investigations of a variety of code violations throughout the unincorporated areas of Orange County in support of its Neighborhood Preservation Program, including the reviewing, processing, and closing of code enforcement cases related to land use, zoning, building, grading, nuisance, and property maintenance violations. Our staff performs review of all case files, inspection of properties, filing notices and complaints against violators, documenting, and preparing violation cases for the district attorney’s office and/or County counsel and testifying in court. We assist in the entitlement/development process consisting of general land use, zoning and building violations.</w:t>
      </w:r>
    </w:p>
    <w:p>
      <w:pPr>
        <w:spacing w:after="0" w:line="103" w:lineRule="exact"/>
        <w:rPr>
          <w:rFonts w:ascii="Times New Roman" w:cs="Times New Roman" w:eastAsia="Times New Roman" w:hAnsi="Times New Roman"/>
          <w:sz w:val="18"/>
          <w:szCs w:val="18"/>
          <w:color w:val="auto"/>
        </w:rPr>
      </w:pPr>
    </w:p>
    <w:p>
      <w:pPr>
        <w:ind w:left="1040" w:right="19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City of Phoenix, Building and Safety Services. </w:t>
      </w:r>
      <w:r>
        <w:rPr>
          <w:rFonts w:ascii="Times New Roman" w:cs="Times New Roman" w:eastAsia="Times New Roman" w:hAnsi="Times New Roman"/>
          <w:sz w:val="18"/>
          <w:szCs w:val="18"/>
          <w:color w:val="auto"/>
        </w:rPr>
        <w:t>We have provided Building Safety, Building Inspection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and Fire plan review services to the City of Phoenix Building and Fire Departments since 2001. Willdan Building Inspectors and Reviewers report to the City of Phoenix where the city provides assignments. Inspectors are assigned residential new construction, additions, and remodel inspections. Fire plan reviewers are assigned commercial fire protection systems and Fire Code reviews. Plan reviewers are assigned residential new construction, additions and remodels reviews.</w:t>
      </w:r>
    </w:p>
    <w:p>
      <w:pPr>
        <w:spacing w:after="0" w:line="114"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City of Sherman, Texas, Financial Services</w:t>
      </w:r>
      <w:r>
        <w:rPr>
          <w:rFonts w:ascii="Times New Roman" w:cs="Times New Roman" w:eastAsia="Times New Roman" w:hAnsi="Times New Roman"/>
          <w:sz w:val="18"/>
          <w:szCs w:val="18"/>
          <w:color w:val="auto"/>
        </w:rPr>
        <w:t>. We assist the City of Sherman with navigating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aspects of the largest capital projects in the city’s history to support $3 billion in private investment for chip and wafer manufacturing. We completed a Water and Wastewater Utility Rate Study, and provide economic development decision support, and ongoing comparative scenario analyses, and hold briefings and alignment workshops for elected officials.</w:t>
      </w:r>
    </w:p>
    <w:p>
      <w:pPr>
        <w:spacing w:after="0" w:line="115"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Great Lakes Water Authority (“GLWA”), Detroit, Michigan, Financial Services. </w:t>
      </w:r>
      <w:r>
        <w:rPr>
          <w:rFonts w:ascii="Times New Roman" w:cs="Times New Roman" w:eastAsia="Times New Roman" w:hAnsi="Times New Roman"/>
          <w:sz w:val="18"/>
          <w:szCs w:val="18"/>
          <w:color w:val="auto"/>
        </w:rPr>
        <w:t>We serve as GLWA’s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consultant. We provide annual cost of service studies, proposed schedule of recommended rates and charges, community-specific charge calculation sheets, member outreach and public hearing presentations regarding proposed changes to water and wastewater service charges, and other related support services at the request of GLWA.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clients primarily consist of investor and municipal owned energy utilities, public and governmental agencies including cities, counties, redevelopment agencies, water districts, school districts and universities, state agencies, federal agencies and a variety of other special districts and agencies. We also provide services to private industry, hospitals, hotels, and a wide variety of other commercial enterprises.</w:t>
      </w:r>
    </w:p>
    <w:p>
      <w:pPr>
        <w:spacing w:after="0" w:line="180"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are organized to profitably manage numerous small and large contracts at the same time. The majority of our contracts typically range from $1,000 to $10,000,000 in contract revenue; however, several of our construction management service contracts exceed $20,000,000 and can range up to $130,000,000 in construction value. In addition, many of our multi-year utility program management contracts exceed $10,000,000 and, two of our largest contracts have provided contract limits in excess of $100,000,000 in revenue over a period of five years for the management of utility incentive programs for the implementation of energy efficiency measures. Our contracts typically have a duration of between two and thirty-six months, although we have city services contracts that have been renewed or re-awarded and in effect for over 30 years. Most of our contracts include a provision allowing for termination for convenience after reimbursement of any unbilled effort under the contract. As of December 27, 2024, we had approximately 2,500 open projects.</w:t>
      </w:r>
    </w:p>
    <w:p>
      <w:pPr>
        <w:spacing w:after="0" w:line="194"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2024, we had no individual customers that accounted for more than 10% of our consolidated contract revenues and our top 10 customers accounted for 51.3% of our consolidated contract revenues.</w:t>
      </w:r>
    </w:p>
    <w:p>
      <w:pPr>
        <w:spacing w:after="0" w:line="162"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Our largest clients are based in California and New York. In fiscal year 2024, services provided to clients in California accounted for 43.9% of our consolidated contract revenue, and services provided to clients in New York accounted for 23.6% of our consolidated contract revenue.</w:t>
      </w:r>
    </w:p>
    <w:p>
      <w:pPr>
        <w:spacing w:after="0" w:line="176"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collaborate with the LADWP through the Commercial Direct Install Program, which is a small business lighting energy efficiency program that serves all commercial customers in the LADWP territory with demand up to 250kW. On average, this program typically implements approximately 8,000 energy efficiency projects a year and has implemented over 106,000 projects since program inception in 2008. Over that time, we have saved the LADWP and its customers over half a million MWh per year and almost one hundred MW of peak demand, and also provided lead generation identifying over 5,500 water efficiency upgrades.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also collaborate with Duke Energy - Progress to manage the small business direct install program in North Carolina and South Carolina. Since its launch in 2013, the program has grown to encompass all eligible Duke Energy customers in North Carolina, South Carolina, Indiana, and Kentucky. The Small Business Energy Saver Program offers eligible commercial customers the opportunity to retrofit a comprehensive list of existing inefficient equipment with more energy-efficient measures. The program provides integrated turn-key services including program marketing, energy assessments, installation by local contractors, up to 80 percent incentives to offset the cost of projects, and education to encourage the replacement of existing equipment with improvements in lighting, refrigeration, and HVAC. We continue to implement programs across these four states and have completed over 35,000 projects for Duke Energy resulting in over 925,000 MWh in savings to small businesses.</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implement Consolidated Edison’s Small and Medium Business Program across the utility's New York City and Westchester County service area, as well as Consolidated Edison’s Multifamily program, their largest energy efficiency program. After giving effect to renewals and extensions, both contracts continue through the end of 2025. These programs help customers save energy, lower their bills, and protect the environment by providing financial incentives to identify and buy down the cost of energy efficiency measures. They also provide incentives to customers who electrify their buildings and reduce their carbon footprint by installing heat pumps. To support this effort, we provide full-service program implementation including outreach and direct sales to potential commercial customers, on-site energy efficiency assessments, direct implementation of energy savings measures and participating contractor management. The administration of incentive payments to other contractors providing services through the program is included in our scope, but the structure of the contract is such that these payments are not included in revenue or expenses. Consolidated Edison may terminate the contract at any time for any reason. Consolidated Edison has been a customer of ours since 2009.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 of substantially all of the assets of Genesys in March 2016, we entered into an administrative services agreement with Genesys pursuant to which our subsidiary, WES, provides Genesys with ongoing administrative, operational and other non-professional support services. Under such administrative services agreement, WES provides administrative services for a series of Genesys’s DASNY and other contracts. WES provides administrative services to Genesys in its performance of rehabilitation and construction work and architectural and engineering services at various sites within New York State. Services for DASNY under these contracts also include energy efficient design, utility cost evaluation and review, and various regulatory compliance services. Specific project descriptions are set out by DASNY in work authorizations, which are issued under the terms of the contracts. The termination dates of the DASNY contracts vary; the latest of which is November 2026. Work authorized but not yet completed under this contract continues to be bound by the terms of the agreement beyond the termination date until completion of the projects. Genesys expects to continue to receive amendments from DASNY to the master contract extending the termination date under DASNY’s option to extend this contract term twice, one year at a time. DASNY may at any time terminate any of the contracts or suspend all projects, for its convenience and without cause. DASNY has been a customer of Genesys since 1983.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Structure</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generally provide our services under contracts, purchase orders, licensing agreements or retainer letters. The agreements we enter into with our clients typically incorporate one of three principal types of pricing provisions:</w:t>
      </w:r>
    </w:p>
    <w:p>
      <w:pPr>
        <w:spacing w:after="0" w:line="160" w:lineRule="exact"/>
        <w:rPr>
          <w:sz w:val="20"/>
          <w:szCs w:val="20"/>
          <w:color w:val="auto"/>
        </w:rPr>
      </w:pPr>
    </w:p>
    <w:p>
      <w:pPr>
        <w:ind w:left="1040" w:right="99" w:hanging="315"/>
        <w:spacing w:after="0" w:line="26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Time-and-materials provisions </w:t>
      </w:r>
      <w:r>
        <w:rPr>
          <w:rFonts w:ascii="Times New Roman" w:cs="Times New Roman" w:eastAsia="Times New Roman" w:hAnsi="Times New Roman"/>
          <w:sz w:val="18"/>
          <w:szCs w:val="18"/>
          <w:color w:val="auto"/>
        </w:rPr>
        <w:t>provide for reimbursement of costs and overhead plus a fee for labor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expended on a project multiplied by a negotiated hourly billing rate. The profitability achievable on a time-and-materials basis is driven by billable headcount, staff utilization, and cost control.</w:t>
      </w:r>
    </w:p>
    <w:p>
      <w:pPr>
        <w:spacing w:after="0" w:line="173"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Unit-based provisions </w:t>
      </w:r>
      <w:r>
        <w:rPr>
          <w:rFonts w:ascii="Times New Roman" w:cs="Times New Roman" w:eastAsia="Times New Roman" w:hAnsi="Times New Roman"/>
          <w:sz w:val="18"/>
          <w:szCs w:val="18"/>
          <w:color w:val="auto"/>
        </w:rPr>
        <w:t>require the delivery of specific units of work, such as energy efficiency savings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in kWh or Therms, arbitrage rebate calculations, software access terms, dissemination of municipal securities continuing disclosure reports, or building plan checks, at an agreed price per unit, with the total payment under the contract determined by the actual number of units performed.</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5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Fixed price provisions </w:t>
      </w:r>
      <w:r>
        <w:rPr>
          <w:rFonts w:ascii="Times New Roman" w:cs="Times New Roman" w:eastAsia="Times New Roman" w:hAnsi="Times New Roman"/>
          <w:sz w:val="18"/>
          <w:szCs w:val="18"/>
          <w:color w:val="auto"/>
        </w:rPr>
        <w:t>require all work under a contract to be performed for a specified lump sum,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subject to adjustment if the scope of the project changes. Contracts with fixed price provisions carry certain inherent risks, including risks of losses from underestimating costs, delays in project completion, problems with new technologies, price increases for materials, and economic and other changes that may occur over the contract period. Consequently, the profitability, if any, of fixed price contracts can vary substantially. We typically mitigate some of these risks through the use of fixed price subcontracts for services, material, and equipment.</w:t>
      </w:r>
    </w:p>
    <w:p>
      <w:pPr>
        <w:spacing w:after="0" w:line="18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approximate percentage of our contract revenue subject to each type of pricing provision:</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4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Time-and-materials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Unit-based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42 %</w:t>
            </w:r>
          </w:p>
        </w:tc>
        <w:tc>
          <w:tcPr>
            <w:tcW w:w="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price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39 %</w:t>
            </w:r>
          </w:p>
        </w:tc>
        <w:tc>
          <w:tcPr>
            <w:tcW w:w="8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35 %</w:t>
            </w:r>
          </w:p>
        </w:tc>
      </w:tr>
      <w:tr>
        <w:trPr>
          <w:trHeight w:val="21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relation to the pricing provisions, our service-related contracts, including operations and maintenance services and a variety of technical assistance services, are accounted for over the period of performance, in proportion to the cost of performance. Award and incentive fees are recorded when they are fixed and determinable and consider customer contract terms.</w:t>
      </w:r>
    </w:p>
    <w:p>
      <w:pPr>
        <w:spacing w:after="0" w:line="18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For time-and-materials and fixed price contracts, we bill our clients periodically in accordance with the contract terms, based on costs incurred on either an hourly fee basis or on a percentage of completion basis or upon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achievement of certain prescribed milestones, as the project progresses. For unit-based contracts, we bill our clients upon delivery and completion of the contracted item or service, and in some cases, in advance of delivery.</w:t>
      </w:r>
    </w:p>
    <w:p>
      <w:pPr>
        <w:spacing w:after="0" w:line="16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contracts come up for renewal periodically and, at the time of renewal, may be subject to renegotiation or recompetition,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transactions and generally low customer concentration, the renewal, termination, or modification of a contract may have a material effect on our consolidated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markets for energy efficiency and sustainability, engineering, construction management, economic and financial consulting, design planning and national preparedness services are competitive and highly fragmented. Our competition varies by type of client, type of service and geography. The range of competitors for any one project can vary depending upon technical specialties, the relative value of the project, geographic location, financial terms, risks associated with the work, and any client-imposed restrictions. We often compete with many other firms ranging from small local firms to large international firms. Contract awards are based primarily on qualifications, relevant experience, staffing capabilities, geographic presence, financial stability, customer service, and price. We face strong competition primarily from other regional, national, and international providers of energy efficiency and sustainability consulting services, local electrical and mechanical contractors and engineering firms, lighting and lighting fixture manufacturers and distributors. In addition to our existing competitors, new competitors such as large national or international engineering and/or construction companies could enter our markets.</w:t>
      </w:r>
    </w:p>
    <w:p>
      <w:pPr>
        <w:spacing w:after="0" w:line="19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Doing business with utilities and governmental agencies is complex and requires the ability to understand and comply with intricate regulations and to satisfy periodic audits. We have been serving cities, counties, special districts and other public agencies for over half a century. We believe that the ability to understand these requirements and to successfully conduct business with utilities, governmental entities and agencies is a barrier to entry for potential competitors.</w:t>
      </w:r>
    </w:p>
    <w:p>
      <w:pPr>
        <w:spacing w:after="0" w:line="18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Unlike some of our competitors, we focus our services on utilities and public sector clients and generally exclude residential services. Utility and public sector clients generally choose among competing firms by weighing the quality, experience, innovation and timeliness of the firm’s services. When selecting consultants for engineering projects, many utilities and government agencies are required to, and others choose to, employ Qualifications Based Selection (“QBS”). QBS requires the selection of the most technically qualified firms for a project, while the financial and legal terms of the engagement are generally secondary.</w:t>
      </w:r>
    </w:p>
    <w:p>
      <w:pPr>
        <w:spacing w:after="0" w:line="187"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Our competition varies geographically. Although we provide services in several states, we may be stronger in certain service lines in some geographical areas than in other regions. Similarly, some of our larger competitors are stronger in some service lines in certain localities but are not as competitive in others. Our smaller competitors generally are limited both geographically as well as by the depth and breadth of services they are able to provide.</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consider our principal competitive advantages to be our reputation for dependability, technical knowledge and industry expertise of employees, quality of services and solutions, and the scope and scale of our service offerings. We believe that no single competitor has sufficient market share to influence the markets in which we operate.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To address the hazards inherent in our business, we maintain insurance coverage through the following policies: commercial general liability, automobile liability, workers’ compensation and employer’s liability, cyber liability, professional liability and umbrella/excess liability. However, if any claims, settlements, or judgements, individually or in the aggregate, exceed our policy limits, we are liable to pay these claims from our assets. We believe our coverage limits reasonably protect us from any material adverse impact that may arise from these insured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 Licensing, and Enforcement</w:t>
      </w:r>
    </w:p>
    <w:p>
      <w:pPr>
        <w:spacing w:after="0" w:line="229"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revenues is derived from services provided to public utilities which are generally overseen by state or local public utility commissions who provide and administer a regulatory framework governing the sourcing, distribution, pricing and general management of electricity and natural gas. Our services are often mandated by these regulatory frameworks requiring utilities to meet certain goals for energy efficiency, renewable energy and other metrics which impact demand for our services. This framework of regulatory mandates is updated by state and local ordinance and some federal regulatory action as well. Demand for our services can be impacted from year to year by changes in these regulatory acts regarding energy management, utility budgets and the allowable financial parameters imposed by these regulatory agencies.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As a professional services company, our continuing success relies on attracting, developing, and retaining a workforce that is both technically excellent and responsive to the needs of our clients and customers. An integral part of our ability to attract and retain qualified talent depends on our ability to maintain a culture reflective of the diverse communities that we serve.</w:t>
      </w:r>
    </w:p>
    <w:p>
      <w:pPr>
        <w:spacing w:after="0" w:line="18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Willdan has a culture of acceptance, individuality, and respect, creating an environment where every employee feels included and empowered to contribute their unique perspectives, develop innovative ideas, and bring their best skills to work each day.</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is a core value and we continuously strive to provide a working environment that is reflective of that belief. At Willdan, our leadership embraces and supports the efforts required to drive the proactive management of risk and the elevation of our safety culture. In addition, to better communicate and market our safety objectives, our corporate safety council meets monthly and engages member representatives across the organization, bringing practical and timely information forward to share with our workforce.</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December 27, 2024, we employed a total of 1,761 employees, excluding contractors. Our employees include, among others, licensed electrical, mechanical, structural, geotechnical and civil engineers; land surveyors; certified building officials; certified inspectors and plans examiners; licensed architects and landscape architects; certified planners; energy sales and audit specialists; installation technicians; program managers; policy advisors and information technology specialists. We believe that we attract and retain highly skilled personnel with significant industry experience and strong client relationships by offering them challenging assignments in a dynamic work environment that recognizes, supports, and encourages diverse backgrounds and inter-cultural cooperation combined with compensation and employee benefit programs that are competitive with those offered by our competitors. See Part I, Item 1A, "Risk Factors" included in this Annual Report on Form 10-K for a discussion of the risks related to the loss of key personnel or our inability to attract and retain qualified personnel.</w:t>
      </w:r>
    </w:p>
    <w:p>
      <w:pPr>
        <w:spacing w:after="0" w:line="194"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our employees in each of our business segments and our holding company:</w:t>
      </w:r>
    </w:p>
    <w:tbl>
      <w:tblPr>
        <w:tblLayout w:type="fixed"/>
        <w:tblInd w:w="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52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 Employees (Willdan Group,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CCEEFF"/>
          </w:tcPr>
          <w:p>
            <w:pPr>
              <w:spacing w:after="0"/>
              <w:rPr>
                <w:sz w:val="18"/>
                <w:szCs w:val="18"/>
                <w:color w:val="auto"/>
              </w:rPr>
            </w:pPr>
          </w:p>
        </w:tc>
      </w:tr>
      <w:tr>
        <w:trPr>
          <w:trHeight w:val="20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3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2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Stewardship</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a leading energy solutions provider and sustainability consultant, climate change mitigation is at the core of our identity. We deliver comprehensive sustainable solutions to our clients to reduce their carbon intensity and facilitate their transition to a net-zero carbon future. We provide planning and policy analysis for governments, regulators, and utilities, as well as innovative financing programs that bring the benefit of clean energy to underserved neighborhoods and disadvantaged customers.</w:t>
      </w:r>
    </w:p>
    <w:p>
      <w:pPr>
        <w:spacing w:after="0" w:line="18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help clients reduce carbon intensity to become cleaner, more sustainable organizations through measurement and goal setting, sustainable engineering designs, installation of more efficient lighting, heating and cooling measures and the development and implementation of master plans for environmental sustainability, carbon reduction and energy efficiency to meet specific goals.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At Willdan, strong and effective corporate governance is the foundation of a well-run, sustainable business. Our corporate governance practices set clear expectations and responsibilities for leaders, employees, and partners to create long-term, competitive returns for shareholders and lasting value for all stakeholders.</w:t>
      </w:r>
    </w:p>
    <w:p>
      <w:pPr>
        <w:spacing w:after="0" w:line="17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conducting business in a legal, ethical, and trustworthy manner; strictly upholding our regulatory obligations everywhere we operate; and complying with both the letter and spirit of our business policies and values. We are committed to accountability for our actions and goals.</w:t>
      </w:r>
    </w:p>
    <w:p>
      <w:pPr>
        <w:spacing w:after="0" w:line="1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With our commitment to corporate governance principles, we have adopted, among other measures, a Code of Ethical Conduct, as well charters for each of the four standing committees of our Board of Directors (“Board”). These governance measures promote effective functioning of our Board and its committees, protecting our interests as a whole. The measures articulate shared expectations for how the Board, its committees, and our management should perform their respective functions.</w:t>
      </w:r>
    </w:p>
    <w:p>
      <w:pPr>
        <w:spacing w:after="0" w:line="18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Annually, the Board works with our senior management team on a detailed, multi-year strategic plan, reviewing goal progress each quarter. The Board also oversees efforts by Willdan’s senior management team in managing mitigation of environmental and social risks.</w:t>
      </w:r>
    </w:p>
    <w:p>
      <w:pPr>
        <w:spacing w:after="0" w:line="1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managed under the direction of the Board, which is currently composed of seven directors. As of the start of fiscal year 2024, the role of Chairman of the Board is separate from the role of CEO. The Board has determined that our directors, except for Mr. Bieber, our President and CEO, and Dr. Brisbin, our former CEO, are independent under the rules of the listing standards for the Nasdaq Global Market and the Securities Exchange Act of 1934, as amended. As the director most familiar with our business and industry, we believe that our former CEO is best suited to serve as Chairman of our Board. Our Chairman and our CEO work in collaboration with our Lead Independent Director, who is appointed biannually by the Board. Our Board is comprised of a diverse group of academics, financial advisors and industry practitioners with extensive experience in the governance and direction of publicly-traded enterprises. At any time, shareholders and other interested parties may communicate by writing to the Board generally, with the non-employee directors as a group, or to a specific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believe we have strong name recognition and that this provides us with a competitive advantage in obtaining new business. Consequently, we believe it is important to protect our brand identity through trademark registrations. The Willdan, Willdan Group, Inc., Willdan Engineering, Willdan Energy Company, Willdan Financial Services, and Willdan Energy Solutions names are service marks of ours, and we have obtained service marks for “E3”, “Willdan” and our stylized “W” logo. We have also obtained federal service mark registration with the United States Patent and Trademark Office for the “Willdan” name and “Willdan Group, Inc.” name. The name and logo of our proprietary software, MuniMagic+SM, our California energy efficiency CEDA, as well as our proprietary platform as a service VIEWPOINT are also registered marks, and we have registered a federal copyright for the source code for the MuniMagic+SM software. In connection with our acquisitions, we have obtained the trademark for our “LoadSEER” software, have obtained the patent for “Optimization of Microgrid Energy Use and Distribution”, have obtained the service marks for the Enerpath, Enerworks and Lime/Green Dial Design, and have obtained the registered copyright of Lime, Lime Energy, and Main Street Efficiency, NEO, Net Energy Optimizer, Collaboration Analysis Research, and several Weidt Group designs.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Internet website at http://www.willdan.com. Through our website, in the “Investors” section under the heading “SEC Filings”, we make available, free of charge, our annual reports on Form 10-K, quarterly reports on Form 10-Q, current reports on Form 8-K, proxy statements, and amendments to those reports, as soon as reasonably practicable after we electronically file or furnish such materials to the SEC. We also make available on this website our prior earnings calls under the heading “Events and Presentations” and our Code of Ethical Conduct under the heading “Corporate Governance.” The information on our website is not a part of or incorporated by reference into this filing. The SEC maintains an Internet site that contains reports, proxy, and information statements and other information regarding our filings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7"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changing environment that involves numerous known and unknown risks and uncertainties that could materially adversely affect our operations. Set forth below and elsewhere in this report and in other documents we file with the SEC are descriptions of risks and uncertainties that could cause our actual results to differ materially from the results and expectations contained in this report. Additional risks we do not yet know of or that we currently think are immaterial may also affect our business operations. If any of the events or circumstances described in the following risks actually occurs, our business, financial condition or results of operations could be materially adversely affected.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Operations</w:t>
      </w:r>
    </w:p>
    <w:p>
      <w:pPr>
        <w:spacing w:after="0" w:line="225" w:lineRule="exact"/>
        <w:rPr>
          <w:sz w:val="20"/>
          <w:szCs w:val="20"/>
          <w:color w:val="auto"/>
        </w:rPr>
      </w:pPr>
    </w:p>
    <w:p>
      <w:pPr>
        <w:ind w:left="60" w:right="31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a project in a timely manner, miss a required performance standard, or otherwise fail to adequately perform on a project, then we may incur a loss on that project, which may reduce or eliminate our overall profitability.</w:t>
      </w: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Our engagements often involve large-scale, complex projects. The quality of our performance on such projects depends in large part upon our ability to manage the relationship with our clients and our ability to effectively manage the project and deploy appropriate resources, including third-party contractors and our own personnel, in a timely manner. We may commit to a client that we will complete a project by a scheduled date or that, when completed, a project will achieve specified performance standards (e.g., some of our contracts stipulate certain energy savings requirements). If the project is not completed by the scheduled date or fails to meet required performance standards, we may either incur significant additional costs or be held responsible for the costs incurred by the client to rectify damages due to late completion or failure to achieve the required performance standards. The uncertainty of the timing of a project can present difficulties in planning the amount of personnel needed for the project. If the project is delayed or canceled, we may bear the cost of an underutilized workforce that was dedicated to fulfilling the project. In addition, performance of projects can be affected by a number of factors beyond our control, including, among other things, unavoidable delays from government inaction, public opposition, inability to obtain financing, weather conditions, unavailability of vendor materials (including but not limited to import restrictions or pandemics or other public health emergencies), changes in the project scope of services requested by our clients, industrial accidents,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clients’ expectations, could result in claims for damages against us. Failure to meet performance standards or complete performance on a timely basis could also adversely affect our reputation and client base.</w:t>
      </w:r>
    </w:p>
    <w:p>
      <w:pPr>
        <w:spacing w:after="0" w:line="185" w:lineRule="exact"/>
        <w:rPr>
          <w:sz w:val="20"/>
          <w:szCs w:val="20"/>
          <w:color w:val="auto"/>
        </w:rPr>
      </w:pPr>
    </w:p>
    <w:p>
      <w:pPr>
        <w:ind w:left="60" w:right="2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and control our contract costs, then we may incur losses on our contracts, which could decrease our operating margins and reduce our profits. In particular, our fixed-price contracts could increase the unpredictability of our earnings.</w:t>
      </w: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Under fixed-price contracts, we receive a fixed price irrespective of the actual costs we incur (which protects clients) and, consequently, we are exposed to a number of risks that are generally not included under time-and-materials and unit-based contracts. We realize a profit on fixed­price contracts only if we can control our costs and prevent cost overruns on our contracts. Fixed­price contracts require cost and scheduling estimates that are based on a number of assumptions, including those about future economic conditions, costs, and availability of labor, equipment and materials, and other exigencies. We could experience cost overruns if these estimates were initially inaccurate as a result of errors or ambiguities in the contract specifications, or become inaccurate as a result of a change in circumstances following the submission of the estimate due to, among other things, unanticipated technical or equipment problems, difficulties in obtaining permits or approvals, changes in local laws or labor conditions, weather delays, changes in costs of raw materials as a result of elevated inflation, supply chain shortages or otherwise, or the inability of our vendors or subcontractors to perform their obligations. 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 material adverse impact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Under our time-and-material contracts, we are generally paid for our efforts at negotiated hourly billing rates for our staff, plus reimbursement for subcontractors and other direct costs. Profitability on these contracts is driven by control over the number of hours required to execute the tasks, the mix of staff utilized and the percentage of staff time expended on directly billable activities. Many of our time-and-materials contracts are subject to maximum contract values. In the event that we estimate the potential to exceed those maximum contract values at the contracted rates, revenue relating to these contracts is recognized as if these contracts were fixed-price contracts.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accurately estimate and manage our costs, we may incur losses on our contracts, which could decrease our operating margins and significantly reduce or eliminate our profits. Certain of our contracts require us to satisfy specific design, engineering, procurement, or construction milestones in order to receive payment for the work completed or equipment or supplies procured prior to achievement of the applicable milestone. As a result, under these types of arrangements, we may incur significant costs or perform significant amounts of services prior to receipt of payment. If a client determines not to proceed with the completion of the project or if the client defaults on its payment obligations, we may face difficulties in collecting payment of amounts due to us for the costs previously incurred or for the amounts previously expended to purchase equipment or supplies.</w:t>
      </w:r>
    </w:p>
    <w:p>
      <w:pPr>
        <w:spacing w:after="0" w:line="188" w:lineRule="exact"/>
        <w:rPr>
          <w:sz w:val="20"/>
          <w:szCs w:val="20"/>
          <w:color w:val="auto"/>
        </w:rPr>
      </w:pPr>
    </w:p>
    <w:p>
      <w:pPr>
        <w:ind w:left="60" w:right="9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use of the percentage-of-completion method of revenue recognition on our fixed price contracts could result in a reduction or reversal of previously recorded revenue and profits.</w:t>
      </w:r>
    </w:p>
    <w:p>
      <w:pPr>
        <w:spacing w:after="0" w:line="1"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account for our fixed price contracts on the percentage-of-completion method of revenue recognition. Generally, our use of this method results in recognition of revenue and profit ratably over the life of the contract, based on the proportion of costs incurred to date to total costs expected to be incurred for the entire project. The effects of revisions to revenue and estimated costs, including the achievement of award fees and the impact of change orders and claims, are recorded when the amounts are known and can be reasonably estimated. Such revisions could occur in any period and their effects could be material. While we have historically made reasonably reliable estimates of the progress towards completion of long-term contracts, the uncertainties inherent in the estimating process make it possible for actual costs to vary materially from initial estimates, which could result in reductions or reversals of previously recorded revenue and profit.</w:t>
      </w:r>
    </w:p>
    <w:p>
      <w:pPr>
        <w:spacing w:after="0" w:line="189" w:lineRule="exact"/>
        <w:rPr>
          <w:sz w:val="20"/>
          <w:szCs w:val="20"/>
          <w:color w:val="auto"/>
        </w:rPr>
      </w:pPr>
    </w:p>
    <w:p>
      <w:pPr>
        <w:ind w:left="60" w:right="29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revenues are primarily derived from the energy services industry and, therefore, we are highly susceptible to risks relating to such industry.</w:t>
      </w:r>
    </w:p>
    <w:p>
      <w:pPr>
        <w:spacing w:after="0" w:line="1"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 loss of customers, inability to procure or maintain contracts, a downturn in demand, or a change in the energy regulatory environment in the energy services industry could have a material adverse impact on our business, results of operations and financial condition. If we are unable to maintain and expand our current utility relationships and develop new relationships, maintain and enhance our existing energy services, execute our business and marketing strategies successfully and achieve the energy savings that are specified in our contracts, we may not be able to supplement the loss of revenue from our other services and it may result in lower revenues and have an adverse impact on our business, results of operations and financial condition.</w:t>
      </w:r>
    </w:p>
    <w:p>
      <w:pPr>
        <w:spacing w:after="0" w:line="18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demand and terms for energy efficiency services and utility programs in general are highly regulated and driven by various state regulatory commissions. Changes in those regulations or the standards and goals imposed by the regulatory commissions could adversely affect the demand for or the terms under which those utility programs may be conducted and adversely affect the company’s profitability.</w:t>
      </w:r>
    </w:p>
    <w:p>
      <w:pPr>
        <w:spacing w:after="0" w:line="3"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Most states have an independent energy regulatory commission or body to oversee the operations of the utilities providing electricity and gas to consumers. Those regulatory commissions often set the goals, standards, prices and other specific terms under which the utilities are required to operate. Those regulatory mandates, including mandates for greenhouse gas reductions, the composition of energy generation sources, the amount of energy consumption reductions, the cost effectiveness of those reductions and the various terms under which those mandates are to be delivered set firm boundaries within which the utilities may contract with third parties such as Willdan. Changes in those regulatory mandates, goals and terms impact existing and future contracts under which we work with the utilities and can have a significant impact on the company’s ability to generate revenue or the level of effort and cost required to deliver required savings, or both. Those changes could have the effect of making our utility contracts more or less profitable and increase or decrease the demand for our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is cyclical and vulnerable to economic downturns. If economic growth slows, government fiscal conditions worsen, public and private construction/renovation activity slows, or client spending declines, it may have a material adverse effect on our business, results of operations and financial condition.</w:t>
      </w:r>
    </w:p>
    <w:p>
      <w:pPr>
        <w:ind w:left="60" w:right="59" w:firstLine="648"/>
        <w:spacing w:after="0" w:line="266" w:lineRule="auto"/>
        <w:rPr>
          <w:sz w:val="20"/>
          <w:szCs w:val="20"/>
          <w:color w:val="auto"/>
        </w:rPr>
      </w:pPr>
      <w:r>
        <w:rPr>
          <w:rFonts w:ascii="Times New Roman" w:cs="Times New Roman" w:eastAsia="Times New Roman" w:hAnsi="Times New Roman"/>
          <w:sz w:val="17"/>
          <w:szCs w:val="17"/>
          <w:color w:val="auto"/>
        </w:rPr>
        <w:t>Demand for our services is cyclical, and vulnerable to economic downturns and reductions in government and private industry spending. Such downturns or reductions may result in clients delaying, curtailing or canceling proposed and existing projects. Our business traditionally lags the overall recovery in the economy; therefore, our business may not recover immediately when the economy improves. If economic growth slows, including as a result of elevated inflation and interest rates, government fiscal conditions worsen, or client spending declines, it may have a material adverse effect on our business, results of operations and financial condition. Our government clients may face budget deficits that prohibit them from funding new or existing projects. In addition, our existing and potential clients may either postpone entering into new contracts or request price concessions. Difficult financing and economic conditions may cause some of our clients to demand better pricing terms or delay payments for services we perform, thereby increasing the average number of days our receivables are outstanding, and the potential of increased credit losses of uncollectible invoices. Further, these conditions may result in the inability of some of our clients to pay us for services that we have already performed. If we are not able to reduce our costs quickly enough to respond to the revenue decline from these clients, our operating results may be adversely affected. Accordingly, these factors affect our ability to forecast our future revenue and earnings from business areas that may be adversely impacted by market conditions. Any of these factors could adversely affect the demand for our services, which could have a material adverse effect on our business, results of operations and financial condition.</w:t>
      </w:r>
    </w:p>
    <w:p>
      <w:pPr>
        <w:spacing w:after="0" w:line="184"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quality of our service and our ability to perform under some of our contracts would be adversely affected if qualified subcontractors are unavailable for us to engage, if our subcontractors fail to satisfy their obligations to us or other parties, or if we are unable to maintain these relationships which, in each case, could adversely affect our business, results of operations and financial condition.</w:t>
      </w:r>
    </w:p>
    <w:p>
      <w:pPr>
        <w:spacing w:after="0" w:line="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some of our contracts, we rely on the efforts and skills of subcontractors for the performance of some of the tasks. Our use of subcontractors has increased in recent years as a result of the increase in the percentage of our revenues derived from the direct installation of energy efficiency measures, including performance contracting and construction management services for more complex projects. Our Energy segment generally utilizes a higher percentage of subcontractors than the Engineering and Consulting segment. The absence of qualified subcontractors with whom we have a satisfactory relationship could adversely affect the quality of our service offerings and therefore, adversely affect our business, results of operations and financial condition.</w:t>
      </w:r>
    </w:p>
    <w:p>
      <w:pPr>
        <w:spacing w:after="0" w:line="18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There is a risk that we may have disputes with our subcontractors arising from, among other things, the quality and timeliness of work performed by the subcontractor, client concerns about the subcontractor, or our failure to extend existing task orders or issue new task orders under a subcontract. In addition, if a subcontractor fails to deliver on a timely basis the agreed-upon supplies, fails to perform the agreed-upon services, or goes out of business, then we may be required to purchase the services or supplies from another source at a higher price, and our ability to fulfill our obligations as a prime contractor may be jeopardized. This may reduce the profit to be realized or result in a loss on a project for which the services or supplies are needed.</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also rely on relationships with other contractors when we act as their subcontractor or joint venture partner. The absence of qualified subcontractors with which we have a satisfactory relationship could adversely affect the quality of our service and our ability to perform under some of our contracts. Our future revenue and growth prospects could be adversely affected if other contractors eliminate or reduce their subcontracts or teaming arrangement relationships with us, or if a government agency terminates or reduces these other contractors’ programs, does not award them new contracts, or refuses to pay under a contract.</w:t>
      </w:r>
    </w:p>
    <w:p>
      <w:pPr>
        <w:spacing w:after="0" w:line="183" w:lineRule="exact"/>
        <w:rPr>
          <w:sz w:val="20"/>
          <w:szCs w:val="20"/>
          <w:color w:val="auto"/>
        </w:rPr>
      </w:pPr>
    </w:p>
    <w:p>
      <w:pPr>
        <w:ind w:left="60" w:right="15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Supply chain constraints and labor shortages could negatively impact our business, financial condition and results of operations.</w:t>
      </w:r>
    </w:p>
    <w:p>
      <w:pPr>
        <w:spacing w:after="0" w:line="1"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global economy has been experiencing supply chain constraints and labor shortages. These conditions, in addition to elevated inflation, have increased the costs for materials, other goods, and labor, and have caused delivery and project performance schedules to be extended. These conditions, combined with tightening labor markets resulting from elevated resignation rates among U.S. workers, could increase the cost and difficulty of recruiting and retaining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employees, or could result in project delays or cancellations which could negatively impact our operations and financial results.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suffer if we are not able to maintain adequate utilization of our workforce.</w:t>
      </w:r>
    </w:p>
    <w:p>
      <w:pPr>
        <w:spacing w:after="0" w:line="31"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cost of providing our services, including the extent to which we utilize our workforce, affects our profitability. The rate at which we utilize our workforce is affected by a number of factors, including our ability to transition employees from completed projects to new assignments and to hire and assimilate new employees, our ability to forecast demand for our services and thereby maintain an appropriate headcount in each of our geographies and workforces, our ability to manage attrition, our need to devote time and resources to training, business development, professional development, and other non-chargeable activities, and our ability to match the skill sets of our employees to the needs of the marketplace. If we over-utilize our workforce, our employees may become disengaged, which could impact employee attrition. If we under-utilize our workforce, our profit margin and profitability could suffer.</w:t>
      </w:r>
    </w:p>
    <w:p>
      <w:pPr>
        <w:spacing w:after="0" w:line="190" w:lineRule="exact"/>
        <w:rPr>
          <w:sz w:val="20"/>
          <w:szCs w:val="20"/>
          <w:color w:val="auto"/>
        </w:rPr>
      </w:pPr>
    </w:p>
    <w:p>
      <w:pPr>
        <w:ind w:left="60" w:right="61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or our inability to attract and retain qualified personnel could impair our ability to provide services to our clients and otherwise conduct our business effectively.</w:t>
      </w:r>
    </w:p>
    <w:p>
      <w:pPr>
        <w:spacing w:after="0" w:line="1"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As primarily a professional and technical services company, we are labor-intensive and, therefore, our ability to attract, retain, and expand our senior management and our professional and technical staff, including management and staff acquired in connection with our business acquisitions, is an important factor in determining our future success. We believe there are only a limited number of available qualified executives in the energy efficiency services industry, and we therefore have encountered, and will likely continue to encounter, intense competition for qualified employees from other companies in the industry. In addition, the market for qualified engineers is competitive and, from time to time, it may be difficult to attract and retain qualified individuals with the required expertise within the timeframe demanded by our clients. Further, we rely heavily upon the expertise and leadership of our senior management. If we are unable to retain executives and other key personnel, the roles and responsibilities of those employees will need to be filled, which may require that we devote time and resources to identify, hire, and integrate new employees. The loss of the services of any of these key personnel could adversely affect our business, results of operations and financial condition.</w:t>
      </w:r>
    </w:p>
    <w:p>
      <w:pPr>
        <w:spacing w:after="0" w:line="188" w:lineRule="exact"/>
        <w:rPr>
          <w:sz w:val="20"/>
          <w:szCs w:val="20"/>
          <w:color w:val="auto"/>
        </w:rPr>
      </w:pPr>
    </w:p>
    <w:p>
      <w:pPr>
        <w:ind w:left="60" w:right="9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Unavailability or cancellation of third-party insurance coverage would increase our overall risk exposure as well as disrupt the management of our business operations.</w:t>
      </w:r>
    </w:p>
    <w:p>
      <w:pPr>
        <w:spacing w:after="0" w:line="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services involve significant risks of professional and other liabilities, which may substantially exceed the fees we derive from our services. We maintain insurance coverage from third-party insurers as part of our overall risk management strategy and because some of our contracts require us to maintain specific insurance coverage limits. From time to time, we assume liabilities as a result of indemnification provisions contained in our service contracts. We cannot predict the magnitude of these potential liabilities.</w:t>
      </w:r>
    </w:p>
    <w:p>
      <w:pPr>
        <w:spacing w:after="0" w:line="18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are liable to pay such liabilities from our assets if and when the aggregate settlement or judgment amount exceeds our insurance policy limits. Further, our insurance may not protect us against liability because our policies typically have various exceptions to the claims covered and also require us to assume some costs of the claim even though a portion of the claim may be covered. A partially or completely uninsured claim, if successful and of significant magnitude, could have a material adverse effect on our liquidity.</w:t>
      </w:r>
    </w:p>
    <w:p>
      <w:pPr>
        <w:spacing w:after="0" w:line="183" w:lineRule="exact"/>
        <w:rPr>
          <w:sz w:val="20"/>
          <w:szCs w:val="20"/>
          <w:color w:val="auto"/>
        </w:rPr>
      </w:pPr>
    </w:p>
    <w:p>
      <w:pPr>
        <w:ind w:left="60" w:right="219" w:firstLine="738"/>
        <w:spacing w:after="0" w:line="274" w:lineRule="auto"/>
        <w:rPr>
          <w:sz w:val="20"/>
          <w:szCs w:val="20"/>
          <w:color w:val="auto"/>
        </w:rPr>
      </w:pPr>
      <w:r>
        <w:rPr>
          <w:rFonts w:ascii="Times New Roman" w:cs="Times New Roman" w:eastAsia="Times New Roman" w:hAnsi="Times New Roman"/>
          <w:sz w:val="17"/>
          <w:szCs w:val="17"/>
          <w:color w:val="auto"/>
        </w:rPr>
        <w:t>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if we expand into new markets, we may not be able to obtain insurance coverage for these new activities or, if insurance is obtained, the dollar amount of any liabilities incurred could exceed our insurance coverage. There can be no assurance that any of our existing insurance coverage will be renewable upon the expiration of the coverage period or that future coverage will be affordable at the required limits.</w:t>
      </w:r>
    </w:p>
    <w:p>
      <w:pPr>
        <w:spacing w:after="0" w:line="169" w:lineRule="exact"/>
        <w:rPr>
          <w:sz w:val="20"/>
          <w:szCs w:val="20"/>
          <w:color w:val="auto"/>
        </w:rPr>
      </w:pPr>
    </w:p>
    <w:p>
      <w:pPr>
        <w:ind w:left="60" w:right="71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Product liability and personal injury claims could have a material adverse effect on our business, results of operations and financial condition.</w:t>
      </w:r>
    </w:p>
    <w:p>
      <w:pPr>
        <w:spacing w:after="0" w:line="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face exposure to product liability and personal injury claims in the event that our services cause bodily injury or property damage. Since the majority of our products use electricity, it is possible that the products we use could result in property damage or personal injury, whether due to product malfunctions, defects, improper installation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or other causes. Further, we face exposure to personal injury claims in the event that an individual is injured because of our negligence or the negligence of one of our subcontractors. Moreover, we may not have adequate resources in the event of a successful claim against us. A successful product liability or personal injury claim against us that is not covered by insurance or is in excess of our available insurance limits could require us to make significant payments of damages which could materially adversely affect our business, results of operations and financial condition.</w:t>
      </w:r>
    </w:p>
    <w:p>
      <w:pPr>
        <w:spacing w:after="0" w:line="179" w:lineRule="exact"/>
        <w:rPr>
          <w:sz w:val="20"/>
          <w:szCs w:val="20"/>
          <w:color w:val="auto"/>
        </w:rPr>
      </w:pPr>
    </w:p>
    <w:p>
      <w:pPr>
        <w:ind w:left="60" w:right="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Events outside our control, including natural and man-made disasters, could negatively impact the economies in which we operate or disrupt our operations, which may adversely affect our business, results of operations and financial condition.</w:t>
      </w: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Events outside our control, such as natural and man-made disasters, as well as terrorist actions, war or armed hostilities between countries or non-state actors, pandemics, resurgences of pandemics, or other public health emergencies, could negatively impact the economies in which we operate by causing the closure of offices, interrupting projects, and forcing the relocation of employees. We typically remain obligated to perform our services after a terrorist action or natural disaster unless the contract contains a force majeure clause that relieves us of our contractual obligations in such an extraordinary event. If we are not able to react quickly to force majeure, our operations may be affected significantly, which would have a negative impact on our business, results of operations and financial condition.</w:t>
      </w:r>
    </w:p>
    <w:p>
      <w:pPr>
        <w:spacing w:after="0" w:line="184" w:lineRule="exact"/>
        <w:rPr>
          <w:sz w:val="20"/>
          <w:szCs w:val="20"/>
          <w:color w:val="auto"/>
        </w:rPr>
      </w:pPr>
    </w:p>
    <w:p>
      <w:pPr>
        <w:ind w:left="60" w:right="25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only a limited ability to protect our intellectual property rights, and our failure to protect our intellectual property rights could adversely affect our competitive position.</w:t>
      </w:r>
    </w:p>
    <w:p>
      <w:pPr>
        <w:spacing w:after="0" w:line="1"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Our success depends, in part, upon our ability to protect our proprietary information and other intellectual property. We rely principally on trade secrets to protect much of our intellectual property where we do not believe that patent or copyright protection is appropriate or obtainable. However, trade secrets are difficult to protect. Although our employees are subject to confidentiality obligations, this protection may be inadequate to deter or prevent misappropriation of our confidential information. In addition, we may be unable to detect unauthorized use of our intellectual property or otherwise take appropriate steps to enforce our rights. Failure to obtain or maintain trade secret protection could adversely affect our competitive business position. In addition, if we are unable to prevent third parties from infringing or misappropriating our trademarks or other proprietary information, our competitive position could be adversely affected.</w:t>
      </w:r>
    </w:p>
    <w:p>
      <w:pPr>
        <w:spacing w:after="0" w:line="175" w:lineRule="exact"/>
        <w:rPr>
          <w:sz w:val="20"/>
          <w:szCs w:val="20"/>
          <w:color w:val="auto"/>
        </w:rPr>
      </w:pPr>
    </w:p>
    <w:p>
      <w:pPr>
        <w:ind w:left="60" w:right="159"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operating results.</w:t>
      </w:r>
    </w:p>
    <w:p>
      <w:pPr>
        <w:spacing w:after="0" w:line="1"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87"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160" w:lineRule="exact"/>
        <w:rPr>
          <w:sz w:val="20"/>
          <w:szCs w:val="20"/>
          <w:color w:val="auto"/>
        </w:rPr>
      </w:pPr>
    </w:p>
    <w:p>
      <w:pPr>
        <w:ind w:left="60" w:right="259"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Employee, agent, or partner misconduct, or our failure to comply with anti-bribery and other laws or regulations, could harm our reputation, reduce our revenue and profits, and subject us to criminal and civil enforcement actions.</w:t>
      </w:r>
    </w:p>
    <w:p>
      <w:pPr>
        <w:spacing w:after="0" w:line="1"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of our employees, agents, or partners could have a significant negative impact on our business and reputation. Such misconduct could include the failure to comply with government procurement regulations, regulations regarding the protection of classified information, regulations prohibiting bribery and other foreign corrupt practices, regulations regarding the pricing of labor and other costs in government contracts, regulations on lobbying or similar activities, regulations pertaining to the internal controls over financial reporting, environmental laws, and any other applicable laws or regulations. Since our internal controls are subject to inherent limitations, including human error, it is possible that these controls could be intentionally circumvented or become inadequate because of changed conditions. As a result, we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cannot assure that our controls will protect us from reckless or criminal acts committed by our employees or agents. Our failure to comply with applicable laws or regulations, or acts of misconduct could subject us to fines and penalties, loss of security clearances, and suspension or debarment from contracting, any or all of which could harm our reputation, reduce our revenue and profits, and subject us to criminal and civil enforcement actions.</w:t>
      </w:r>
    </w:p>
    <w:p>
      <w:pPr>
        <w:spacing w:after="0" w:line="176" w:lineRule="exact"/>
        <w:rPr>
          <w:sz w:val="20"/>
          <w:szCs w:val="20"/>
          <w:color w:val="auto"/>
        </w:rPr>
      </w:pPr>
    </w:p>
    <w:p>
      <w:pPr>
        <w:ind w:left="60" w:right="61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failure to implement and comply with our safety program could adversely affect our operating results or financial condition.</w:t>
      </w:r>
    </w:p>
    <w:p>
      <w:pPr>
        <w:spacing w:after="0" w:line="1"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safety program is a fundamental element of our overall approach to risk management, and the implementation of the safety program is a significant issue in our dealings with our clients. We maintain an enterprise-wide group of health and safety professionals to help ensure that the services we provide are delivered safely and in accordance with standard work processes. Unsafe job sites and office environments have the potential to increase employee turnover, increase the cost of a project to our clients, expose us to types and levels of risk that are fundamentally unacceptable, and raise our operating costs. The implementation of our safety processes and procedures are monitored by various agencies and rating bureaus and may be evaluated by certain clients in cases in which safety requirements have been established in our contracts. Our failure to meet these requirements or our failure to properly implement and comply with our safety program could result in reduced profitability or the loss of projects or clients or potential litigation and could have a material adverse effect on our business, results of operations and financial condition.</w:t>
      </w:r>
    </w:p>
    <w:p>
      <w:pPr>
        <w:spacing w:after="0" w:line="189" w:lineRule="exact"/>
        <w:rPr>
          <w:sz w:val="20"/>
          <w:szCs w:val="20"/>
          <w:color w:val="auto"/>
        </w:rPr>
      </w:pPr>
    </w:p>
    <w:p>
      <w:pPr>
        <w:ind w:left="60" w:right="659"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diversity of the services we provide, and the clients we serve, may create actual, potential, and perceived conflicts of interest and conflicts of business that limit our growth and could lead to potential liabilities for us.</w:t>
      </w:r>
    </w:p>
    <w:p>
      <w:pPr>
        <w:spacing w:after="0" w:line="1"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Because we provide services to a wide array of both government and commercial clients, occasions arise where, due to actual, potential, or perceived conflicts of interest or business conflicts, we cannot perform work for which we are qualified. A number of our contracts contain limitations on the work we can perform for others, such as, for example, when we are assisting a government agency or department in developing regulations or enforcement strategies. Actual, potential, and perceived conflicts limit the work we can do and, consequently, can limit our growth and adversely affect our operating results. In addition, if we fail to address actual or potential conflicts properly, or even if we simply fail to recognize a perceived conflict, we may be in violation of our existing contracts, may otherwise incur liability, and may lose future business for not preventing the conflict from arising, and our reputation may suffer.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Liquidity and Indebtedness</w:t>
      </w:r>
    </w:p>
    <w:p>
      <w:pPr>
        <w:spacing w:after="0" w:line="225" w:lineRule="exact"/>
        <w:rPr>
          <w:sz w:val="20"/>
          <w:szCs w:val="20"/>
          <w:color w:val="auto"/>
        </w:rPr>
      </w:pPr>
    </w:p>
    <w:p>
      <w:pPr>
        <w:ind w:left="60" w:right="17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leverage and debt service obligations due to debt incurred in connection with our acquisitions could adversely affect our business, results of operations and financial condition.</w:t>
      </w:r>
    </w:p>
    <w:p>
      <w:pPr>
        <w:spacing w:after="0" w:line="1"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7"/>
          <w:szCs w:val="17"/>
          <w:color w:val="auto"/>
        </w:rPr>
        <w:t>Our financial performance could be adversely affected by our debt leverage. We may also incur significant additional indebtedness in the future, subject to various conditions including increased working capital requirements. An increase in the level of indebtedness could have important negative consequences to us, including making it more difficult to satisfy our obligations on outstanding debt obligations; making it more difficult to obtain additional financing in the future for working capital, capital expenditures, acquisitions or other general corporate purposes; requiring us to use more of our excess cash flow to pay interest and principal on our debt, which will reduce the amount of money available to finance our operations and other business activities; increasing our vulnerability to general economic downturns and adverse industry conditions; potentially limiting our flexibility in planning for, or reacting to, changes in our business and in our industry in general; exposing us to the risk of increased interest rates because the debt outstanding under our term loan and revolving credit facility bear interest at variable rates; placing us at a competitive disadvantage compared to our competitors that have less debt; and potentially limiting our ability to comply with the financial and other restrictive covenants in our debt instruments which, among other things, require us to maintain specified financial ratios, and could result in an event of default that, if not cured or waived, could have a material adverse effect on our business or prospects.</w:t>
      </w:r>
    </w:p>
    <w:p>
      <w:pPr>
        <w:spacing w:after="0" w:line="17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amounts due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Our inability to generate sufficient cash flows to satisfy our debt obligations, or to refinance our indebtedness on commercially reasonable terms or at all, would materially adversely affect our financial position and results of operations. If we cannot make scheduled payments on our debt or comply with the other covenants under our Credit Agreement (as defined in Part II, Item 8, Note 5,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of the Notes to Consolidated Financial Statements included in this Annual Report on Form 10-K), we will be in default and the lenders under our Credit Agreement could terminate their commitments to loan money and could foreclose against the assets securing their borrowings and we could be forced into bankruptcy or liquidation.</w:t>
      </w:r>
    </w:p>
    <w:p>
      <w:pPr>
        <w:spacing w:after="0" w:line="211" w:lineRule="exact"/>
        <w:rPr>
          <w:sz w:val="20"/>
          <w:szCs w:val="20"/>
          <w:color w:val="auto"/>
        </w:rPr>
      </w:pPr>
    </w:p>
    <w:p>
      <w:pPr>
        <w:ind w:left="60" w:right="91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 which may impact our ability to execute on our current or future business strategies.</w:t>
      </w:r>
    </w:p>
    <w:p>
      <w:pPr>
        <w:spacing w:after="0" w:line="1" w:lineRule="exact"/>
        <w:rPr>
          <w:sz w:val="20"/>
          <w:szCs w:val="20"/>
          <w:color w:val="auto"/>
        </w:rPr>
      </w:pPr>
    </w:p>
    <w:p>
      <w:pPr>
        <w:ind w:left="60" w:right="319" w:firstLine="648"/>
        <w:spacing w:after="0" w:line="251" w:lineRule="auto"/>
        <w:rPr>
          <w:sz w:val="20"/>
          <w:szCs w:val="20"/>
          <w:color w:val="auto"/>
        </w:rPr>
      </w:pPr>
      <w:r>
        <w:rPr>
          <w:rFonts w:ascii="Times New Roman" w:cs="Times New Roman" w:eastAsia="Times New Roman" w:hAnsi="Times New Roman"/>
          <w:sz w:val="18"/>
          <w:szCs w:val="18"/>
          <w:color w:val="auto"/>
        </w:rPr>
        <w:t>If we do not generate sufficient cash flow from operations or otherwise, we may need additional financing to execute on our current or future business strategies, including developing new or enhancing existing service lines, expanding our business geographically, enhancing our operating infrastructure, acquiring complementary businesses, or otherwise responding to competitive pressures. We cannot assure you that additional financing will be available to us on favorable terms, or at all. Furthermore, if we raise additional funds through the issuance of convertible debt or equity securities, the percentage ownership of our stockholders could be significantly diluted, and these newly issued securities may have rights, preferences or privileges senior to those of existing stockholders. If adequate funds are not available or are not available on acceptable terms, if and when needed, our ability to fund our operations, meet obligations in the normal course of business, take advantage of strategic business opportunities, or otherwise respond to competitive pressures would be significantly limited.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our Credit Agreement may restrict our ability to pursue certain business strategies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Credit Agreement limits or restricts our and our subsidiaries’ ability to, among other things, incur, create or assume additional indebtedness; incur, create or assume liens securing debt or other encumbrances on our assets; purchase, hold or acquire unpermitted acquisitions or investments; make loans or advances; pay dividends or make distributions to our stockholders; purchase or redeem our stock; repay indebtedness that is junior to indebtedness under our Credit Agreement; acquire the assets of, or merge or consolidate with, other companies; and sell, lease, or otherwise dispose of assets.</w:t>
      </w:r>
    </w:p>
    <w:p>
      <w:pPr>
        <w:spacing w:after="0" w:line="19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Credit Agreement also requires that we maintain a maximum total net leverage ratio and a minimum fixed charge coverage ratio, tested on a quarterly basis, which we may not be able to achieve. The covenants may additionally impair our ability to finance future operations or capital needs or to engage in other favorable business activities. Failing to comply with these covenants could result in an event of default under the Credit Agreement, which could result in us being required to repay the amounts outstanding prior to maturity. These prepayment obligations could have an adverse effect on our business, results of operations and financial condition.</w:t>
      </w:r>
    </w:p>
    <w:p>
      <w:pPr>
        <w:spacing w:after="0" w:line="187" w:lineRule="exact"/>
        <w:rPr>
          <w:sz w:val="20"/>
          <w:szCs w:val="20"/>
          <w:color w:val="auto"/>
        </w:rPr>
      </w:pPr>
    </w:p>
    <w:p>
      <w:pPr>
        <w:jc w:val="both"/>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Furthermore, if we are unable to repay the amounts due and payable under the Credit Agreement, the lenders could proceed against the collateral granted to them to secure that indebtedness. In the event the lenders accelerate the repayment of our borrowings, we and our subsidiaries may not have sufficient assets to repay that indebtedness.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Clients and Our Projects</w:t>
      </w:r>
    </w:p>
    <w:p>
      <w:pPr>
        <w:spacing w:after="0" w:line="225" w:lineRule="exact"/>
        <w:rPr>
          <w:sz w:val="20"/>
          <w:szCs w:val="20"/>
          <w:color w:val="auto"/>
        </w:rPr>
      </w:pPr>
    </w:p>
    <w:p>
      <w:pPr>
        <w:ind w:left="60" w:right="15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have a loss or reduction of business from a key customer or key utility programs, it could result in significant harm to our revenue, profitability and financial condition.</w:t>
      </w:r>
    </w:p>
    <w:p>
      <w:pPr>
        <w:spacing w:after="0" w:line="1"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 xml:space="preserve">Most of our clients are not committed to purchase any minimum amount of our services, as our agreements with them are based on a “purchase order” model. As a result, they may discontinue utilizing some or all of our services with little or no notice, </w:t>
      </w:r>
      <w:r>
        <w:rPr>
          <w:rFonts w:ascii="Calibri" w:cs="Calibri" w:eastAsia="Calibri" w:hAnsi="Calibri"/>
          <w:sz w:val="18"/>
          <w:szCs w:val="18"/>
          <w:color w:val="auto"/>
        </w:rPr>
        <w:t>or</w:t>
      </w:r>
      <w:r>
        <w:rPr>
          <w:rFonts w:ascii="Times New Roman" w:cs="Times New Roman" w:eastAsia="Times New Roman" w:hAnsi="Times New Roman"/>
          <w:sz w:val="18"/>
          <w:szCs w:val="18"/>
          <w:color w:val="auto"/>
        </w:rPr>
        <w:t xml:space="preserve"> we may not generate the amount of contract revenue or achieve the level of profitability we expect under such arrangements. As well, certain of our contracts are with other entities that are periodically funded by the applicable utility. Such funding is subject to periodic renewal and is outside our control or its contract counterparty and may, at times, be delayed or inhibited.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loss of key utility programs or key clients (or financial difficulties at this utility program or these clients, which result in nonpayment or nonperformance) could have a significant and adverse effect on our business, results of operations and financial condition. If these clients or utility programs significantly reduce their business or orders with us, default on their agreements with us or fail to renew or terminate their agreements with us, our business, results of operations and financial condition could be materially and adversely affected. We may not be able to win new contracts to replace these contracts if they are terminated early or expire as planned without being renewed.</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the potential for requests from certain clients to significantly increase the services we provide them requires us to have sufficient resource capacity available in the regions where they are located. If we are unable to maintain such resource capacity, these clients or utility program may reduce or stop purchasing certain services from us. If such clients or utility program reduce or stop purchasing certain services from us, we may have substantial capacity available in regions where we do not have corresponding clients to service.</w:t>
      </w:r>
    </w:p>
    <w:p>
      <w:pPr>
        <w:spacing w:after="0" w:line="179" w:lineRule="exact"/>
        <w:rPr>
          <w:sz w:val="20"/>
          <w:szCs w:val="20"/>
          <w:color w:val="auto"/>
        </w:rPr>
      </w:pPr>
    </w:p>
    <w:p>
      <w:pPr>
        <w:ind w:left="60" w:right="11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failure to win new contracts and renew existing contracts with private and public sector clients could adversely affect our business, results of operations and financial condition.</w:t>
      </w:r>
    </w:p>
    <w:p>
      <w:pPr>
        <w:spacing w:after="0" w:line="1"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Our business depends on our ability to win new contracts and renew existing contracts with private and public sector clients. Contract proposals, negotiations, and software licenses are complex and frequently involve a lengthy bidding and selection process. If we are not able to replace the revenue from expiring contracts, either through follow-on contracts or new contracts, or secure new software licenses, our business, results of operations and financial condition may be adversely affected. A number of factors affect our ability to win new contracts and renew existing contracts, including, among other things, market conditions, financing arrangements, required governmental approvals, our client relationships and professional reputation. For example, a client may require us to provide a bond or letter of credit to protect the client should we fail to perform under the terms of the contract. If negative market conditions arise, or if we fail to secure adequate financial arrangements or the required government approval, we may not be able to pursue particular projects, which could adversely affect our business, results of operations and financial condition. Any factor that diminishes our reputation or client relationships with federal, state and local governments, as well as commercial clients, could make it substantially more difficult for us to compete successfully for both new engagements and qualified employees. To the extent our reputation and/or client relationships deteriorate, our business, results of operations and financial condition could be adversely affected.</w:t>
      </w:r>
    </w:p>
    <w:p>
      <w:pPr>
        <w:spacing w:after="0" w:line="187" w:lineRule="exact"/>
        <w:rPr>
          <w:sz w:val="20"/>
          <w:szCs w:val="20"/>
          <w:color w:val="auto"/>
        </w:rPr>
      </w:pPr>
    </w:p>
    <w:p>
      <w:pPr>
        <w:ind w:left="60" w:right="43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contracts may contain provisions that are unfavorable to us and permit our clients to, among other things, terminate our contracts partially or completely at any time prior to completion.</w:t>
      </w:r>
    </w:p>
    <w:p>
      <w:pPr>
        <w:spacing w:after="0" w:line="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Certain of our contracts contain provisions that allow our clients or utility programs to terminate or modify the contract at their convenience upon short notice. For example, our largest clients and utility programs may terminate their contracts with us at any time for any reason. If one of these clients or utility programs terminates their contract for convenience, we may only bill the client or utility program, as applicable, for work completed prior to the termination, plus any commitments and settlement expenses such client or utility program agrees to pay, but not for any work not yet performed.</w:t>
      </w:r>
    </w:p>
    <w:p>
      <w:pPr>
        <w:spacing w:after="0" w:line="19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many of our government contracts and task and delivery orders are incrementally funded as appropriated funds become available. The reduction or elimination of such funding can result in contract options not being exercised and further work on existing contracts and orders being curtailed. In any such event, we would have no right to seek lost fees or other damages. If a client were to terminate, decline to exercise options under, or curtail further performance under one or more of our major contracts, it could have a material adverse effect on our business, results of operations and financial condition.</w:t>
      </w:r>
    </w:p>
    <w:p>
      <w:pPr>
        <w:spacing w:after="0" w:line="183" w:lineRule="exact"/>
        <w:rPr>
          <w:sz w:val="20"/>
          <w:szCs w:val="20"/>
          <w:color w:val="auto"/>
        </w:rPr>
      </w:pPr>
    </w:p>
    <w:p>
      <w:pPr>
        <w:ind w:left="60" w:right="15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to tax laws and regulations, including changes to the energy efficient building deduction, could adversely affect our business, results of operations and financial condition.</w:t>
      </w:r>
    </w:p>
    <w:p>
      <w:pPr>
        <w:spacing w:after="0" w:line="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Tax laws and regulations are highly complex and subject to interpretation, and the tax laws and regulations to which we are subject to change over time. Our tax filings are based upon our interpretation of the tax laws in effect in various jurisdictions for the periods for which the filings are made. As our business grows, we are required to comply with increasingly complex taxation rules and practices. We are subject to tax in multiple U.S. tax jurisdictions. Tax reform remains a legislative priority for the U.S. government and certain legislations have already been enacted. While there is current uncertainty regarding what changes will eventually be enacted, such new laws may affect our operating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results and financial conditions. Changes in federal, state and local tax laws and regulations could adversely affect our business, results of operations and financial condition.</w:t>
      </w:r>
    </w:p>
    <w:p>
      <w:pPr>
        <w:spacing w:after="0" w:line="158" w:lineRule="exact"/>
        <w:rPr>
          <w:sz w:val="20"/>
          <w:szCs w:val="20"/>
          <w:color w:val="auto"/>
        </w:rPr>
      </w:pPr>
    </w:p>
    <w:p>
      <w:pPr>
        <w:ind w:left="60" w:right="45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Because we primarily provide services to municipalities, public utilities and other public agencies, we are more susceptible to the unique risks associated with government contracts.</w:t>
      </w:r>
    </w:p>
    <w:p>
      <w:pPr>
        <w:spacing w:after="0" w:line="1" w:lineRule="exact"/>
        <w:rPr>
          <w:sz w:val="20"/>
          <w:szCs w:val="20"/>
          <w:color w:val="auto"/>
        </w:rPr>
      </w:pPr>
    </w:p>
    <w:p>
      <w:pPr>
        <w:ind w:left="60" w:right="139" w:firstLine="648"/>
        <w:spacing w:after="0" w:line="251" w:lineRule="auto"/>
        <w:rPr>
          <w:sz w:val="20"/>
          <w:szCs w:val="20"/>
          <w:color w:val="auto"/>
        </w:rPr>
      </w:pPr>
      <w:r>
        <w:rPr>
          <w:rFonts w:ascii="Times New Roman" w:cs="Times New Roman" w:eastAsia="Times New Roman" w:hAnsi="Times New Roman"/>
          <w:sz w:val="18"/>
          <w:szCs w:val="18"/>
          <w:color w:val="auto"/>
        </w:rPr>
        <w:t>We primarily work for utilities, municipalities and other public agencies. Consequently, we are exposed to certain risks associated with public agency and government contracting, any one of which can have a material adverse effect on our business, results of operations and financial condition. These risks include the ability of the public agency to terminate the contract with 30 days’ prior notice or less; changes in public agency spending and fiscal policies which can have an adverse effect on demand for our services; contracts that are subject to public agency budget cycles, and often are subject to renewal on an annual basis; the often wide variation of the types and pricing terms of contracts from agency to agency; the difficulty of obtaining change orders and additions to contracts; and the requirement to perform periodic audits as a condition of certain contract arrangements.</w:t>
      </w:r>
    </w:p>
    <w:p>
      <w:pPr>
        <w:spacing w:after="0" w:line="190"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Each year, client funding for some of our government contracts rely on government appropriations or public-supported financing. If adequate public funding is delayed or is not available, then we may not be able to realize all of our anticipated revenue and profits from such contracts, which could adversely affect our business, results of operations and financial condition.</w:t>
      </w:r>
    </w:p>
    <w:p>
      <w:pPr>
        <w:spacing w:after="0" w:line="3"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A substantial portion of our revenue is derived from contracts with agencies and departments of state and local governments. Each year, client funding for some of our government contracts may directly or indirectly rely on government appropriations or public-supported financing. Legislatures may appropriate funds for a given project on a year-by-year basis, even though the project may take more than one year to perform. In addition, public-supported financing such as state and local municipal bonds may be only partially raised to support existing projects. Similarly, the impact of the economic downturn on state and local governments may make it more difficult for them to fund projects. In addition to the state of the economy and competing political priorities, public funds and the timing of payment of these funds may be influenced by, among other things, curtailments in the use of government contracting firms, increases in raw material costs, delays associated with insufficient numbers of government staff to oversee contracts, budget constraints, the timing and amount of tax receipts, and the overall level of government expenditures. If adequate public funding is not available or is delayed, then our profits and revenue could decline and we will not realize all of our potential revenue and profit from that contract.</w:t>
      </w:r>
    </w:p>
    <w:p>
      <w:pPr>
        <w:spacing w:after="0" w:line="188" w:lineRule="exact"/>
        <w:rPr>
          <w:sz w:val="20"/>
          <w:szCs w:val="20"/>
          <w:color w:val="auto"/>
        </w:rPr>
      </w:pPr>
    </w:p>
    <w:p>
      <w:pPr>
        <w:ind w:left="60" w:right="15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derive significant revenue and profit from contracts awarded through a competitive bidding process, which can impose substantial costs on us, and we will lose revenue and profit if we fail to compete effectively.</w:t>
      </w:r>
    </w:p>
    <w:p>
      <w:pPr>
        <w:spacing w:after="0" w:line="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derive significant revenue and profit from contracts that are awarded through a competitive bidding process. Competitive bidding imposes substantial costs and presents a number of risks, including the substantial cost and managerial time and effort that we spend to prepare bids and proposals; the need to estimate accurately the resources and costs that will be required to service any contracts we are awarded, sometimes in advance of the final determination of their full scope; the expense and delay that may arise if our competitors protest or challenge awards made to us pursuant to competitive bidding, as discussed below; and the opportunity cost of not bidding on and winning other contracts we may have otherwise pursued.</w:t>
      </w:r>
    </w:p>
    <w:p>
      <w:pPr>
        <w:spacing w:after="0" w:line="188"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To the extent we engage in competitive bidding and are unable to win particular contracts, we not only incur substantial costs in the bidding process that negatively affect our operating results, but we may lose the opportunity to operate in the market for the services provided under those contracts for a number of years. Even if we win a particular contract through competitive bidding, our profit margins may be depressed or we may even suffer losses as a result of the costs incurred through the bidding process and the need to lower our prices to overcome competition.</w:t>
      </w:r>
    </w:p>
    <w:p>
      <w:pPr>
        <w:spacing w:after="0" w:line="179" w:lineRule="exact"/>
        <w:rPr>
          <w:sz w:val="20"/>
          <w:szCs w:val="20"/>
          <w:color w:val="auto"/>
        </w:rPr>
      </w:pPr>
    </w:p>
    <w:p>
      <w:pPr>
        <w:ind w:left="60" w:right="33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in elected or appointed officials could have a material adverse effect on our ability to retain an existing contract with or obtain additional contracts from a public agency.</w:t>
      </w:r>
    </w:p>
    <w:p>
      <w:pPr>
        <w:spacing w:after="0" w:line="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Since the decision to retain our services is made by individuals, such as city managers, city councils and other elected or appointed officials, our business and financial results or condition could be adversely affected by the results of local and regional elections. A change in the individuals responsible for selecting consultants for and awarding contracts on behalf of a public agency (for example, due to an election) could adversely affect our ability to retain an existing contract with or obtain additional contracts from such public agency.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7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business partners fail to perform their contractual obligations on a project, we could be exposed to legal liability, loss of reputation and profit reduction or loss on the project.</w:t>
      </w:r>
    </w:p>
    <w:p>
      <w:pPr>
        <w:spacing w:after="0" w:line="1"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routinely enter into subcontracts and, occasionally, joint ventures, teaming arrangements, and other contractual arrangements so that we can jointly bid and perform on a particular project. Success under these arrangements depends in large part on whether our business partners fulfill their contractual obligations satisfactorily. In addition, when we operate through a joint venture in which we are a minority holder, we have limited control over many project decisions, including decisions related to the joint venture’s internal controls, which may not be subject to the same internal control procedures that we employ. If these unaffiliated third parties do not fulfill their contract obligations, the partnerships or joint ventures may be unable to adequately perform and deliver their contracted services. Under these circumstances, we may be obligated to pay financial penalties, provide additional services to ensure the adequate performance and delivery of the contracted services, and may be jointly and severally liable for the other’s actions or contract performance. These additional obligations could result in reduced profits and revenues or, in some cases, significant losses for us with respect to the joint venture, which could also affect our reputation in the industries we serve.</w:t>
      </w:r>
    </w:p>
    <w:p>
      <w:pPr>
        <w:spacing w:after="0" w:line="188"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reports and opinions are not in compliance with professional standards and other regulations or without the appropriate disclaimers or in a misleading or incomplete manner, we could be subject to monetary damages and penalties.</w:t>
      </w:r>
    </w:p>
    <w:p>
      <w:pPr>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We issue reports and opinions to clients based on our professional engineering expertise, as well as our other professional credentials. Our reports and opinions may need to comply with professional standards, licensing requirements, securities regulations, and other laws and rules governing the performance of professional services in the jurisdiction in which the services are performed. In addition, the reports and other work product we produce for clients sometimes include projections, forecasts and other forward-looking statements. Such information by its nature is subject to numerous risks and uncertainties, any of which could cause the information produced by us to ultimately prove inaccurate. Once we produce written reports for our clients, we do not always have the ability to control the manner in which our clients use such information, even if we include appropriate disclaimers in such written work product. As a result, if our clients reproduce such information to solicit funds from investors for projects without appropriate disclaimers or the information proves to be incorrect, or if our clients reproduce such information for potential investors in a misleading or incomplete manner, our clients or such investors may threaten to or file suit against us for, among other things, securities law violations.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liquidated damages if we fail to meet milestone requirements in our contracts.</w:t>
      </w:r>
    </w:p>
    <w:p>
      <w:pPr>
        <w:spacing w:after="0" w:line="31"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may be required to pay liquidated damages if we fail to meet milestone requirements in our contracts. Failure to meet any of the milestone requirements could result in additional costs, and the amount of such additional costs could exceed the projected profits on the project. These additional costs include liquidated damages paid under contractual penalty provisions, which can be substantial and can accrue on a regular basis.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Growth and Acquisitions</w:t>
      </w:r>
    </w:p>
    <w:p>
      <w:pPr>
        <w:spacing w:after="0" w:line="22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Acquisitions could disrupt our operations and adversely impact our business, results of operations and financial condition as a result of our failure to conduct due diligence effectively, or our inability to successfully integrate the acquiree. This could impede us from realizing all of the benefits of the acquisitions, which could weaken our results of operations.</w:t>
      </w:r>
    </w:p>
    <w:p>
      <w:pPr>
        <w:spacing w:after="0" w:line="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A key part of our growth strategy is to acquire other companies that complement our lines of business, broaden our technical capabilities and/or expand our geographic presence. We expect to continue to acquire companies as an element of our growth strategy; however, our ability to make acquisitions may be restricted by our inability to incur additional indebtedness and/or make unpermitted acquisitions or investments under our Credit Agreement. Our acquisition strategy may divert management’s attention away from our existing businesses, resulting in the loss of key clients or key employees, and expose us to unanticipated problems or legal liabilities, including responsibility as a successor-in-interest for undisclosed or contingent liabilities of acquired businesses or assets.</w:t>
      </w:r>
    </w:p>
    <w:p>
      <w:pPr>
        <w:spacing w:after="0" w:line="188"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Acquisitions involve certain known and unknown risks that could cause our actual growth or operating results to differ from our expectations or the expectations of securities analysts. If we fail to conduct due diligence on our potential targets effectively, we may, for example, not identify problems at target companies, or fail to recognize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incompatibilities or other obstacles to successful integration. Our inability to successfully integrate future acquisitions within the intended timeframes or at all could impede us from realizing all of the benefits of those acquisitions and could severely weaken our business operations. The integration process may disrupt our business and, if implemented ineffectively, may preclude realization of the full benefits expected by us and could harm our results of operations. In addition, the overall integration of the combining companies may result in unanticipated problems, expenses, liabilities and competitive responses and may cause our stock price to decline.</w:t>
      </w:r>
    </w:p>
    <w:p>
      <w:pPr>
        <w:spacing w:after="0" w:line="187"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Even if the operations of an acquisition are integrated successfully, we may not realize the full benefits of the acquisition, including the synergies, cost savings or growth opportunities that we expect. These benefits may not be achieved within the anticipated time frame, or at all.</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Further, acquisitions may cause us to issue common stock that would dilute our current stockholders’ ownership percentage; use a substantial portion of our cash resources; increase our interest expense, leverage and debt service requirements (if we incur additional debt to pay for an acquisition); and assume liabilities, including environmental liabilities, for which we do not have indemnification from the former owners.</w:t>
      </w:r>
    </w:p>
    <w:p>
      <w:pPr>
        <w:spacing w:after="0" w:line="176" w:lineRule="exact"/>
        <w:rPr>
          <w:sz w:val="20"/>
          <w:szCs w:val="20"/>
          <w:color w:val="auto"/>
        </w:rPr>
      </w:pPr>
    </w:p>
    <w:p>
      <w:pPr>
        <w:ind w:left="60" w:right="43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manage our growth strategy, our business, results of operations and financial condition may be adversely affected.</w:t>
      </w:r>
    </w:p>
    <w:p>
      <w:pPr>
        <w:spacing w:after="0" w:line="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expected future growth presents numerous managerial, administrative, operational, and other challenges. Our ability to manage the growth of our operations will require us to continue to improve our management information systems and our other internal systems and controls. In addition, our growth will increase our need to attract, develop, motivate, and retain both our management and professional employees. The inability to effectively manage our growth or the inability of our employees to achieve anticipated performance could have a material adverse effect on our business, results of operations and financial condition.</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our continued expansion into new states will increase our legal and regulatory risk. Our failure, or alleged failure, to comply with applicable laws and regulations in any new jurisdiction in which we operate, and ensuing inquiries or investigations by regulatory and enforcement authorities, may result in regulatory action, including suspension or revocation of one or more of our licenses, civil or criminal penalties or other disciplinary actions and restrictions on or suspension of some or all of our business operations. As a result, our business could suffer, our reputation could be harmed, one or more of our contracts with governmental or non-governmental entities could be terminated and we could be subject to additional legal risk. This could, in turn, increase the size and number of claims and damages asserted against us, subject us to additional regulatory investigations, enforcement actions or other proceedings or lead to increased regulatory or supervisory concerns. We cannot predict the timing or form of any current or future regulatory or law enforcement initiatives, and any such initiatives could have a material adverse effect on our business, results of operations and financial condition.</w:t>
      </w: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acquired businesses may underperform relative to our expectations.</w:t>
      </w:r>
    </w:p>
    <w:p>
      <w:pPr>
        <w:spacing w:after="0" w:line="31"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We may not be able to maintain the levels of growth, revenue, earnings or operating efficiency that we and our acquired businesses have historically achieved or might achieve separately. The business and financial performance of an acquired business is subject to certain risks and uncertainties, including the risk of the loss of, or changes to, the acquired business’s client relationships; the dependence of its business on a limited number of customers to generate substantially all of its revenue; the acquired business’s reliance on subcontractors to meet its contractual obligations and the failure by such subcontractors to effectively perform their services in a timely manner; negative publicity or reputation from any prior investigations and settlements involving the acquired business; and reliance on the key personnel of the acquired business.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other intangible assets become impaired, then our profits may be significantly reduced.</w:t>
      </w:r>
    </w:p>
    <w:p>
      <w:pPr>
        <w:spacing w:after="0" w:line="3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Because we have completed a number of acquisitions, goodwill and other intangible assets represent a substantial portion of our assets. Under Generally Accepted Accounting Principles in the United States, we are required to perform a goodwill impairment test for potential impairment at least on an annual basis. We also assess the recoverability of the unamortized balance of our intangible assets when indications of impairment are present based on expected future profitability and undiscounted expected cash flows and their contribution to our overall operations. The goodwill impairment test requires us to determine the fair value of our reporting units, which are the components at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one level below our reportable segments. In determining fair value, we make significant judgments and estimates, including assumptions about our strategic plans with regard to our operations. We also analyze current economic indicators and market valuations to help determine fair value. To the extent economic conditions that would impact the future operations of our reporting units change, our goodwill may be deemed to be impaired, and we would be required to record a non-cash charge that could result in a material adverse effect on our business, results of operations and financial condition. We had no goodwill impairment in fiscal years 2024, 2023, or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Regulatory Environment</w:t>
      </w:r>
    </w:p>
    <w:p>
      <w:pPr>
        <w:spacing w:after="0" w:line="225" w:lineRule="exact"/>
        <w:rPr>
          <w:sz w:val="20"/>
          <w:szCs w:val="20"/>
          <w:color w:val="auto"/>
        </w:rPr>
      </w:pPr>
    </w:p>
    <w:p>
      <w:pPr>
        <w:ind w:left="60" w:right="179"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routine and non-­routine governmental reviews, audits and investigations, and unfavorable government audit results could force us to adjust previously reported operating results, could affect future operating results, could subject us to a variety of penalties and sanctions, and could result in harm to our reputation.</w:t>
      </w:r>
    </w:p>
    <w:p>
      <w:pPr>
        <w:spacing w:after="0" w:line="1"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Government departments and agencies and their representatives may audit and review our contract performance, pricing practices, cost structure, financial capability and compliance with applicable laws, rules and regulations. Audits could raise issues that have significant adverse effects, including, among other things, substantial adjustments to our previously reported operating results and substantial effects on future operating results. Historically, we have not experienced significant disallowed costs as a result of government audits. However, we can provide no assurance that government audits will not result in material disallowances for incurred costs in the future. In addition, we must also comply with other government regulations related to employment practices, environmental protection, health and safety, tax, accounting, and anti-fraud measures, as well as many other regulations in order to maintain our government contractor status. For example, as a government contractor, we maintain plans to ensure compliance with nondiscrimination and regulatory requirements for qualified employees on the basis of gender, race, disability, and veteran status. Consequently, we may be subject to executive orders and regulatory changes affecting various aspects of our operations, including compliance with nondiscrimination plans. Any required elimination or modification of such plans in response to new executive orders could pose challenges in hiring or retaining employees, and may lead to other adverse operational impacts.</w:t>
      </w:r>
    </w:p>
    <w:p>
      <w:pPr>
        <w:spacing w:after="0" w:line="19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Laws and regulations applicable to us as a government contractor affect how we do business with our clients and, in some instances, impose additional costs on our business operations. Although we take precautions to prevent and deter fraud, misconduct, and non-compliance, we face the risk that our employees or outside partners may engage in misconduct, fraud, or other improper activities. If a government audit, review or investigation uncovers improper or illegal activities, we may be subject to civil and criminal penalties and administrative sanctions, including termination of contracts, repayment of amounts already received under contracts, forfeiture of profits, suspension of payments, fines and suspension or debarment from doing business with federal and state and local government agencies and departments, any of which could adversely affect our reputation, our business, results of operations and financial condition, and/or the value of our stock. We may also lose business if we are found not to be sufficiently able to meet ongoing cash flow and financial obligations on a timely basis. In addition, we could suffer serious harm to our reputation and our stock price could decline if allegations of impropriety are made against us, whether true or not.</w:t>
      </w:r>
    </w:p>
    <w:p>
      <w:pPr>
        <w:spacing w:after="0" w:line="188" w:lineRule="exact"/>
        <w:rPr>
          <w:sz w:val="20"/>
          <w:szCs w:val="20"/>
          <w:color w:val="auto"/>
        </w:rPr>
      </w:pPr>
    </w:p>
    <w:p>
      <w:pPr>
        <w:ind w:left="60" w:right="19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Legislation, policy, rules or regulations may be enacted that limit or change the ability of state, regional or local agencies to contract for our privatized services. Such changes would affect our ability to obtain new contracts and may decrease the demand for our services.</w:t>
      </w: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Legislation is proposed periodically, particularly in the states of California and New York, that attempts to limit the ability of governmental agencies to contract with private consultants to provide services. Should such changes occur and be upheld, demand for our services may be materially adversely affected. While attempts at such legislation have failed in the past, such measures could be adopted in the future.</w:t>
      </w:r>
    </w:p>
    <w:p>
      <w:pPr>
        <w:spacing w:after="0" w:line="185" w:lineRule="exact"/>
        <w:rPr>
          <w:sz w:val="20"/>
          <w:szCs w:val="20"/>
          <w:color w:val="auto"/>
        </w:rPr>
      </w:pPr>
    </w:p>
    <w:p>
      <w:pPr>
        <w:ind w:left="60" w:right="41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in energy, environmental, or infrastructure industry laws, regulations, and programs could directly or indirectly reduce the demand for our services, which could in turn negatively impact our revenue.</w:t>
      </w:r>
    </w:p>
    <w:p>
      <w:pPr>
        <w:spacing w:after="0" w:line="1" w:lineRule="exact"/>
        <w:rPr>
          <w:sz w:val="20"/>
          <w:szCs w:val="20"/>
          <w:color w:val="auto"/>
        </w:rPr>
      </w:pPr>
    </w:p>
    <w:p>
      <w:pPr>
        <w:ind w:left="60" w:right="419" w:firstLine="648"/>
        <w:spacing w:after="0" w:line="277" w:lineRule="auto"/>
        <w:rPr>
          <w:sz w:val="20"/>
          <w:szCs w:val="20"/>
          <w:color w:val="auto"/>
        </w:rPr>
      </w:pPr>
      <w:r>
        <w:rPr>
          <w:rFonts w:ascii="Times New Roman" w:cs="Times New Roman" w:eastAsia="Times New Roman" w:hAnsi="Times New Roman"/>
          <w:sz w:val="17"/>
          <w:szCs w:val="17"/>
          <w:color w:val="auto"/>
        </w:rPr>
        <w:t>Some of our services are directly or indirectly impacted by changes in U.S. federal, state, or local laws and regulations pertaining to the energy, environmental, and infrastructure industries. Accordingly, a relaxation or repeal of these laws and regulations, or changes in governmental policies regarding the funding, implementation or enforcement</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these programs, could result in a decline in demand for our services, which could in turn negatively impact our revenue.</w:t>
      </w:r>
    </w:p>
    <w:p>
      <w:pPr>
        <w:spacing w:after="0" w:line="221" w:lineRule="exact"/>
        <w:rPr>
          <w:sz w:val="20"/>
          <w:szCs w:val="20"/>
          <w:color w:val="auto"/>
        </w:rPr>
      </w:pPr>
    </w:p>
    <w:p>
      <w:pPr>
        <w:ind w:left="60" w:right="7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Companies across various industries are facing increasing scrutiny related to their environmental, social and governance (ESG) practices and reporting, both in the United States and internationally.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We may face reputational damage in the event our corporate responsibility initiatives, objectives, reporting, or disclosure controls, including with respect matters such as to board diversity and climate change, do not meet the expectations of our investors, shareholders, lawmakers, listing exchange or other constituencies, In addition, we may communicate ESG goals or initiatives from time to time, which can be costly to achieve and difficult to implement. There is no assurance that we will achieve any of these goals, that our initiatives will achieve their intended outcome, and our ability to implement these ESG-related initiatives or achieve ESG-related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ind w:left="60" w:right="33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bylaws, our certificate of incorporation and Delaware law contain provisions that could discourage another company from acquiring us and may prevent attempts by our stockholders to replace or remove our current management.</w:t>
      </w:r>
    </w:p>
    <w:p>
      <w:pPr>
        <w:ind w:left="60" w:right="219" w:firstLine="648"/>
        <w:spacing w:after="0" w:line="251" w:lineRule="auto"/>
        <w:rPr>
          <w:sz w:val="20"/>
          <w:szCs w:val="20"/>
          <w:color w:val="auto"/>
        </w:rPr>
      </w:pPr>
      <w:r>
        <w:rPr>
          <w:rFonts w:ascii="Times New Roman" w:cs="Times New Roman" w:eastAsia="Times New Roman" w:hAnsi="Times New Roman"/>
          <w:sz w:val="18"/>
          <w:szCs w:val="18"/>
          <w:color w:val="auto"/>
        </w:rPr>
        <w:t>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 eliminating the ability of stockholders to call special meetings of stockholders; requiring at least a supermajority vote of the outstanding shares of our common stock for stockholders to amend our bylaws or certain provisions of our certificate of incorporation; not providing for cumulative voting in the election of directors, prohibiting stockholder action by written consent; establishing advance notice procedure for stockholders to make nominations of candidates for election as directors, or bring other business before an annual or special meeting of the stockholders; and authorizing the Board of Directors to issue “blank check” preferred stock or authorized but unissued shares of common stock without stockholder approval.</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Cyber security breaches or other systems and information technology interruptions could result in liability, harm our reputation, impact our ability to operate, and other material adverse consequences.</w:t>
      </w:r>
    </w:p>
    <w:p>
      <w:pPr>
        <w:spacing w:after="0" w:line="1"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rely on computer, information, and communications technology and systems to operate. We store and process large amounts of confidential and other sensitive information concerning our employees, customers, contractors, and vendors. We also rely in part on third-party software and information technology vendors to run certain parts of our information technology systems and our business, and our ability to monitor these third parties’ information security practices is limited. These third parties may not have adequate information security measures in place. If the third parties with whom we work with experience a cyber security breach or other interruption, we could experience material adverse consequences.</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have been and may be in the future be targeted by malicious cyber-attacks. Cybersecurity attacks in particular are evolving, and we and the third parties with whom we work face the constant risk of cybersecurity threats, including, among other things, computer viruses, malicious code, attacks by computer hackers, organized cyber-attacks, ransomware attacks, and other electronic security breaches that could lead to disruptions in critical systems, unauthorized, unlawful, or accidental acquisition, modification, destruction, loss, encryption, access to, release or other compromise of confidential or sensitive information. In particular, severe ransomware attacks are becoming increasingly prevalent and can lead to material adverse consequences.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cyber security breaches,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cyber security breach or other interruption.</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cyber security breach or other interruption that could result in unauthorized, unlawful, or accidental acquisition, modification, destruction, loss, alteration, encryption, disclosure of, or access to our confidential or sensitive information or our information technology systems, or those of the third parties with whom we work. For example, we have been the target of unsuccessful phishing attempts in the past, and expect such attempts will continue in the future.</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If we or the third parties with whom we work experience or are perceived to experience cybersecurity attacks or otherwise, we could experience material adverse consequences, such as suspending or stopping our operations, government enforcement actions, additional reporting requirements, litigation, and other harms, which could have a material adverse effect on our business, results of operations and financial condition, and could negatively impact our clients. Further, improper disclosure of confidential, proprietary or sensitive information of our employees, customers, contractors and vendors could harm our reputation and subject us to liability and other harms.</w:t>
      </w:r>
    </w:p>
    <w:p>
      <w:pPr>
        <w:spacing w:after="0" w:line="183" w:lineRule="exact"/>
        <w:rPr>
          <w:sz w:val="20"/>
          <w:szCs w:val="20"/>
          <w:color w:val="auto"/>
        </w:rPr>
      </w:pPr>
    </w:p>
    <w:p>
      <w:pPr>
        <w:ind w:left="60" w:right="17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Data privacy risks, including evolving laws, regulations, and other obligations, may result in business interruption and increased costs and liabilities.</w:t>
      </w:r>
    </w:p>
    <w:p>
      <w:pPr>
        <w:spacing w:after="0" w:line="1"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Laws, regulations and other obligations (including without limitation applicable guidance, industry standards, external and internal privacy and security policies and statements, and contractual requirements) relating to personal data and data privacy are constantly evolving, as federal, state, local and foreign governments adopt new measures addressing data privacy. These laws impose stringent obligations. For example, the California Consumer Privacy Act, as amended (“CCPA”), which applies to business representative and other types of personal data of California residents, provides for fines of up to $7,500 per intentional violation and allows private litigants affected by certain data breaches to recover significant statutory damages. Our privacy obligations, including applicable laws and regulations, may be interpreted or applied in a manner that is inconsistent with each other and may complicate our existing data privacy practices. Evolving compliance and operational requirements under the privacy laws of the jurisdictions in which we operate, regulations, and other obligations have become increasingly burdensome and complex. Our failure to comply (or perceived failure to comply) with these obligations could result in costly enforcement actions (including regulatory proceedings, investigations, fines, penalties, audits, and inspections), litigation (including class action claims) or mass arbitration demands, penalties and fines, require us to change our business practices or cause business interruptions, and may lead to liabilities and other harms.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has incorporated evaluation of cybersecurity threats into its overall risk management strategy. As such, Willdan has established a cybersecurity program designed to address applicable legal requirements. Through its internally dedicated cybersecurity team, combined with cybersecurity-specific technologies and external cybersecurity service professionals, the Company assesses, identifies, and manages material risks from cybersecurity threats to its critical computer networks, hardware and software, and data.</w:t>
      </w:r>
    </w:p>
    <w:p>
      <w:pPr>
        <w:spacing w:after="0" w:line="183"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Company’s cybersecurity team helps identify and assess risks from cybersecurity threats by monitoring and evaluating the Company’s threat environment using various methods. Through the use of internal and external risk assessment audits of certain environments aimed at identifying potential areas of cybersecurity risk, external and internal monitoring alerts, and other external and internal tools (such as next generation endpoint security (EDR/XDR), SASE framework, next-gen firewalls, and external-party monitoring of endpoint and cloud security environments), the Company performs ongoing assessments of its cybersecurity risks that are designed to take into account the rapidly evolving cybersecurity threat landscape. Further, in conjunction with its ISO 27001 and SOC2 certifications, the Company undergoes annual external audits that include reviews of its cybersecurity risk assessment processes and policies.</w:t>
      </w:r>
    </w:p>
    <w:p>
      <w:pPr>
        <w:spacing w:after="0" w:line="17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an attempt to manage and mitigate material risks from cybersecurity threats, the Company’s cybersecurity risk management process includes certain preventive measures, detective controls, and incident response procedures, depending on the environment and systems. This includes implementing security controls in certain environments and systems, ongoing monitoring of certain environments and systems, adopting response protocols for security incidents, and maintaining cybersecurity insurance. The Company’s cybersecurity risk management approach is periodically reviewed by management and certain external service professionals to assess whether any changes are needed to reflect changing threats.</w:t>
      </w:r>
    </w:p>
    <w:p>
      <w:pPr>
        <w:spacing w:after="0" w:line="189" w:lineRule="exact"/>
        <w:rPr>
          <w:sz w:val="20"/>
          <w:szCs w:val="20"/>
          <w:color w:val="auto"/>
        </w:rPr>
      </w:pPr>
    </w:p>
    <w:p>
      <w:pPr>
        <w:ind w:left="60" w:right="219" w:firstLine="648"/>
        <w:spacing w:after="0" w:line="289" w:lineRule="auto"/>
        <w:rPr>
          <w:sz w:val="20"/>
          <w:szCs w:val="20"/>
          <w:color w:val="auto"/>
        </w:rPr>
      </w:pPr>
      <w:r>
        <w:rPr>
          <w:rFonts w:ascii="Times New Roman" w:cs="Times New Roman" w:eastAsia="Times New Roman" w:hAnsi="Times New Roman"/>
          <w:sz w:val="17"/>
          <w:szCs w:val="17"/>
          <w:color w:val="auto"/>
        </w:rPr>
        <w:t>In addition, assessment and management of material risks from cybersecurity threats are integrated into the Company’s risk management strategy. For example, our cybersecurity team works with management to prioritize our risk management processes and mitigate cybersecurity threats that are more likely to lead to a material impact to our business.</w:t>
      </w:r>
    </w:p>
    <w:p>
      <w:pPr>
        <w:spacing w:after="0" w:line="158"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1A. Risk Factors in this Annual Report on Form 10-K, </w:t>
      </w:r>
      <w:r>
        <w:rPr>
          <w:rFonts w:ascii="Times New Roman" w:cs="Times New Roman" w:eastAsia="Times New Roman" w:hAnsi="Times New Roman"/>
          <w:sz w:val="18"/>
          <w:szCs w:val="18"/>
          <w:i w:val="1"/>
          <w:iCs w:val="1"/>
          <w:color w:val="auto"/>
        </w:rPr>
        <w:t>Cyber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or other systems and information technology interruptions could result in liability, harm our reputation, impact our ability to operate, and other material adverse consequences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engages third-party cybersecurity consultants and auditors who help the cybersecurity team in identifying, assessing, and managing material risks from cybersecurity threats, including by evaluating and enhancing the Company’s cybersecurity posture. The Company also engages third-party service providers to perform a variety of functions throughout its business. The Company performs due diligence before engaging with certain third-party service providers designed to evaluate the service providers’ cybersecurity practices, including their security policies, incident response capabilities, and data protection measures; including specific cybersecurity requirements in contracts with certain third-party service providers, such as regarding security standards, data protection, and incident reporting as applicable; and monitoring and auditing certain third-party service providers’ cybersecurity practices and compliance with contractual obligations. Depending on the nature of the services provided, the sensitivity of the information systems and data at issue, and the identity of the provider, the Company’s vendor management process may involve different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levels of assessment designed to help identify cybersecurity risks associated with a provider and impose contractual obligations related to cybersecurity on the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Board addresses the Company’s cybersecurity risk management as part of its general oversight function. The Board is responsible for overseeing Company’s cybersecurity risk management processes, including oversight and mitigation of risks from cybersecurity threats.</w:t>
      </w:r>
    </w:p>
    <w:p>
      <w:pPr>
        <w:spacing w:after="0" w:line="17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the certain members of Company management, including those who are part of the Company’s cybersecurity team. The Company’s cybersecurity team is comprised of individuals with expertise in cybersecurity, information technology, risk management, and Company operations. Our cybersecurity team has decades-long experience in cybersecurity and holds industry-standard certifications including Certified Information Systems Security Professional (“CISSP”), and Certified Cloud Security Professional (“CCSP”), among others.</w:t>
      </w:r>
    </w:p>
    <w:p>
      <w:pPr>
        <w:spacing w:after="0" w:line="187" w:lineRule="exact"/>
        <w:rPr>
          <w:sz w:val="20"/>
          <w:szCs w:val="20"/>
          <w:color w:val="auto"/>
        </w:rPr>
      </w:pPr>
    </w:p>
    <w:p>
      <w:pPr>
        <w:ind w:left="60" w:right="59" w:firstLine="693"/>
        <w:spacing w:after="0" w:line="261" w:lineRule="auto"/>
        <w:rPr>
          <w:sz w:val="20"/>
          <w:szCs w:val="20"/>
          <w:color w:val="auto"/>
        </w:rPr>
      </w:pPr>
      <w:r>
        <w:rPr>
          <w:rFonts w:ascii="Times New Roman" w:cs="Times New Roman" w:eastAsia="Times New Roman" w:hAnsi="Times New Roman"/>
          <w:sz w:val="18"/>
          <w:szCs w:val="18"/>
          <w:color w:val="auto"/>
        </w:rPr>
        <w:t>Management is responsible for hiring appropriate personnel,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 assessments and other security-related reports.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Company’s cybersecurity incident response plan is designed to escalate certain cybersecurity incidents to members of management depending on the circumstances, including the Company’s President and Chief Executive Officer, Chief Financial Officer, and General Counsel (collectively, “Executive Management”). Executive Management works with the Company’s incident response team to help the Company mitigate and remediate cybersecurity incidents of which they are notified. In addition, the Company’s incident response plan includes reporting to the Board for certain cybersecurity incidents.</w:t>
      </w:r>
    </w:p>
    <w:p>
      <w:pPr>
        <w:spacing w:after="0" w:line="187"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Company’s Board provides oversight of cybersecurity risk and regularly receives updates from the Company’s cybersecurity team. These updates cover topics that include cybersecurity team member updates, cybersecurity infrastructure updates, improvement in cyber-security tools and technologies, cybersecurity framework compliance, cyber-risk hardware/software enhancement updates, cybersecurity threats and mitigation measures, and more. The Board also has access to various reports, summaries or presentations related to cybersecurity threats, risk and mitigation.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corporate headquarters is located at 2401 East Katella Avenue, Anaheim, California, where we lease approximately 18,000 square feet of office space. In addition, we lease office space in 49 other locations nationwide, principally in California and New York. In addition to the U.S. locations, we also have one office in Canada and one office in the Commonwealth of Puerto Rico. In total, our facilities contain approximately 240,000 square feet of office space and are subject to leases that expire through 2029. We rent a small portion of this total space on a month-to-month basis. We believe that our existing facilities are adequate to meet current requirements and that suitable additional or substitute space will be available as needed to accommodate any expansion of operations and for additional offices.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79"/>
        <w:spacing w:after="0" w:line="30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Market Information for Common Stock</w:t>
      </w:r>
    </w:p>
    <w:p>
      <w:pPr>
        <w:spacing w:after="0" w:line="227"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Since November 21, 2006, the common stock of Willdan Group, Inc. has been listed and traded on the Nasdaq Global Market under the symbol “WLDN”.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Stockholders</w:t>
      </w:r>
    </w:p>
    <w:p>
      <w:pPr>
        <w:spacing w:after="0" w:line="22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of March 5, 2025, there were 190 stockholders of record of our common stock. This number does not include persons who hold our common stock in nominee or “street name” accounts through brokers or banks.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declare or pay cash dividends on our common stock in fiscal years 2024, 2023, or 2022.</w:t>
      </w:r>
    </w:p>
    <w:p>
      <w:pPr>
        <w:spacing w:after="0" w:line="22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currently expect to retain all available funds and future earnings, if any, for use in the operation and growth of our business and do not anticipate paying any cash dividends in the foreseeable future. Any future determination to pay dividends will be at the discretion of our board of directors, subject to compliance with applicable law and any contractual provisions, including under the Credit Agreement and agreements governing any additional indebtedness we may incur in the future, that restrict or limit our ability to pay dividends, and will depend upon, among other factors, our results of operations, financial condition, earnings, capital requirements and other factors that our board of directors deems relevant. Because we are a holding company, our ability to pay dividends depends on our receipt of cash dividends from our operating subsidiaries, which may further restrict our ability to pay dividends as a result of the laws of their jurisdiction of organization, agreements of our subsidiaries or covenants under our existing or future indebtedness.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5-year cumulative total stockholder return of our common stock with the cumulative total return of the Nasdaq Composite and a customized peer group. The companies included in our customized peer group represent our definitive Proxy peer group which is reviewed annually and revised as necessary. In the event that a peer group company is acquired and/or delisted, we remove that company from our peer group on such corresponding acquisition date and/or delisting date. The customized peer group consists of American Superconductor Corporation, Ameresco, Inc., Bowman Consulting Group Ltd., C3.ai, Inc., Exponent, Inc., ICF International, Inc., Iteris, Inc., Limbach Holdings, Inc., LSI Industries Inc., Montrose Environmental Group, Inc., NV5 Global, Inc., Quest Resource Holding Corporation, RCM Technologies, Inc., Resource Connection, Inc., and Stem, Inc. The old peer group consisted of American Superconductor Corporation, Atlas Technical Consultants, Inc., Bowman Consulting Group Ltd., C3.ai, Inc., Charah Solutions, Inc., Exponent, Inc., FTC Solar, Inc., ICF International, Inc., Limbach Holdings, Inc., Montrose Environmental Group, Inc., NV5 Global, Inc., Orion Energy Systems, Inc., RCM Technologies, Inc., Resource Connection, Inc., and Stem, Inc.</w:t>
      </w:r>
    </w:p>
    <w:p>
      <w:pPr>
        <w:spacing w:after="0" w:line="19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peer group investment is weighted by market capitalization as of December 27, 2019 and is adjusted monthly. An investment of $100, with reinvestment of all dividends, is assumed to have been made in our common stock, in the peer group, and in the Nasdaq Composite on December 27, 2019, and the relative performance of each is tracked through and including December 27, 2024. The stock price performance shown in the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694690</wp:posOffset>
            </wp:positionV>
            <wp:extent cx="4406265" cy="2219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0626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Recent Sales of Unregistered Securities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Issuer Repurchases of Equity Securities</w:t>
      </w:r>
    </w:p>
    <w:p>
      <w:pPr>
        <w:spacing w:after="0" w:line="227"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During the fiscal quarter ended December 27, 2024, we made the following repurchases of shares of our common stock from employees to satisfy tax withholding obligations incurred in connection with the vesting of restricted stock:</w:t>
      </w:r>
    </w:p>
    <w:p>
      <w:pPr>
        <w:spacing w:after="0" w:line="341" w:lineRule="exact"/>
        <w:rPr>
          <w:sz w:val="20"/>
          <w:szCs w:val="20"/>
          <w:color w:val="auto"/>
        </w:rPr>
      </w:pPr>
    </w:p>
    <w:tbl>
      <w:tblPr>
        <w:tblLayout w:type="fixed"/>
        <w:tblInd w:w="70" w:type="dxa"/>
        <w:tblCellMar>
          <w:top w:w="0" w:type="dxa"/>
          <w:left w:w="0" w:type="dxa"/>
          <w:bottom w:w="0" w:type="dxa"/>
          <w:right w:w="0" w:type="dxa"/>
        </w:tblCellMar>
      </w:tblPr>
      <w:tr>
        <w:trPr>
          <w:trHeight w:val="200"/>
        </w:trPr>
        <w:tc>
          <w:tcPr>
            <w:tcW w:w="290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(or Approximate Dollar</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May Yet be Purchased</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15"/>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199"/>
        </w:trPr>
        <w:tc>
          <w:tcPr>
            <w:tcW w:w="2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28, 2024 – October 25, 2024</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6"/>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October 26, 2024 – November 22, 2024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3,519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$47.31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6"/>
        </w:trPr>
        <w:tc>
          <w:tcPr>
            <w:tcW w:w="2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23, 2024 – December 27, 2024</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6"/>
        </w:trPr>
        <w:tc>
          <w:tcPr>
            <w:tcW w:w="2900" w:type="dxa"/>
            <w:vAlign w:val="bottom"/>
            <w:tcBorders>
              <w:left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3,519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$47.31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right="79" w:hanging="744"/>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spacing w:after="0" w:line="1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spacing w:after="0" w:line="189"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Summary Comparison of 2024, 2023, and 2022</w:t>
      </w:r>
    </w:p>
    <w:p>
      <w:pPr>
        <w:spacing w:after="0" w:line="160" w:lineRule="exact"/>
        <w:rPr>
          <w:sz w:val="20"/>
          <w:szCs w:val="20"/>
          <w:color w:val="auto"/>
        </w:rPr>
      </w:pPr>
    </w:p>
    <w:p>
      <w:pPr>
        <w:ind w:left="60" w:right="659"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information derived from our consolidated statements of comprehensive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w w:val="89"/>
              </w:rPr>
              <w:t>(in</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68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w w:val="93"/>
              </w:rPr>
              <w:t>thousands, except percentages)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3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429,138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Direct costs of contract revenue:</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Subcontractor services and other direct costs</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269,473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202,587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direct costs of contract revenue</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363,016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330,328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202,782</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179,767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143,579</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Salaries and wages, payroll taxes and employee</w:t>
            </w: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105,373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95,556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81,801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Facilities and facilities related</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30,818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33,692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171,429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157,693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150,642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31,353</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22,074</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(7,063)</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(7,801)</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(9,413)</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(5,328)</w:t>
            </w:r>
          </w:p>
        </w:tc>
        <w:tc>
          <w:tcPr>
            <w:tcW w:w="1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other income (expense)</w:t>
            </w: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(Loss) before income tax expense</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(11,452)</w:t>
            </w:r>
          </w:p>
        </w:tc>
        <w:tc>
          <w:tcPr>
            <w:tcW w:w="1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(3,004)</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22,570</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10,926</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(8,448)</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Percentages are expressed as a percentage of contract revenue and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provides information about disaggregated revenue of our two segments, Energy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Engineering and Consulting by contract type, client type, and geographical region:</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102,312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205,117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224,793</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233,811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238,693</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gridSpan w:val="2"/>
            <w:shd w:val="clear" w:color="auto" w:fill="CCEEFF"/>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473,309</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92,489</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182,079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84,695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266,774</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257,158</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257,404</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gridSpan w:val="2"/>
            <w:shd w:val="clear" w:color="auto" w:fill="CCEEFF"/>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473,309</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92,489</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473,309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92,489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99,112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214,793</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192,354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3,836</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196,190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426,976</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83,119</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37,028</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159,935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76,972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236,907</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235,879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236,160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426,976</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83,119</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426,976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53,584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86,075</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194,805</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144,460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3,798</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148,258</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357,460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71,678</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35,348</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126,494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65,969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192,463</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201,184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201,327</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357,460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71,678</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71,678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Amounts may not add to the totals due to rounding.</w:t>
      </w:r>
    </w:p>
    <w:p>
      <w:pPr>
        <w:spacing w:after="0" w:line="3" w:lineRule="exact"/>
        <w:rPr>
          <w:rFonts w:ascii="Times New Roman" w:cs="Times New Roman" w:eastAsia="Times New Roman" w:hAnsi="Times New Roman"/>
          <w:sz w:val="11"/>
          <w:szCs w:val="11"/>
          <w:color w:val="auto"/>
        </w:rPr>
      </w:pPr>
    </w:p>
    <w:p>
      <w:pPr>
        <w:ind w:left="720" w:hanging="319"/>
        <w:spacing w:after="0" w:line="221" w:lineRule="auto"/>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the portion of revenue related to small business programs paid by the end user/customer.</w:t>
      </w:r>
    </w:p>
    <w:p>
      <w:pPr>
        <w:ind w:left="720" w:hanging="319"/>
        <w:spacing w:after="0"/>
        <w:tabs>
          <w:tab w:leader="none" w:pos="7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Revenue from our foreign operations were not material for fiscal years 2024, 2023, and 2022.</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Fiscal Year 2024 Compared to Fiscal Year 2023</w:t>
      </w:r>
    </w:p>
    <w:p>
      <w:pPr>
        <w:spacing w:after="0" w:line="225"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Consolidated contract revenue increased $55.7 million, or 10.9%, in fiscal year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fiscal year 2023, due to incremental revenues in both our Energy segment and in our Engineering and Consulting segment.</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Contract revenue in our Energy segment increased $46.3 million, or 10.9%, in fiscal year 2024 compared to fiscal year 2023, primarily as a result of higher construction management revenues for government clients and increased demand for energy efficiency and electrification services under utility programs. Contract revenue in our Engineering and Consulting segment increased $9.4 million, or 11.3%, in fiscal year 2024 compared to fiscal year 2023, primarily due to increased demand for services provided to our clients.</w:t>
      </w:r>
    </w:p>
    <w:p>
      <w:pPr>
        <w:spacing w:after="0" w:line="18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 costs of contract revenue. </w:t>
      </w:r>
      <w:r>
        <w:rPr>
          <w:rFonts w:ascii="Times New Roman" w:cs="Times New Roman" w:eastAsia="Times New Roman" w:hAnsi="Times New Roman"/>
          <w:sz w:val="18"/>
          <w:szCs w:val="18"/>
          <w:color w:val="auto"/>
        </w:rPr>
        <w:t>Direct costs of consolidated contract revenue increased $32.7 million, or 9.9%,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2024 compared to fiscal year 2023, primarily as a result of the increase, and change of mix, in contract revenues as described above. As a percentage of contract revenue, direct salaries and wages decreased to 16.5% in fiscal year 2024, from 17.6% in fiscal year 2023, while subcontractor services and other direct costs increased to 47.6% in fiscal year 2024, from 47.1% in fiscal year 2023.</w:t>
      </w:r>
    </w:p>
    <w:p>
      <w:pPr>
        <w:spacing w:after="0" w:line="185"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Direct costs of contract revenue in our Energy segment increased $30.2 million, or 10.4%, in fiscal year 2024 compared to fiscal year 2023. Direct costs of contract revenue in our Engineering and Consulting segment increased $2.5 million, or 6.4%, in fiscal year 2024 compared to fiscal year 2023.</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Subcontractor services and other direct costs increased $29.1 million, or 12.1%, in fiscal year 2024 compared to fiscal year 2023, primarily due to the increase in construction management revenues, which utilize a higher percentage of material cost and installation subcontracting. Salaries and wages increased by $3.6 million, or 4.0%, in fiscal year 2024 compared to fiscal year 2023, primarily as a result of the increases in contract revenue as described above.</w:t>
      </w:r>
    </w:p>
    <w:p>
      <w:pPr>
        <w:spacing w:after="0" w:line="178" w:lineRule="exact"/>
        <w:rPr>
          <w:sz w:val="20"/>
          <w:szCs w:val="20"/>
          <w:color w:val="auto"/>
        </w:rPr>
      </w:pPr>
    </w:p>
    <w:p>
      <w:pPr>
        <w:ind w:left="60" w:right="4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increased 12.8% to $202.8 million, or a 35.8% gross margin, for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$179.8 million, or a 35.2% gross margin for fiscal year 2023. The increase in gross margin was primarily driven by changes in the mix of revenues as described above.</w:t>
      </w:r>
    </w:p>
    <w:p>
      <w:pPr>
        <w:spacing w:after="0" w:line="17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(“G&amp;A”) expenses increased by $13.7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8.7%, in fiscal year 2024 compared to fiscal year 2023. G&amp;A expenses consisted of an increase of $7.4 million in the Energy segment combined with an increase of $4.2 million in the Engineering and Consulting segment, and an increase of $2.1 million in unallocated corporate expenses.</w:t>
      </w:r>
    </w:p>
    <w:p>
      <w:pPr>
        <w:spacing w:after="0" w:line="182"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Within G&amp;A expenses, the increase of $9.8 million in salaries and wages, payroll taxes and employee benefits, combined with the increase of $3.4 million in other general and administrative expenses, and the increase of $2.1 million in stock-based compensation was partially offset by a decrease of $1.7 million in depreciation and amortization. The increase in salaries and wages, payroll taxes and employee benefits was primarily due to an increase in incentive compensation, consistent with the improvement in operating profit, and higher fringe benefit costs, combined with increases in employee headcount. The increase in other general and administrative expenses was primarily due to increased professional service fees and computer-related expenses. The increase in stock-based compensation expenses was primarily related to new stock grants to current employees and executives at a higher stock price. The decrease in depreciation and amortization was primarily related to lower amortization of intangible assets from acquisitions prior to fiscal year 2024.</w:t>
      </w:r>
    </w:p>
    <w:p>
      <w:pPr>
        <w:spacing w:after="0" w:line="171" w:lineRule="exact"/>
        <w:rPr>
          <w:sz w:val="20"/>
          <w:szCs w:val="20"/>
          <w:color w:val="auto"/>
        </w:rPr>
      </w:pPr>
    </w:p>
    <w:p>
      <w:pPr>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Operating income increased 42.0% to $31.4 million for fiscal year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operating income of $22.1 million for fiscal year 2023, as a result of the factors noted above.</w:t>
      </w:r>
    </w:p>
    <w:p>
      <w:pPr>
        <w:spacing w:after="0" w:line="131" w:lineRule="exact"/>
        <w:rPr>
          <w:sz w:val="20"/>
          <w:szCs w:val="20"/>
          <w:color w:val="auto"/>
        </w:rPr>
      </w:pPr>
    </w:p>
    <w:p>
      <w:pPr>
        <w:ind w:left="60" w:right="99" w:firstLine="693"/>
        <w:spacing w:after="0" w:line="261" w:lineRule="auto"/>
        <w:rPr>
          <w:sz w:val="20"/>
          <w:szCs w:val="20"/>
          <w:color w:val="auto"/>
        </w:rPr>
      </w:pPr>
      <w:r>
        <w:rPr>
          <w:rFonts w:ascii="Times New Roman" w:cs="Times New Roman" w:eastAsia="Times New Roman" w:hAnsi="Times New Roman"/>
          <w:sz w:val="18"/>
          <w:szCs w:val="18"/>
          <w:i w:val="1"/>
          <w:iCs w:val="1"/>
          <w:color w:val="auto"/>
        </w:rPr>
        <w:t>Total other expense, net</w:t>
      </w:r>
      <w:r>
        <w:rPr>
          <w:rFonts w:ascii="Times New Roman" w:cs="Times New Roman" w:eastAsia="Times New Roman" w:hAnsi="Times New Roman"/>
          <w:sz w:val="18"/>
          <w:szCs w:val="18"/>
          <w:color w:val="auto"/>
        </w:rPr>
        <w:t>. Total other expense, net, decreased $2.8 million, or 37.5%, in fiscal year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fiscal year 2023. The decrease in total other expense, net is primarily due to lower interest expense resulting from the reduced interest rate spread derived from lower debt leverage levels under our Credit Facilities, combined with increased income from interest as a result of our higher cash balances.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We recorded an income tax expense of $4.1 million for fiscal year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tax expense of $3.7 million for fiscal year 2023. The tax expense is primarily attributable to the income before income tax combined with increases in discrete items related to stock compensation and additional energy efficiency building deductions. Compared to prior year, the lower effective tax rate in fiscal year 2024 resulted from increased deductions for energy efficiency building deductions.</w:t>
      </w:r>
    </w:p>
    <w:p>
      <w:pPr>
        <w:spacing w:after="0" w:line="183" w:lineRule="exact"/>
        <w:rPr>
          <w:sz w:val="20"/>
          <w:szCs w:val="20"/>
          <w:color w:val="auto"/>
        </w:rPr>
      </w:pPr>
    </w:p>
    <w:p>
      <w:pPr>
        <w:ind w:left="60" w:right="2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Our net income was $22.6 million for fiscal year 2024, as compared to a net income of $10.9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fiscal year 2023. The increase in net income was primarily attributable to the increase in income from operations combined with the decrease in total other expense and lower effective tax rate.</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Fiscal Year 2023 Compared to Fiscal Year 2022</w:t>
      </w:r>
    </w:p>
    <w:p>
      <w:pPr>
        <w:spacing w:after="0" w:line="225"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Consolidated contract revenue increased $81.0 million, or 18.9%, in fiscal year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fiscal year 2022, primarily due to incremental revenues in both our Energy segment and in our Engineering and Consulting segment.</w:t>
      </w:r>
    </w:p>
    <w:p>
      <w:pPr>
        <w:spacing w:after="0" w:line="175"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Contract revenue in our Energy segment increased $69.6 million, or 19.4%, in fiscal year 2023 compared to fiscal year 2022, primarily as a result of higher demand across the full spectrum of our energy services including increases in software licensing revenue. Contract revenue in our Engineering and Consulting segment increased $11.4 million, or</w:t>
      </w:r>
    </w:p>
    <w:p>
      <w:pPr>
        <w:spacing w:after="0" w:line="1" w:lineRule="exact"/>
        <w:rPr>
          <w:sz w:val="20"/>
          <w:szCs w:val="20"/>
          <w:color w:val="auto"/>
        </w:rPr>
      </w:pPr>
    </w:p>
    <w:p>
      <w:pPr>
        <w:ind w:left="60" w:right="319"/>
        <w:spacing w:after="0" w:line="260" w:lineRule="auto"/>
        <w:rPr>
          <w:sz w:val="20"/>
          <w:szCs w:val="20"/>
          <w:color w:val="auto"/>
        </w:rPr>
      </w:pPr>
      <w:r>
        <w:rPr>
          <w:rFonts w:ascii="Times New Roman" w:cs="Times New Roman" w:eastAsia="Times New Roman" w:hAnsi="Times New Roman"/>
          <w:sz w:val="18"/>
          <w:szCs w:val="18"/>
          <w:color w:val="auto"/>
        </w:rPr>
        <w:t>16.0%, in fiscal year 2023 compared to fiscal year 2022, primarily due to increased demand for services provided to our clients.</w:t>
      </w:r>
    </w:p>
    <w:p>
      <w:pPr>
        <w:spacing w:after="0" w:line="17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 costs of contract revenue. </w:t>
      </w:r>
      <w:r>
        <w:rPr>
          <w:rFonts w:ascii="Times New Roman" w:cs="Times New Roman" w:eastAsia="Times New Roman" w:hAnsi="Times New Roman"/>
          <w:sz w:val="18"/>
          <w:szCs w:val="18"/>
          <w:color w:val="auto"/>
        </w:rPr>
        <w:t>Direct costs of consolidated contract revenue increased $44.8 million, or 15.7%,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fiscal year 2023 compared to fiscal year 2022, primarily as a result of the increase, and change of mix, in contract revenues as described above. As a percentage of contract revenue, direct salaries and wages decreased to 17.6% in fiscal year 2023, from 19.3% in the fiscal 2022, while subcontractor services and other direct costs was relatively flat for the fiscal year 2023 compared to fiscal year 2022.</w:t>
      </w:r>
    </w:p>
    <w:p>
      <w:pPr>
        <w:spacing w:after="0" w:line="18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Direct costs of contract revenue in our Energy segment increased $39.4 million, or 15.6%, in fiscal year 2023 compared to fiscal year 2022. Direct costs of contract revenue for the Engineering and Consulting segment increased $5.4 million, or 16.0%, for the fiscal year 2023 compared to fiscal year 2022.</w:t>
      </w:r>
    </w:p>
    <w:p>
      <w:pPr>
        <w:spacing w:after="0" w:line="176"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Subcontractor services and other direct costs increased $37.8 million, or 18.7%, and salaries and wages increased by $7.0 million, or 8.4%, in fiscal year 2023 compared to fiscal year 2022, primarily as a result of the increases in contract revenue.</w:t>
      </w:r>
    </w:p>
    <w:p>
      <w:pPr>
        <w:spacing w:after="0" w:line="17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increased 25.2% to $179.8 million, or a 35.2% gross margin, for fiscal year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$143.6 million, or a 33.5% gross margin for fiscal year 2022. The increase in gross margin was primarily driven by higher software licensing revenue and changes in the mix of revenues as described above combined with the absence of project startup costs for new utility programs that were incurred during fiscal year 2022 but did not recur in the in fiscal year 2023.</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(“G&amp;A”) expenses increased by $7.1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 in fiscal year 2023 compared to fiscal year 2022. The increase in G&amp;A expenses consisted of an increase of $3.8 million in the Energy segment combined with an increase of $6.5 million in the Engineering and Consulting segment, partially offset by a decrease of $3.2 million in unallocated corporate expenses.</w:t>
      </w:r>
    </w:p>
    <w:p>
      <w:pPr>
        <w:spacing w:after="0" w:line="18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Within G&amp;A expenses, the increase of $13.8 million in salaries and wages, payroll taxes and employee benefits was partially offset by a decrease of $3.1 million in stock-based compensation, a decrease of $2.9 million in other general and administrative expenses, and a decrease of $1.1 million in depreciation and amortization. The increase in salaries and wages, payroll taxes and employee benefits was primarily due to an increase in incentive compensation, consistent with the improvement in operating profit, increased costs related to employee benefits, and increases in employee compensation as a result of additional employee headcount as well as employee compensation increases. The decrease in stock-based compensation expenses was primarily related to previously awarded stock grants reaching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end of their corresponding vesting periods, partially offset by new equity awards being issued at lower stock prices. The decrease in other general and administrative expenses was primarily due to contingent consideration expense related to prior acquisitions that occurred during fiscal year 2022 that did not recur in fiscal year 2023. The decrease in depreciation and amortization was primarily related to lower amortization of intangible assets from prior acquisitions.</w:t>
      </w:r>
    </w:p>
    <w:p>
      <w:pPr>
        <w:spacing w:after="0" w:line="178" w:lineRule="exact"/>
        <w:rPr>
          <w:sz w:val="20"/>
          <w:szCs w:val="20"/>
          <w:color w:val="auto"/>
        </w:rPr>
      </w:pPr>
    </w:p>
    <w:p>
      <w:pPr>
        <w:ind w:left="60" w:right="7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Operating income was $22.1 million for fiscal year 2023, compared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loss of $7.1 million for fiscal year 2022, as a result of the factors noted above.</w:t>
      </w:r>
    </w:p>
    <w:p>
      <w:pPr>
        <w:spacing w:after="0" w:line="131"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Total other expense, net</w:t>
      </w:r>
      <w:r>
        <w:rPr>
          <w:rFonts w:ascii="Times New Roman" w:cs="Times New Roman" w:eastAsia="Times New Roman" w:hAnsi="Times New Roman"/>
          <w:sz w:val="18"/>
          <w:szCs w:val="18"/>
          <w:color w:val="auto"/>
        </w:rPr>
        <w:t>. Total other expense, net, increased $3.1 million, or 70.5%, in fiscal year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fiscal year 2022. The increase in total other expense, net is primarily due to higher interest expense as a result of the increase in market interest rates which directly affected our variable interest rates under our Credit Facilities, combined with a one-time charge of $0.5 million for unamortized debt issuance costs related to our prior credit facilities, partially offset by interest income related to bank deposits.</w:t>
      </w:r>
    </w:p>
    <w:p>
      <w:pPr>
        <w:spacing w:after="0" w:line="18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We recorded an income tax expense of $3.7 million for fiscal year 2023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tax benefit of $3.0 million for fiscal year 2022. The tax expense is primarily attributable to the income before income tax combined with the non-recurrence of a one-time tax benefit recognized during fiscal year 2022 related to additional energy efficiency building deductions.</w:t>
      </w:r>
    </w:p>
    <w:p>
      <w:pPr>
        <w:spacing w:after="0" w:line="180" w:lineRule="exact"/>
        <w:rPr>
          <w:sz w:val="20"/>
          <w:szCs w:val="20"/>
          <w:color w:val="auto"/>
        </w:rPr>
      </w:pPr>
    </w:p>
    <w:p>
      <w:pPr>
        <w:ind w:left="60" w:right="4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Our net income was $10.9 million for fiscal year 2023, as compared to a net loss of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fiscal year 2022. The increase in net income was primarily attributable to the increase in revenue and gross profit, partially offset by higher interest expense and income tax expense.</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0"/>
        </w:trPr>
        <w:tc>
          <w:tcPr>
            <w:tcW w:w="4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6"/>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i w:val="1"/>
                <w:iCs w:val="1"/>
                <w:color w:val="auto"/>
                <w:w w:val="96"/>
              </w:rPr>
              <w:t>(in thousands)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39,214</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(15,743)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(11,457)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(23,845)</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0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for the next 12 months and beyond are cash generated from operations, cash and cash equivalents, and available borrowings under our revolving credit facility under the Credit Agreement (the “Revolving Credit Facility”). We believe that our cash and cash equivalents, cash generated by operating activities, and available borrowings under our Revolving Credit Facility will be sufficient to finance our operating activities for at least the next 12 months.</w:t>
      </w:r>
    </w:p>
    <w:p>
      <w:pPr>
        <w:spacing w:after="0" w:line="18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27, 2024, we had a fully drawn $100 million term loan with $90.0 million outstanding (the “Term Loan”, and collectively with the Revolving Credit Facility, the “Credit Facilities”), and a $50.0 million Revolving Credit Facility with no borrowed amounts and $1.6 million in letters of credit issued, each scheduled to mature on September 29, 2026. In addition, as of December 27, 2024, we had $74.2 million of unrestricted cash and cash equivalents.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27, 2024, we were in compliance with the covenants contained in the Credit Agreement. As of December 27, 2024, unhedged borrowings under our Credit Facilities, exclusive of the effects of upfront fees, undrawn fees and issuance cost amortization, bore interest at an annual rate of 6.4%. See Part II, Item 8, Note 5,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of the Notes to Consolidated Financial Statements included in this Annual Report on Form 10-K, for information regarding our indebtedness, including information about new borrowings and repayments, principal repayment terms, interest rates, covenants, and other key terms of our outstanding indebtedness.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Cash flows provided by operating activities were $72.1 million, $39.2 million, and $9.4 million for fiscal years 2024, 2023, and 2022, respectively.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fiscal year 2024 resulted primarily from the increase in earnings, and lower working capital requirements resulting from more robust billing and payment terms and the timing of collections at the end of the fiscal year. Cash flows provided by operating activities for fiscal year 2023 resulted primarily from the increase in earnings, combined with lower working capital requirements. Cash flows provided by operating activities for fiscal year 2022 were unfavorably impacted by higher working capital requirements required to support the increase in contract revenues.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were $15.7 million, $11.5 million, and $9.5 million for fiscal years 2024, 2023, and 2022, respectively. Cash flows used in investing activities for fiscal year 2024 were primarily due to cash paid for an acquisition, combined with cash paid for the development of proprietary software and the purchase of computers and equipment. Cash flows used in investing activities for fiscal years 2023, and 2022 were primarily due to cash paid for the development of proprietary software and the purchase of computers and other equipment.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Cash flows used in financing activities were $5.6 million and $23.8 million for fiscal years 2024 and 2023, respectively, compared to cash flows provided by financing activities of $8.4 million for fiscal year 2022. Cash flows used in financing activities for fiscal year 2024 were primarily attributable to the repayments of $8.1 million under our Term Loan, $1.4 million principal payments on finance leases, and $1.4 million cash used to pay withholding taxes on stock grants, partially offset by $2.8 million of proceeds from sales of common stock under employee stock purchase plan and $2.8 million in proceeds from stock option exercises. Cash flows used in financing activities for fiscal year 2023 were primarily attributable to the disbursement of $10.7 million in restricted cash for utility rebate incentives, payments of $4.0 million for contingent consideration related to prior acquisitions, combined with repayments and borrowings of $112.9 million and $105.0 million, respectively, under our term loan facility and line of credit, which resulted primarily from refinancing our Prior Credit Facility. Cash flows provided by financing activities for fiscal year 2022 were primarily attributable to borrowings of $20.0 million under our Delayed Draw Term Loan, $10.7 million in receipt of restricted cash, $3.0 million in proceeds from sales of common stock under our employee stock purchase plan, and $1.7 million proceeds from notes payable, partially offset by repayments of $13.0 million under our Term A Loan, combined with payments of $10.2 million for contingent consideration related to prior acquisitions, $1.9 million payments on notes payable, and $1.1 million principal payments on finance leases.</w:t>
      </w:r>
    </w:p>
    <w:p>
      <w:pPr>
        <w:spacing w:after="0" w:line="19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or liabilities. In addition, our policy is not to enter into futures or forward contracts. 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that most significantly impact Genesys’ performance, in addition to being obligated to absorb expected losses from Genesys. Accordingly, we are the primary beneficiary of Genesys and consolidate Genesys as a variable interest entity.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Short and Long-term Uses of Cash</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principal uses of cash are to fund operating expenses, support working capital requirements, finance capital expenditures, and pay down outstanding debt. From time to time, we also use cash to help fund business acquisitions. Our cash and cash equivalents are impacted by the timing of when we are paid by our customers for services rendered and when we pay expenses as reflected in the change in our outstanding accounts payable and accrued expenses.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our known contractual obligations as of December 27,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2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2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Debt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Interest payments on debt outstanding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116,861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7" w:lineRule="exact"/>
        <w:rPr>
          <w:sz w:val="20"/>
          <w:szCs w:val="20"/>
          <w:color w:val="auto"/>
        </w:rPr>
      </w:pPr>
    </w:p>
    <w:p>
      <w:pPr>
        <w:ind w:left="380" w:right="159" w:hanging="330"/>
        <w:spacing w:after="0" w:line="229" w:lineRule="auto"/>
        <w:tabs>
          <w:tab w:leader="none" w:pos="38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Debt includes $89.5 million outstanding on our Term Loan, net of issuance costs, and no borrowed amounts outstanding on our Revolving Credit Facility as of December 27, 2024. We have assumed no future borrowings or repayments (other than at maturity) for purposes of this table. Our Term Loan is scheduled to mature on September 29, 2026.</w:t>
      </w:r>
    </w:p>
    <w:p>
      <w:pPr>
        <w:ind w:left="380" w:right="399" w:hanging="330"/>
        <w:spacing w:after="0" w:line="211" w:lineRule="auto"/>
        <w:tabs>
          <w:tab w:leader="none" w:pos="38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Borrowings under our Term Loan and Revolving Credit Facility bear interest at a variable rate. Future interest payments on our Credit Facility are estimated using floating rates in effect as of December 27, 2024.</w:t>
      </w:r>
    </w:p>
    <w:p>
      <w:pPr>
        <w:spacing w:after="0" w:line="191"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We are obligated to pay earnout payments in connection with our acquisition of Enica Engineering, PLLC. (“Enica”). We are obligated to pay up to $6.0 million in cash if Enica exceeds certain financial targets during the two years after the Enica closing date of October 23, 2024 (the “Enica Closing Date”). As of December 27, 2024, we had contingent consideration payable of $4.2 million related to the Enica acquisition. For fiscal year 2024, our statement of operations includes $0.2 million of interest accretion (excluding fair value adjustments) related to the contingent consideration.</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Outstanding Indebtedness</w:t>
      </w:r>
    </w:p>
    <w:p>
      <w:pPr>
        <w:spacing w:after="0" w:line="22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See Part II, Item 8, Note 5,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of the Notes to Consolidated Financial Statements included in this Annual Report on Form 10-K for information regarding our indebtedness, including information about new borrowings and repayments, principal repayment terms, interest rates, covenants, and other key terms of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Insurance Premiums</w:t>
      </w:r>
    </w:p>
    <w:p>
      <w:pPr>
        <w:spacing w:after="0" w:line="227"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We have also financed, from time to time, insurance premiums by entering into unsecured notes payable with insurance companies. See part II, Item 8, Note 5,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of the Notes to Consolidated Financial Statements included in this Annual Report on Form 10-K for information regarding our financing arrangements related to our insurance premiums.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enter into interest rate swap agreements to moderate our exposure to fluctuations in interest rates underlying our variable rate debt. For more information, see Part I, Item 7A,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r>
        <w:rPr>
          <w:rFonts w:ascii="Times New Roman" w:cs="Times New Roman" w:eastAsia="Times New Roman" w:hAnsi="Times New Roman"/>
          <w:sz w:val="18"/>
          <w:szCs w:val="18"/>
          <w:color w:val="auto"/>
        </w:rPr>
        <w:t>”, and Note 4,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to the Notes of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Due to the average duration of our projects and our ability to negotiate prices as contracts end and new contracts begin, historically, our operations have not been materially impacted by inflation. While immaterial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spacing w:after="0" w:line="187"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Revenue and Expense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December 27, 2024, 18% of our contracts are time-and-materials contracts, 40% are unit-based contracts, and 42% are fixed price contracts, compared to 19% for time-and-materials contracts, 42% for unit-based contracts, and 39% for fixed price contracts, as of December 29, 2023.</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contracts come up for renewal periodically and at the time of renewal may be subject to renegotiation,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Duke Energy Corp., may have a material effect on our consolidated operations.</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Direct Costs of Contract Revenue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Other companies may classify as direct costs of contract revenue some of the costs that we classify as general and administrative costs. We expense direct costs of contract revenue when incurred.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upon our consolidated financial statements, which have been prepared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provided a summary of our significant accounting policies in Part II, Item 8, Note 1, “</w:t>
      </w:r>
      <w:r>
        <w:rPr>
          <w:rFonts w:ascii="Times New Roman" w:cs="Times New Roman" w:eastAsia="Times New Roman" w:hAnsi="Times New Roman"/>
          <w:sz w:val="18"/>
          <w:szCs w:val="18"/>
          <w:i w:val="1"/>
          <w:iCs w:val="1"/>
          <w:color w:val="auto"/>
        </w:rPr>
        <w:t>Organization and Operations of the Company”</w:t>
      </w:r>
      <w:r>
        <w:rPr>
          <w:rFonts w:ascii="Times New Roman" w:cs="Times New Roman" w:eastAsia="Times New Roman" w:hAnsi="Times New Roman"/>
          <w:sz w:val="18"/>
          <w:szCs w:val="18"/>
          <w:color w:val="auto"/>
        </w:rPr>
        <w:t>, of the Notes to Consolidated Financial Statements included in this Annual Report on Form 10-K. We describe below those accounting policies that require material subjective or complex judgments and that have the most significant impact on our financial condition and results of operations. Our management evaluates these estimates on an ongoing basis, based upon information currently available and on various assumptions management believes are reasonable as of the date of this report.</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Billing practices are governed by the contract terms of each project based upon costs incurred, achievement of milestones or pre-agreed schedules. Billings in any given fiscal period do not necessarily correlate with revenue recognized for that period. Contract assets include unbilled amounts typically resulting from revenue under contracts where the percentage-of-completion method of revenue recognition is utilized and revenue recognized exceeds the amount billed to the customer and right to repayment is not unconditional. Contract assets also include retainage amounts withheld from billings to our clients pursuant to provisions in our contracts and other revenues earned but not billed in the current period. Contract liabilities consist of advance payments and billings in excess of revenue recognized and deferred revenue.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Accounting</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enter into contracts with our clients that contain various types of pricing provisions, including fixed price, time-and-materials, and unit-based provisions. We recognize revenues in accordance with ASU 2014-09, Revenue from Contracts with Customer, codified as ASC Topic 606 and the related amendments (collectively, “ASC 606”). As such, we identify a contract with a customer, identify the performance obligations in the contract, determine the transaction price, allocate the transaction price to each performance obligation in the contract and recognize revenue when (or as) we satisfy a performance obligation.</w:t>
      </w:r>
    </w:p>
    <w:p>
      <w:pPr>
        <w:spacing w:after="0" w:line="187"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two reportable segments and the types of contracts that each most commonly enters into for revenue generating activities.</w:t>
      </w:r>
    </w:p>
    <w:p>
      <w:pPr>
        <w:spacing w:after="0" w:line="173"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Recognition Method</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10"/>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10"/>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Software license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10"/>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Engineering and Consulting</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10"/>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Revenue on the vast majority of our contracts will continue to be recognized over time because of the continuous transfer of control to the customer. Revenue on fixed price contracts is recognized on the percentage-of-completion method based generally on the ratio of direct costs incurred-to-date to estimated total direct costs at completion. We use the percentage-of-completion method to better match the level of work performed at a certain point in time in relation to our effort that will be required to complete a project. In addition, the percentage-of-completion method is a common method of revenue recognition in our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Many of our fixed price contracts involve a high degree of subcontracted fixed price effort and are relatively short in duration, thereby lowering the risks of not properly estimating the percent complete. Revenue on time-and-materials and unit-based contracts is recognized as the work is performed in accordance with the specific rates and terms of the contract. We recognize revenues for time-and-materials contracts based upon the actual hours incurred during a reporting period at contractually agreed upon rates per hour and also includes in revenue all reimbursable costs incurred during a reporting period. Certain of our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we recognize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consolidated balance sheets. We also derive revenue from software licenses and professional services and maintenance fees. In accordance with ASC 606, we perform an assessment of each contract to identify the performance obligations, determine the overall transaction price for the contract, allocate the transaction price to the performance obligations, and recognize the revenue when the performance obligations are satisfied. We utilize the residual approach by which we estimate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usually which is the life of the contract.</w:t>
      </w:r>
    </w:p>
    <w:p>
      <w:pPr>
        <w:spacing w:after="0" w:line="188"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To determine the proper revenue recognition method for contracts, we evaluate whether two or more contracts should be combined and accounted for as one single contract and whether the combined contract should be accounted for as one performance obligation. With respect to our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we provide a significant service of integrating a complex set of tasks and components into a single project or capability.</w:t>
      </w:r>
    </w:p>
    <w:p>
      <w:pPr>
        <w:spacing w:after="0" w:line="172"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may enter into contracts that include separate phases or elements. If each phase or element is negotiated separately based on the technical resources required and/or the supply and demand for the services being provided, we evaluate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our consolidated contract revenue.</w:t>
      </w:r>
    </w:p>
    <w:p>
      <w:pPr>
        <w:spacing w:after="0" w:line="187" w:lineRule="exact"/>
        <w:rPr>
          <w:sz w:val="20"/>
          <w:szCs w:val="20"/>
          <w:color w:val="auto"/>
        </w:rPr>
      </w:pPr>
    </w:p>
    <w:p>
      <w:pPr>
        <w:ind w:left="60" w:right="159" w:firstLine="648"/>
        <w:spacing w:after="0" w:line="271" w:lineRule="auto"/>
        <w:rPr>
          <w:sz w:val="20"/>
          <w:szCs w:val="20"/>
          <w:color w:val="auto"/>
        </w:rPr>
      </w:pPr>
      <w:r>
        <w:rPr>
          <w:rFonts w:ascii="Times New Roman" w:cs="Times New Roman" w:eastAsia="Times New Roman" w:hAnsi="Times New Roman"/>
          <w:sz w:val="17"/>
          <w:szCs w:val="17"/>
          <w:color w:val="auto"/>
        </w:rPr>
        <w:t>Contracts that cover multiple phases or elements of the project or service lifecycle (development, design, construction and maintenance and support) may be considered to have multiple performance obligations even when they are part of a single contract. For contracts with multiple performance obligations, we allocate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we do not provide the distinct good or service on a standalone basis, the primary method used to estimate standalone selling price is the expected cost plus a margin approach, under which we forecast our expected costs of satisfying a performance obligation and then adds an appropriate margin for the distinct good or service.</w:t>
      </w:r>
    </w:p>
    <w:p>
      <w:pPr>
        <w:spacing w:after="0" w:line="173"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provide quality of workmanship warranties to customers that are included in the sale and are not priced or sold separately or do not provide customers with a service in addition to assurance of compliance with agreed-upon specifications and industry standards. We do not consider these types of warranties to be separate performance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In some cases, we have a master service or blanket agreement with a customer under which each task order releases us to perform specific portions of the overall scope in the service contract. Each task order is typically accounted for as a separate contract because the task order establishes the enforceable rights and obligations, and payment terms.</w:t>
      </w:r>
    </w:p>
    <w:p>
      <w:pPr>
        <w:spacing w:after="0" w:line="15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our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assessments of legal enforceability, our performance, and all information (historical, current and forecasted) that is reasonably available to us.</w:t>
      </w:r>
    </w:p>
    <w:p>
      <w:pPr>
        <w:spacing w:after="0" w:line="18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our performance obligations, the estimation of total revenue and cost at completion is complex, subject to many variables and requires significant judgment. As a significant change in one or more of these estimates could affect the profitability of our contracts, we review and update our contract-related estimates regularly through a company-wide disciplined project review process in which management reviews the progress and execution of our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spacing w:after="0" w:line="194"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recognize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we recognize the total loss in the period it is identified.</w:t>
      </w:r>
    </w:p>
    <w:p>
      <w:pPr>
        <w:spacing w:after="0" w:line="18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We consider contract modifications to exist when the modification either creates new rights or obligations or changes the existing enforceable rights or obligations.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our measure of progress for the performance obligation to which it relates is recognized as an adjustment to revenue (either as an increase in or a reduction of revenue) on a cumulative catch-up basis.</w:t>
      </w:r>
    </w:p>
    <w:p>
      <w:pPr>
        <w:spacing w:after="0" w:line="189"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we account for such contract modifications as a separate contract.</w:t>
      </w:r>
    </w:p>
    <w:p>
      <w:pPr>
        <w:spacing w:after="0" w:line="15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include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carried at original invoice amount less an estimate made for doubtful accounts based upon our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spacing w:after="0" w:line="18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on the types of contracts under which we perform our services, see Part II, Item 8, Note 1, </w:t>
      </w:r>
      <w:r>
        <w:rPr>
          <w:rFonts w:ascii="Times New Roman" w:cs="Times New Roman" w:eastAsia="Times New Roman" w:hAnsi="Times New Roman"/>
          <w:sz w:val="18"/>
          <w:szCs w:val="18"/>
          <w:i w:val="1"/>
          <w:iCs w:val="1"/>
          <w:color w:val="auto"/>
        </w:rPr>
        <w:t xml:space="preserve">“Organization and Operations of the Company”, </w:t>
      </w:r>
      <w:r>
        <w:rPr>
          <w:rFonts w:ascii="Times New Roman" w:cs="Times New Roman" w:eastAsia="Times New Roman" w:hAnsi="Times New Roman"/>
          <w:sz w:val="18"/>
          <w:szCs w:val="18"/>
          <w:color w:val="auto"/>
        </w:rPr>
        <w:t>of the Notes to consolidated financial statements included in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test our goodwill at least annually for possible impairment. We complete our annual testing of goodwill as of the last day of the first month of our fourth fiscal quarter each year to determine whether there is impairment. In addition to our annual test, we regularly evaluate whether events and circumstances have occurred that may indicate a potential impairment of goodwill. We did not recognize any goodwill impairment charges in fiscal years 2024, 2023, or 2022.</w:t>
      </w:r>
    </w:p>
    <w:p>
      <w:pPr>
        <w:spacing w:after="0" w:line="18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test our goodwill for impairment at the level of our reporting units, which are components of our operating segments. In January 2017, the Financial Accounting Standards Board (the “FASB”) issued Accounting Standards Update (“ASU”) Update No. 2017-04 (“ASU 2017-04”), </w:t>
      </w:r>
      <w:r>
        <w:rPr>
          <w:rFonts w:ascii="Times New Roman" w:cs="Times New Roman" w:eastAsia="Times New Roman" w:hAnsi="Times New Roman"/>
          <w:sz w:val="18"/>
          <w:szCs w:val="18"/>
          <w:i w:val="1"/>
          <w:iCs w:val="1"/>
          <w:color w:val="auto"/>
        </w:rPr>
        <w:t>Intangibles—Goodwill and Other (Topic 350): Testing Goodwill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This accounting guidance eliminates the requirement to compare the implied fair value of reporting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with the carrying amount of that goodwill (commonly referred to as Step 2) from the goodwill impairment test. The new standard does not change how a goodwill impairment is identified. We will continue to perform our quantitative and qualitative goodwill impairment test by comparing the fair value of each reporting unit to its carrying amount, but if we are required to recognize a goodwill impairment charge, under the new standard the amount of the charge will be calculated by subtracting the reporting unit’s fair value from its carrying amount. Under the prior standard, if we were required to recognize a goodwill impairment charge, Step 2 required us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To estimate the fair value of our reporting units, we use both an income approach based on management’s estimates of future cash flows and other market data and a market approach based upon multiples of earnings before interest, taxes, depreciation and amortization, or EBITDA, earned by similar public companies. Once the fair value is determined, we then compare the fair value of the reporting unit to its carrying value, including goodwill. If the fair value of the reporting unit is determined to be less than the carrying value, we perform an additional assessment to determine the extent of the impairment based on the implied fair value of goodwill compared with the carrying amount of the goodwill. In the event that the current implied fair value of the goodwill is less than the carrying value, an impairment charge is recognized.</w:t>
      </w:r>
    </w:p>
    <w:p>
      <w:pPr>
        <w:spacing w:after="0" w:line="19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Inherent in such fair value determinations are significant judgments and estimates, including but not limited to assumptions about our future revenue, profitability and cash flows, our operational plans and our interpretation of current economic indicators and market valuations. To the extent these assumptions are incorrect or economic conditions that would impact the future operations of our reporting units change, any goodwill may be deemed to be impaired, and an impairment charge could have in a material impact on our financial position or results of operation. Almost all of our goodwill is contained in our Energy segment, with the remainder in our Engineering and Consulting segment. At our measurement date, the estimated fair value of our Energy segment exceeded its carrying value. Any reduction in the estimated fair value of our Energy segment could result in an impairment charge of goodwill associated with this segment in future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acquisition method of accounting for business combinations requires us to use significant estimates and assumptions, including fair value estimates, as of the business combination date. For reporting periods prior to the completion of our procedures to value assets and liabilities, the acquisition method requires us to refine those estimates as necessary during the measurement period (defined as the period, not to exceed one year, in which we may adjust the provisional amounts recognized for a business combination) based upon new information about facts that existed on the business combination date.</w:t>
      </w:r>
    </w:p>
    <w:p>
      <w:pPr>
        <w:spacing w:after="0" w:line="187"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we recognize separately from goodwill the identifiable assets acquired, the liabilities assumed, and any non-controlling interests in an acquiree, at the acquisition date fair value. We measure goodwill as of the acquisition date as the excess of consideration transferred over the net of the acquisition date amounts of the identifiable assets acquired and liabilities assumed. Costs that we incur to complete the business combination such as investment banking, legal and other professional fees are not considered part of consideration. We charge these acquisition costs to other general and administrative expense as they are incurred.</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Should the initial accounting for a business combination be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and we record those adjustments to our financial statements. We recognize adjustments to provisional amounts that are identified during the measurement period in the reporting period in which the adjustment amounts are determined, including the effect on earnings of changes in depreciation, amortization or other income effects, if any, as a result of the change to the provisional amounts, calculated as if the accounting had been completed at the acquisition date.</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fiscal year 2024, we acquired substantially all of the assets of Enica. As of December 27, 2024, we had not yet completed our final estimate of fair value of the assets acquired relating to the acquisitions of Enica due to the timing of the transactions and lack of complete information necessary to finalize such estimates of fair value. Accordingly, we have preliminarily estimated the fair values of the assets acquired and will finalize such fair value estimates within twelve months of the Enica Closing Date. During fiscal years 2023 and 2022, we did not have any material acquisitions.</w:t>
      </w:r>
    </w:p>
    <w:p>
      <w:pPr>
        <w:spacing w:after="0" w:line="181" w:lineRule="exact"/>
        <w:rPr>
          <w:sz w:val="20"/>
          <w:szCs w:val="20"/>
          <w:color w:val="auto"/>
        </w:rPr>
      </w:pPr>
    </w:p>
    <w:p>
      <w:pPr>
        <w:ind w:left="60" w:right="279" w:firstLine="648"/>
        <w:spacing w:after="0" w:line="284" w:lineRule="auto"/>
        <w:rPr>
          <w:sz w:val="20"/>
          <w:szCs w:val="20"/>
          <w:color w:val="auto"/>
        </w:rPr>
      </w:pPr>
      <w:r>
        <w:rPr>
          <w:rFonts w:ascii="Times New Roman" w:cs="Times New Roman" w:eastAsia="Times New Roman" w:hAnsi="Times New Roman"/>
          <w:sz w:val="18"/>
          <w:szCs w:val="18"/>
          <w:color w:val="auto"/>
        </w:rPr>
        <w:t>For further discussion of our acquisitions, see Part II, Item 8, Note 13</w:t>
      </w:r>
      <w:r>
        <w:rPr>
          <w:rFonts w:ascii="Times New Roman" w:cs="Times New Roman" w:eastAsia="Times New Roman" w:hAnsi="Times New Roman"/>
          <w:sz w:val="18"/>
          <w:szCs w:val="18"/>
          <w:color w:val="212529"/>
        </w:rPr>
        <w:t>, “</w:t>
      </w:r>
      <w:r>
        <w:rPr>
          <w:rFonts w:ascii="Times New Roman" w:cs="Times New Roman" w:eastAsia="Times New Roman" w:hAnsi="Times New Roman"/>
          <w:sz w:val="18"/>
          <w:szCs w:val="18"/>
          <w:i w:val="1"/>
          <w:iCs w:val="1"/>
          <w:color w:val="212529"/>
        </w:rPr>
        <w:t>Business Combinations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of the Notes to Consolidated Financial Statements included in this Annual Report on Form 10-K.</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of temporary differences between the financial reporting basis and tax basis of our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more-likely-than-not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our consideration of future taxable income which is driven by verifiable signed contracts and ongoing prudent and feasible tax planning strategies. Should a change in circumstances lead to a change in judgment about the utilization of deferred tax assets in future years, we would adjust the related valuation allowances in the period that the change in circumstances occurs, along with a corresponding increase or charge to income.</w:t>
      </w:r>
    </w:p>
    <w:p>
      <w:pPr>
        <w:spacing w:after="0" w:line="187"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For acquired business entities, if we identify changes to acquired deferred tax asset valuation allowances or liabilities related to uncertain tax positions during the measurement period and they relate to new information obtained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about facts and circumstances that existed as of the acquisition date, those changes are considered a measurement period adjustment and we record the offset to goodwill. We record all other changes to deferred tax asset valuation allowances and liabilities related to uncertain tax positions in current period income tax expense.</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uncertain tax positions if it is more-likely-than-not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unrecognized tax benefits in income tax expense.</w:t>
      </w:r>
    </w:p>
    <w:p>
      <w:pPr>
        <w:spacing w:after="0" w:line="178" w:lineRule="exact"/>
        <w:rPr>
          <w:sz w:val="20"/>
          <w:szCs w:val="20"/>
          <w:color w:val="auto"/>
        </w:rPr>
      </w:pPr>
    </w:p>
    <w:p>
      <w:pPr>
        <w:ind w:left="60" w:right="899" w:firstLine="648"/>
        <w:spacing w:after="0" w:line="284" w:lineRule="auto"/>
        <w:rPr>
          <w:sz w:val="20"/>
          <w:szCs w:val="20"/>
          <w:color w:val="auto"/>
        </w:rPr>
      </w:pPr>
      <w:r>
        <w:rPr>
          <w:rFonts w:ascii="Times New Roman" w:cs="Times New Roman" w:eastAsia="Times New Roman" w:hAnsi="Times New Roman"/>
          <w:sz w:val="18"/>
          <w:szCs w:val="18"/>
          <w:color w:val="auto"/>
        </w:rPr>
        <w:t>For further discussion of our income taxes, see Part II, Item 8,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43" w:lineRule="exact"/>
        <w:rPr>
          <w:sz w:val="20"/>
          <w:szCs w:val="20"/>
          <w:color w:val="auto"/>
        </w:rPr>
      </w:pPr>
    </w:p>
    <w:p>
      <w:pPr>
        <w:jc w:val="both"/>
        <w:ind w:left="60" w:right="599" w:firstLine="648"/>
        <w:spacing w:after="0" w:line="289" w:lineRule="auto"/>
        <w:rPr>
          <w:sz w:val="20"/>
          <w:szCs w:val="20"/>
          <w:color w:val="auto"/>
        </w:rPr>
      </w:pPr>
      <w:r>
        <w:rPr>
          <w:rFonts w:ascii="Times New Roman" w:cs="Times New Roman" w:eastAsia="Times New Roman" w:hAnsi="Times New Roman"/>
          <w:sz w:val="17"/>
          <w:szCs w:val="17"/>
          <w:color w:val="auto"/>
        </w:rPr>
        <w:t>For a description of recently issued and adopted accounting pronouncements, including adoption dates and expected effects on our results of operations and financial condition, see Part II, Item 8, Note 2, “</w:t>
      </w:r>
      <w:r>
        <w:rPr>
          <w:rFonts w:ascii="Times New Roman" w:cs="Times New Roman" w:eastAsia="Times New Roman" w:hAnsi="Times New Roman"/>
          <w:sz w:val="17"/>
          <w:szCs w:val="17"/>
          <w:i w:val="1"/>
          <w:iCs w:val="1"/>
          <w:color w:val="auto"/>
        </w:rPr>
        <w:t>Recent Accounting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Pronouncements</w:t>
      </w:r>
      <w:r>
        <w:rPr>
          <w:rFonts w:ascii="Times New Roman" w:cs="Times New Roman" w:eastAsia="Times New Roman" w:hAnsi="Times New Roman"/>
          <w:sz w:val="17"/>
          <w:szCs w:val="17"/>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2024, we had cash and cash equivalents of $74.2 million. This amount represents cash on hand in business checking accounts with BMO Bank, N.A. We do not engage in trading activities and do not participate in foreign currency transactions.</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in connection with our Term Loan and borrowings, if any, under our Revolving Credit Facility, each of which bears interest at variable rates. As of December 27, 2024, $90.0 million was outstanding under our Term Loan, and we had no borrowed amounts outstanding and $1.6 million in letters of credit were issued under our Revolving Credit Facility. Each of our Term Loan and Revolving Credit Facility mature on September 29, 2026 and are governed by our Credit Agreement.</w:t>
      </w:r>
    </w:p>
    <w:p>
      <w:pPr>
        <w:spacing w:after="0" w:line="181"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Pursuant to the Credit Agreement, (as described in Part II, Item 8, Note 5, “</w:t>
      </w:r>
      <w:r>
        <w:rPr>
          <w:rFonts w:ascii="Times New Roman" w:cs="Times New Roman" w:eastAsia="Times New Roman" w:hAnsi="Times New Roman"/>
          <w:sz w:val="17"/>
          <w:szCs w:val="17"/>
          <w:i w:val="1"/>
          <w:iCs w:val="1"/>
          <w:color w:val="auto"/>
        </w:rPr>
        <w:t>Debt Obligations</w:t>
      </w:r>
      <w:r>
        <w:rPr>
          <w:rFonts w:ascii="Times New Roman" w:cs="Times New Roman" w:eastAsia="Times New Roman" w:hAnsi="Times New Roman"/>
          <w:sz w:val="17"/>
          <w:szCs w:val="17"/>
          <w:color w:val="auto"/>
        </w:rPr>
        <w:t>,” of the Notes to Consolidated Financial Statements included in this Annual Report on Form 10-K), borrowings under the Credit Agreement bear interest at either a Base Rate (as defined in the Credit Agreement) or the adjusted Secured Overnight Financing Rate (“SOFR”), at the Company’s option, and in each case, plus an applicable margin, which applicable margin ranges</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from 0.75% to 2.00% with respect to Base Rate borrowings 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 from 1.3125% to 2.25% per annum, in each case, depending on the Company’s Total Net Leverage Ratio, as well as customary fronting fees payable to BMO as letter of credit issuer. Based upon the amount of our outstanding indebtedness as of December 27, 2024, a one percentage point increase in the effective interest rate, inclusive of our interest rate swap agreement, would change our annual interest expense by approximately $0.4 million in fiscal year 2024.</w:t>
      </w:r>
    </w:p>
    <w:p>
      <w:pPr>
        <w:spacing w:after="0" w:line="19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p>
    <w:p>
      <w:pPr>
        <w:spacing w:after="0" w:line="183"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On November 30, 2023, we entered into an interest rate swap agreement for $50.0 million notional amount. The interest swap agreement was designated as a cash flow hedge to fix the variable interest rate on a portion of the outstanding principal amount under our Term Loan. The interest rate swap fixed rate is 4.77% and expires on September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8020" w:type="dxa"/>
            <w:vAlign w:val="bottom"/>
            <w:gridSpan w:val="11"/>
            <w:vMerge w:val="restart"/>
          </w:tcPr>
          <w:p>
            <w:pPr>
              <w:spacing w:after="0" w:line="17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173)</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020" w:type="dxa"/>
            <w:vAlign w:val="bottom"/>
            <w:gridSpan w:val="11"/>
            <w:vMerge w:val="continue"/>
          </w:tcPr>
          <w:p>
            <w:pPr>
              <w:spacing w:after="0"/>
              <w:rPr>
                <w:sz w:val="13"/>
                <w:szCs w:val="13"/>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27, 2024 and December 29, 2023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each of the fiscal years in the three-year period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December 27, 2024</w:t>
            </w:r>
          </w:p>
        </w:tc>
        <w:tc>
          <w:tcPr>
            <w:tcW w:w="6280" w:type="dxa"/>
            <w:vAlign w:val="bottom"/>
            <w:tcBorders>
              <w:top w:val="single" w:sz="8" w:color="0000EE"/>
            </w:tcBorders>
            <w:gridSpan w:val="7"/>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9"/>
        </w:trPr>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each of the fiscal years in the three-year period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Borders>
              <w:top w:val="single" w:sz="8" w:color="0000EE"/>
            </w:tcBorders>
          </w:tcPr>
          <w:p>
            <w:pPr>
              <w:spacing w:after="0"/>
              <w:rPr>
                <w:sz w:val="18"/>
                <w:szCs w:val="18"/>
                <w:color w:val="auto"/>
              </w:rPr>
            </w:pPr>
          </w:p>
        </w:tc>
        <w:tc>
          <w:tcPr>
            <w:tcW w:w="70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ended December 27, 2024</w:t>
            </w:r>
          </w:p>
        </w:tc>
        <w:tc>
          <w:tcPr>
            <w:tcW w:w="800" w:type="dxa"/>
            <w:vAlign w:val="bottom"/>
            <w:gridSpan w:val="3"/>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each of the fiscal years in the three-year period ended December</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27, 2024</w:t>
            </w:r>
          </w:p>
        </w:tc>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09"/>
        </w:trPr>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Stockholders and the Board of Directors of Willdan Group,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Anaheim, California</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Willdan Group, Inc. (the "Company") as of December 27, 2024 and December 29, 2023, the related consolidated statements of comprehensive income (loss), stockholders’ equity, and cash flows for each of the years in the three-year period ended December 27, 2024, and the related notes (collectively referred to as the "financial statements"). We also have audited the Company’s internal control over financial reporting as of December 27, 2024,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27, 2024 and December 29, 2023, and the results of its operations and its cash flows for each of the years in the three-year period ended December 27, 2024 in conformity with accounting principles generally accepted in the United States of America. Also in our opinion, the Company maintained, in all material respects, effective internal control over financial reporting as of December 27, 2024, based on criteria established in Internal Control – Integrated Framework: (2013) issued by COSO.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As permitted, the Company has excluded the operations of Enica Engineering, PLLC. acquired during 2024, which is described in Note 13 of the consolidated financial statements, from the scope of management’s report on internal control over financial reporting. As such, it has also been excluded from the scope of our audit of internal control over financial reporting.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costs to complete on fixed price contracts</w:t>
      </w:r>
    </w:p>
    <w:p>
      <w:pPr>
        <w:spacing w:after="0" w:line="227"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revenues from fixed price contracts are recognized over time since control of the services is transferred continuously to the client. Generally, revenue is recognized using costs incurred to date relative to total estimated costs at completion to measure progress toward satisfying the Company’s performance obligations.</w:t>
      </w:r>
    </w:p>
    <w:p>
      <w:pPr>
        <w:spacing w:after="0" w:line="180"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We identified auditing management’s estimates of costs to complete on select fixed price contracts to be a critical audit matter. The critical audit matter relates to select long-term fixed price construction contracts, based on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required extensive audit procedures.</w:t>
      </w:r>
    </w:p>
    <w:p>
      <w:pPr>
        <w:spacing w:after="0" w:line="168"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evaluation of estimated costs at completion for fixed price contracts included the following:</w:t>
      </w:r>
    </w:p>
    <w:p>
      <w:pPr>
        <w:spacing w:after="0" w:line="162" w:lineRule="exact"/>
        <w:rPr>
          <w:sz w:val="20"/>
          <w:szCs w:val="20"/>
          <w:color w:val="auto"/>
        </w:rPr>
      </w:pPr>
    </w:p>
    <w:p>
      <w:pPr>
        <w:ind w:left="720" w:right="65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design, implementation, and operating effectiveness of controls that are designed to address the reasonableness of estimates of costs to complete fixed price contracts.</w:t>
      </w:r>
    </w:p>
    <w:p>
      <w:pPr>
        <w:ind w:left="720" w:right="21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management’s estimates related to the cost to complete for fixed price contracts through testing of the key components of the estimated costs to complete, including, labor, materials, and subcontractor costs.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a sample of contract costs incurred to supporting documentation.</w:t>
      </w:r>
    </w:p>
    <w:p>
      <w:pPr>
        <w:spacing w:after="0" w:line="9" w:lineRule="exact"/>
        <w:rPr>
          <w:rFonts w:ascii="Times New Roman" w:cs="Times New Roman" w:eastAsia="Times New Roman" w:hAnsi="Times New Roman"/>
          <w:sz w:val="18"/>
          <w:szCs w:val="18"/>
          <w:color w:val="auto"/>
        </w:rPr>
      </w:pPr>
    </w:p>
    <w:p>
      <w:pPr>
        <w:ind w:left="720" w:right="53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inquiries of management and project personnel regarding facts and circumstances relevant to the accounting for a sample of such contracts.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revenue recognition based on the percentage of completion.</w:t>
      </w:r>
    </w:p>
    <w:p>
      <w:pPr>
        <w:spacing w:after="0" w:line="9" w:lineRule="exact"/>
        <w:rPr>
          <w:rFonts w:ascii="Times New Roman" w:cs="Times New Roman" w:eastAsia="Times New Roman" w:hAnsi="Times New Roman"/>
          <w:sz w:val="18"/>
          <w:szCs w:val="18"/>
          <w:color w:val="auto"/>
        </w:rPr>
      </w:pPr>
    </w:p>
    <w:p>
      <w:pPr>
        <w:ind w:left="720" w:right="219" w:hanging="319"/>
        <w:spacing w:after="0" w:line="26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retrospective review procedures to assess management’s historical ability to accurately estimate the transaction price and cost to complete of fixed price contracts.</w:t>
      </w:r>
    </w:p>
    <w:p>
      <w:pPr>
        <w:spacing w:after="0" w:line="18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/s/Crowe LLP</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3"/>
                <w:szCs w:val="13"/>
                <w:color w:val="auto"/>
              </w:rPr>
            </w:pPr>
          </w:p>
        </w:tc>
        <w:tc>
          <w:tcPr>
            <w:tcW w:w="12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5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5980" w:type="dxa"/>
            <w:vAlign w:val="bottom"/>
            <w:shd w:val="clear" w:color="auto" w:fill="CCEEFF"/>
          </w:tcPr>
          <w:p>
            <w:pPr>
              <w:ind w:left="4240"/>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74,158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23,397</w:t>
            </w: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59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$1,313 and $866</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 December 27, 2024 and December 29, 2023, respectively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65,557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69,677</w:t>
            </w: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93,885</w:t>
            </w: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receivables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0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3,888</w:t>
            </w:r>
          </w:p>
        </w:tc>
      </w:tr>
      <w:tr>
        <w:trPr>
          <w:trHeight w:val="196"/>
        </w:trPr>
        <w:tc>
          <w:tcPr>
            <w:tcW w:w="5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192,016</w:t>
            </w: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leasehold improvements,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27,097</w:t>
            </w: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140,991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131,144</w:t>
            </w: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12,465</w:t>
            </w: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31,956</w:t>
            </w: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w:t>
            </w: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15,961</w:t>
            </w:r>
          </w:p>
        </w:tc>
      </w:tr>
      <w:tr>
        <w:trPr>
          <w:trHeight w:val="236"/>
        </w:trPr>
        <w:tc>
          <w:tcPr>
            <w:tcW w:w="5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464,863</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415,588</w:t>
            </w:r>
          </w:p>
        </w:tc>
      </w:tr>
      <w:tr>
        <w:trPr>
          <w:trHeight w:val="156"/>
        </w:trPr>
        <w:tc>
          <w:tcPr>
            <w:tcW w:w="5980" w:type="dxa"/>
            <w:vAlign w:val="bottom"/>
            <w:shd w:val="clear" w:color="auto" w:fill="CCEEFF"/>
          </w:tcPr>
          <w:p>
            <w:pPr>
              <w:ind w:left="3140"/>
              <w:spacing w:after="0" w:line="15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33,193</w:t>
            </w: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62,776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54,129</w:t>
            </w: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 payable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13,183</w:t>
            </w: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Notes payable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8,452</w:t>
            </w: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w:t>
            </w: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liability</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5,804</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4,537</w:t>
            </w:r>
          </w:p>
        </w:tc>
      </w:tr>
      <w:tr>
        <w:trPr>
          <w:trHeight w:val="196"/>
        </w:trPr>
        <w:tc>
          <w:tcPr>
            <w:tcW w:w="5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137,677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114,680</w:t>
            </w: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payable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payable, less current portion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88,979</w:t>
            </w: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 less current portion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 less current portion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9,758</w:t>
            </w: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196"/>
        </w:trPr>
        <w:tc>
          <w:tcPr>
            <w:tcW w:w="5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230,520</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215,743</w:t>
            </w:r>
          </w:p>
        </w:tc>
      </w:tr>
      <w:tr>
        <w:trPr>
          <w:trHeight w:val="196"/>
        </w:trPr>
        <w:tc>
          <w:tcPr>
            <w:tcW w:w="5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1"/>
        </w:trPr>
        <w:tc>
          <w:tcPr>
            <w:tcW w:w="59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stock, $0.01 par value, 10,000 shares authorized, no shares issued and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598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Common stock, $0.01 par value, 40,000 shares authorized; 14,169 and 13,682</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issued and outstanding at December 27, 2024 and December 29, 2023,</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04"/>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185,795</w:t>
            </w: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20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37,147</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14,577</w:t>
            </w:r>
          </w:p>
        </w:tc>
      </w:tr>
      <w:tr>
        <w:trPr>
          <w:trHeight w:val="196"/>
        </w:trPr>
        <w:tc>
          <w:tcPr>
            <w:tcW w:w="5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234,343</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199,845</w:t>
            </w:r>
          </w:p>
        </w:tc>
      </w:tr>
      <w:tr>
        <w:trPr>
          <w:trHeight w:val="196"/>
        </w:trPr>
        <w:tc>
          <w:tcPr>
            <w:tcW w:w="5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464,863</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415,588</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400"/>
        <w:spacing w:after="0" w:line="268" w:lineRule="auto"/>
        <w:rPr>
          <w:sz w:val="20"/>
          <w:szCs w:val="20"/>
          <w:color w:val="auto"/>
        </w:rPr>
      </w:pPr>
      <w:r>
        <w:rPr>
          <w:rFonts w:ascii="Times New Roman" w:cs="Times New Roman" w:eastAsia="Times New Roman" w:hAnsi="Times New Roman"/>
          <w:sz w:val="18"/>
          <w:szCs w:val="18"/>
          <w:b w:val="1"/>
          <w:bCs w:val="1"/>
          <w:color w:val="auto"/>
        </w:rPr>
        <w:t>WILLDAN GROUP, INC. AND SUBSIDIARIES CONSOLIDATED STATEMENTS OF COMPREHENSIVE INCOME (LOSS) (in thousands, except per share amounts)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565,798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Direct costs of contract revenue (inclusive of directly related depreciation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amortization):</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wages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Subcontractor services and other direct costs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direct costs of contract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wages, payroll taxes and employee benefits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and facility related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(9,413)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 contracts, net of tax</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CONSOLIDATED STATEMENTS OF STOCKHOLDERS’ EQUITY (in thousands)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$167,032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$ 179,221</w:t>
            </w:r>
          </w:p>
        </w:tc>
        <w:tc>
          <w:tcPr>
            <w:tcW w:w="0" w:type="dxa"/>
            <w:vAlign w:val="bottom"/>
          </w:tcPr>
          <w:p>
            <w:pPr>
              <w:spacing w:after="0"/>
              <w:rPr>
                <w:sz w:val="1"/>
                <w:szCs w:val="1"/>
                <w:color w:val="auto"/>
              </w:rPr>
            </w:pPr>
          </w:p>
        </w:tc>
      </w:tr>
      <w:tr>
        <w:trPr>
          <w:trHeight w:val="198"/>
        </w:trPr>
        <w:tc>
          <w:tcPr>
            <w:tcW w:w="3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incentive stock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30,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177,718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$ 181,502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incentive stock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29, 2023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185,795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$ 199,845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incentive stock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27, 2024</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197,368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$ 234,343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10,926</w:t>
            </w:r>
          </w:p>
        </w:tc>
        <w:tc>
          <w:tcPr>
            <w:tcW w:w="18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(8,448)</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non-cash items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loss on sale/disposal of equipment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6"/>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Accretion and fair value adjustments of contingent consideration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from business acquisitions: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(10,300)</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Contract assets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(10,825)</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(23,772)</w:t>
            </w:r>
          </w:p>
        </w:tc>
        <w:tc>
          <w:tcPr>
            <w:tcW w:w="0" w:type="dxa"/>
            <w:vAlign w:val="bottom"/>
          </w:tcPr>
          <w:p>
            <w:pPr>
              <w:spacing w:after="0"/>
              <w:rPr>
                <w:sz w:val="1"/>
                <w:szCs w:val="1"/>
                <w:color w:val="auto"/>
              </w:rPr>
            </w:pPr>
          </w:p>
        </w:tc>
      </w:tr>
      <w:tr>
        <w:trPr>
          <w:trHeight w:val="175"/>
        </w:trPr>
        <w:tc>
          <w:tcPr>
            <w:tcW w:w="5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receivables</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75"/>
        </w:trPr>
        <w:tc>
          <w:tcPr>
            <w:tcW w:w="5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(7,839)</w:t>
            </w:r>
          </w:p>
        </w:tc>
        <w:tc>
          <w:tcPr>
            <w:tcW w:w="0" w:type="dxa"/>
            <w:vAlign w:val="bottom"/>
          </w:tcPr>
          <w:p>
            <w:pPr>
              <w:spacing w:after="0"/>
              <w:rPr>
                <w:sz w:val="1"/>
                <w:szCs w:val="1"/>
                <w:color w:val="auto"/>
              </w:rPr>
            </w:pPr>
          </w:p>
        </w:tc>
      </w:tr>
      <w:tr>
        <w:trPr>
          <w:trHeight w:val="175"/>
        </w:trPr>
        <w:tc>
          <w:tcPr>
            <w:tcW w:w="5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175"/>
        </w:trPr>
        <w:tc>
          <w:tcPr>
            <w:tcW w:w="5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Right-of-use assets</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69"/>
        </w:trPr>
        <w:tc>
          <w:tcPr>
            <w:tcW w:w="56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72,073</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39,214</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equipment, software, and leasehold improvements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(8,413)</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(9,925)</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(9,602)</w:t>
            </w: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(7,364)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(1,600)</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5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(15,743)</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(11,457)</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contingent consideration</w:t>
            </w: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(4,000)</w:t>
            </w: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(10,206)</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Receipt of restricted cash</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on restricted cash</w:t>
            </w: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(10,679)</w:t>
            </w:r>
          </w:p>
        </w:tc>
        <w:tc>
          <w:tcPr>
            <w:tcW w:w="1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(1,631)</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debt issuance costs</w:t>
            </w: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(1,114)</w:t>
            </w: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notes payable</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under term loan facility and line of credit</w:t>
            </w: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under term loan facility and line of credit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(8,125)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(112,875)</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(13,000)</w:t>
            </w:r>
          </w:p>
        </w:tc>
        <w:tc>
          <w:tcPr>
            <w:tcW w:w="0" w:type="dxa"/>
            <w:vAlign w:val="bottom"/>
          </w:tcPr>
          <w:p>
            <w:pPr>
              <w:spacing w:after="0"/>
              <w:rPr>
                <w:sz w:val="1"/>
                <w:szCs w:val="1"/>
                <w:color w:val="auto"/>
              </w:rPr>
            </w:pPr>
          </w:p>
        </w:tc>
      </w:tr>
      <w:tr>
        <w:trPr>
          <w:trHeight w:val="17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(1,304)</w:t>
            </w: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stock option exercise</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common stock under employee stock purchase plan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used to pay taxes on stock grants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69"/>
        </w:trPr>
        <w:tc>
          <w:tcPr>
            <w:tcW w:w="5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(23,845)</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74,158</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23,397</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w:t>
            </w:r>
          </w:p>
        </w:tc>
        <w:tc>
          <w:tcPr>
            <w:tcW w:w="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(received) during the period for:</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7,520</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10,193</w:t>
            </w:r>
          </w:p>
        </w:tc>
        <w:tc>
          <w:tcPr>
            <w:tcW w:w="18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(3,072)</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(1,120)</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investing and financing activities: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consideration related to business acquisitions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Equipment acquired under finance leases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 OF THE COMPANY</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Company has prepared its Consolidated Financial Statements in accordance with accounting principles generally accepted in the United States (“U.S. GAAP”).</w:t>
      </w:r>
    </w:p>
    <w:p>
      <w:pPr>
        <w:spacing w:after="0" w:line="16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consolidated statement of stockholders' equity includes repurchases of shares of the Company’s common stock from employees to satisfy tax withholding obligations incurred in connection with the vesting of restricted stock or performance stock units, which amount is presented as a reduction of additional paid-in capital and common stock.</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Fiscal Years</w:t>
      </w:r>
    </w:p>
    <w:p>
      <w:pPr>
        <w:spacing w:after="0" w:line="22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2024, fiscal year 2023, and fiscal year 2022, which ended on December 27, 2024, December 29, 2023, and December 30, 2022, respectively, were all comprised of 52 weeks, with all quarters presented consisting of 13 weeks.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Willdan Group, Inc. and its wholly-owned subsidiaries and their respective subsidiaries. All significant intercompany balances and transactions have been eliminated in consolidation.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00"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in the consolidated financial statements to conform to the current year presentation.</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in the U.S.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All highly liquid investments purchased with a remaining maturity of three months or less are considered to be cash equivalents. The Company from time to time may be exposed to credit risk with its bank deposits in excess of the FDIC insurance limits and with uninsured money market investments. The Company has not experienced any losses in such accounts and believes it is not exposed to any significant credit risk on cash and cash equivalents.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Company, from time to time, has restricted cash that represents amounts not readily available for current operations due to contractual restrictions which designate these restricted cash balances for specific purposes.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These tiers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 Level 1 (the highest priority), defined as observable inputs, such as quoted prices in active markets, Level 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defined as inputs other than quoted prices in active markets that are either directly or indirectly observable; and Level 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lowest priority), defined as unobservable inputs in which little or no market data exists, therefore requiring an entity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 its own assumptions.</w:t>
      </w:r>
    </w:p>
    <w:p>
      <w:pPr>
        <w:spacing w:after="0" w:line="20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accounts receivable, contract assets, other receivables, prepaid expenses and other current assets, accounts payable, accrued liabilities and contract liabilities. The carrying amounts of certain other assets and contingent consideration are discounted to their present value because the time between the origination of these instruments and their expected realization or payment is greater than one year.</w:t>
      </w:r>
    </w:p>
    <w:p>
      <w:pPr>
        <w:spacing w:after="0" w:line="18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As of December 27, 2024 and December 29, 2023, the carrying amounts of the Company's cash and cash equivalents, accounts receivable, contract assets, other receivables, prepaid expenses and other current assets, accounts payable, accrued liabilities and contract liabilities, approximate their fair values because of the relatively short period of time between the origination of these instruments and their expected realization or payment. The carrying amounts of debt obligations approximate their fair values since the terms are comparable to terms currently offered by local lending institutions for loans of similar terms to companies with comparable credit risk.</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carrying amounts of the derivative financial instrument is valued based on Level 2 inputs.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liability is valued on Level 3 inputs.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variable interest entities in accordance with Accounting Standards Codification (“ASC”) 810, Consolidation. Under ASC 810, a variable interest entity (“VIE”) is created when any of the following criteria are present: (a) the equity investment at risk in the entity is not sufficient to permit the entity to finance its activities without additional subordinated financial support provided by other parties, including the equity holders; (b) the entity’s equity holders as a group either (i) lack the direct or indirect ability to make decisions about the entity, (ii) are not obligated to absorb expected losses of the entity or (iii) do not have the right to receive expected residual returns of the entity; or (c) the entity’s equity holders have voting rights that are not proportionate to their economic interests, and the activities of the entity involve or are conducted on behalf of the equity holder with disproportionately few voting rights. If an entity is deemed to be a VIE pursuant to ASC 810, the enterprise that has both (i) the power to direct the activities of a VIE that most significantly impact the entity’s economic performance and (ii) the obligation to absorb the expected losses of the entity or right to receive benefits from the entity that could be potentially significant to the VIE is considered the primary beneficiary and must consolidate the VIE. In accordance with ASC 810, the Company performs ongoing reassessments of whether an enterprise is the primary beneficiary of a VIE.</w:t>
      </w:r>
    </w:p>
    <w:p>
      <w:pPr>
        <w:spacing w:after="0" w:line="187"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As of December 27, 2024, the Company had one VIE — Genesys Engineering, P.C. (“Genesys”). Pursuant to New York law, the Company does not own capital stock of Genesys and does not have control over the professional decision making of Genesys’s engineering services. The Company, however, has entered into an administrative services agreement with Genesys pursuant to which WES, the Company’s wholly-owned subsidiary, will provide Genesys with ongoing administrative, operational and other non-professional support services. The Company manages Genesys and has the power to direct the activities that most significantly impact Genesys’s performance, in addition to being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obligated to absorb expected losses from Genesys. Accordingly, the Company is the primary beneficiary of Genesys and consolidates Genesys as a VIE.</w:t>
      </w:r>
    </w:p>
    <w:p>
      <w:pPr>
        <w:spacing w:after="0" w:line="162"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Management also concluded there is no noncontrolling interest related to the consolidation of Genesys because management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For more information regarding Genesys, see Note 8 “Commitments and Variable Interest Entities.”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presents segment information externally consistent with the manner in which the Company’s chief operating decision maker reviews information to assess performance and allocate resources. The Company’s two segments are (i) Energy, and (ii) Engineering and Consulting.</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Willdan Group, Inc. (“WGI”) is a holding company and performs administrative functions on behalf of its subsidiaries, such as treasury, legal, accounting, information systems, human resources and certain business development activities, and earns revenue that is only incidental to the activities of the enterprise. As a result, WGI does not meet the definition of an operating segment.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1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Billing practices are governed by the contract terms of each project based upon costs incurred, achievement of milestones or pre-agreed schedules. Billings do not necessarily correlate with revenue recognized using the percentage-of-completion method of revenue recognition. Contract assets include unbilled amounts typically resulting from revenue under contracts where the percentage-of-completion method of revenue recognition is utilized and revenue recognized exceeds the amount billed to the customer. In addition, contract assets include retainage amounts withheld from billings to the Company’s clients pursuant to provisions in our contracts. Contract liabilities consist of advance payments and billings in excess of revenue recognized and deferred revenue.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Accounting</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8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two reportable segments and the types of contracts that each most commonly enters into for revenue generating activities.</w:t>
      </w:r>
    </w:p>
    <w:p>
      <w:pPr>
        <w:spacing w:after="0" w:line="173"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Recognition Method</w:t>
            </w:r>
          </w:p>
        </w:tc>
      </w:tr>
      <w:tr>
        <w:trPr>
          <w:trHeight w:val="210"/>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09"/>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Software license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10"/>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Engineering and Consulting</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09"/>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Many of the Company’s fixed price contracts involve a high degree of subcontracted fixed price effort and, usually,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spacing w:after="0" w:line="20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spacing w:after="0" w:line="188"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spacing w:after="0" w:line="183"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spacing w:after="0" w:line="18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spacing w:after="0" w:line="19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spacing w:after="0" w:line="192"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December 27, 2024 and December 29, 2023, contract assets included retainage of $22.0 million and $14.3 million, respectively.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499" w:firstLine="648"/>
        <w:spacing w:after="0" w:line="277" w:lineRule="auto"/>
        <w:rPr>
          <w:sz w:val="20"/>
          <w:szCs w:val="20"/>
          <w:color w:val="auto"/>
        </w:rPr>
      </w:pPr>
      <w:r>
        <w:rPr>
          <w:rFonts w:ascii="Times New Roman" w:cs="Times New Roman" w:eastAsia="Times New Roman" w:hAnsi="Times New Roman"/>
          <w:sz w:val="17"/>
          <w:szCs w:val="17"/>
          <w:color w:val="auto"/>
        </w:rPr>
        <w:t>General and administrative expenses include the costs of the marketing and support staff, other marketing expenses, management and administrative personnel costs, payroll taxes, bonuses and employee benefits for all of the Company’s employees and the portion of salaries and wages not allocated to direct costs of contract revenue for those employees who provide the Company’s services. General and administrative expenses also include facility costs, depreciation and amortization, professional services, legal and accounting fees and administrative operating costs.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Within general and administrative expenses, “Other” includes expenses such as provision for billed or unbilled receivables, professional services, legal and accounting, computer costs, travel and entertainment, marketing costs and acquisition costs. The Company expenses general and administrative costs when incurred.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No. 2016-02, Leases (Topic 842) (“ASU 2016-02”). ASU 2016-02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Under this guidance, the net present value of future lease payments is recorded as right-of-use assets and lease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also elected the practical expedient to not separate lease and non-lease components for its facilities leases. Previously, all of the Company’s office leases were classified as operating leases and rent expense was included in facilities expense in the consolidated statements of comprehensive income.</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in the statements of comprehensive income. The interest associated with financing lease obligations is included in interest expense in the statements of comprehensive income. For more information,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Equipment and Leasehold Improvements</w:t>
      </w:r>
    </w:p>
    <w:p>
      <w:pPr>
        <w:spacing w:after="0" w:line="227"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Equipment and leasehold improvements are stated at cost less accumulated depreciation and amortization. Equipment under finance leases is stated at the present value of the minimum lease payments as of the acquisition date. Depreciation and amortization on equipment are calculated using the straight-line method over estimated useful lives of two to five years. Leasehold improvements and assets under capital leases are amortized using the straight-line method over the shorter of estimated useful lives or the term of the related lease.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estimated useful lives used to calculate depreciation and amortization: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Automobiles and trucks</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 years</w:t>
            </w:r>
          </w:p>
        </w:tc>
      </w:tr>
      <w:tr>
        <w:trPr>
          <w:trHeight w:val="82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8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costs over fair value of the assets acquired. The Company completes its annual testing of goodwill as of the last day of the first month of its fourth fiscal quarter each year to determine whether there is impairment. Goodwill, which has an indefinite useful life, is not amortized, but instead tested for impairment at least annually or more frequently if events and circumstances indicate that the asset might be impaired. Impairment losses for reporting units are recognized to the extent that a reporting unit’s carrying amount exceeds its fair value.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Long-lived assets, such as equipment, leasehold improvements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Accounting for Claims against the Company</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accrues an undiscounted liability related to claims against it for which the incurrence of a loss is probable and the amount can be reasonably estimated. The Company discloses the amount accrued and an estimate of any reasonably possible loss in excess of the amount accrued, if such disclosure is necessary for its financial statements not to be misleading. The Company does not accrue liabilities related to claims when the likelihood that a loss has been incurred is probable but the amount cannot be reasonably estimated, or when the liability is believed to be only reasonably possible or remote. Losses related to recorded claims are included in general and administrative expenses.</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Determining probability and estimating claim amounts is highly judgmental. Initial accruals and any subsequent changes in the Company’s estimates could have a material effect on its consolidated financial statements.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all stock-based compensation under the fair value recognition provisions of the accounting standard entitled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 expense over the requisite vesting period. The fair values of all stock options granted and the fair values of all Employee Stock Purchase Plan (“ESPP”) purchase rights are estimated using the Black-Scholes option-valuation model. The Black-Scholes option-valuation model requires the input of highly subjective assumptions. Performance-based restricted stock unit awards (“PBRSUs”) are granted to certain employees and vest only after the achievement of pre-determined performance metrics. Once the performance metrics are met, vesting of PBRSUs is subject to continued service by the employee. At the end of each reporting period, the Company evaluates the probability that PBRSUs will be earned. The Company records stock-based compensation expense based on the probability that the performance metrics will be achieved over the vesting period. Restricted stock awards (“RSAs”) and restricted stock units (“RSUs”) are time-based equity awards that are granted to certain employees and vest based on time, subject to continued service by the employee.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acquisition method of accounting for business combinations requires the Company to use significant estimates and assumptions, including fair value estimates, as of the business combination date and to refine those estimates as necessary during the measurement period (defined as the period, not to exceed one year, in which the Company may adjust the provisional amounts recognized for a business combination based upon new information about facts that existed on the business combination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Company recognizes separately from goodwill the identifiable assets acquired, the liabilities assumed, and any non-controlling interests in an acquiree, at the acquisition date fair value. The Company measures goodwill as of the acquisition date as the excess of consideration transferred over the net of the acquisition date amounts of the identifiable assets acquired and liabilities assumed.</w:t>
      </w:r>
    </w:p>
    <w:p>
      <w:pPr>
        <w:spacing w:after="0" w:line="180"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Generally, the Company engages a third-party independent valuation specialist to assist in management’s determination of fair values of tangible and intangible assets acquired and liabilities assumed.</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circumstances where an acquisition involves a contingent consideration arrangement, the Company recognizes a liability equal to the fair value of the contingent payments it expects to make as of the acquisition date. The contingent consideration fair value measurement is based on significant inputs not observable in the market and therefore constitute Level 3 inputs within the fair value hierarchy. The Company determines the initial fair value of contingent consideration liabilities using a Monte Carlo (“Monte Carlo”) valuation model, which involves a simulation of future revenues during the earn out-period using management’s best estimates, or a probability-weighted discounted cash flow analysis. Changes in the estimated fair value of contingent earn-out payments are included in general and administrative expenses.</w:t>
      </w:r>
    </w:p>
    <w:p>
      <w:pPr>
        <w:spacing w:after="0" w:line="192"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In circumstances where an acquisition involves acquiring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spacing w:after="0" w:line="187"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Costs that the Company incurs to complete the business combination such as investment banking, legal and other professional fees are not considered part of consideration. The Company charges these acquisition costs to general and administrative expense as they are incurred.</w:t>
      </w:r>
    </w:p>
    <w:p>
      <w:pPr>
        <w:spacing w:after="0" w:line="176"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On October 23, 2024, the Company acquired substantially all of the assets of Enica Engineering, PLLC. (“Enica”). During fiscal years 2023 and 2022, the Company did not have any material acquisitions. For further information, see Note 13,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more-likely-than-not that some of the deferred tax assets may not be realized. Significant judgment is applied when assessing the need for valuation allowances. Areas of estimation include the Company’s consideration of future taxable income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spacing w:after="0" w:line="19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each fiscal year, management assesses the available positive and negative evidence to estimate if sufficient future taxable income will be generated to utilize existing deferred tax assets. At the end of fiscal year 2023, the Company had a total valuation allowance of $1.2 million. During 2024, the Company released $0.1 million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valuation allowance due to expected future utilization of deferred tax assets. As of December 27, 2024, the Company had a total valuation allowance of $1.1 million related to its deferred tax assets.</w:t>
      </w:r>
    </w:p>
    <w:p>
      <w:pPr>
        <w:spacing w:after="0" w:line="162" w:lineRule="exact"/>
        <w:rPr>
          <w:sz w:val="20"/>
          <w:szCs w:val="20"/>
          <w:color w:val="auto"/>
        </w:rPr>
      </w:pPr>
    </w:p>
    <w:p>
      <w:pPr>
        <w:ind w:left="60" w:right="239" w:firstLine="693"/>
        <w:spacing w:after="0" w:line="256" w:lineRule="auto"/>
        <w:rPr>
          <w:sz w:val="20"/>
          <w:szCs w:val="20"/>
          <w:color w:val="auto"/>
        </w:rPr>
      </w:pPr>
      <w:r>
        <w:rPr>
          <w:rFonts w:ascii="Times New Roman" w:cs="Times New Roman" w:eastAsia="Times New Roman" w:hAnsi="Times New Roman"/>
          <w:sz w:val="18"/>
          <w:szCs w:val="18"/>
          <w:color w:val="auto"/>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spacing w:after="0" w:line="5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For further information,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included in this Annual Report on Form 10-K.</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left="60" w:right="259" w:firstLine="648"/>
        <w:spacing w:after="0" w:line="257" w:lineRule="auto"/>
        <w:rPr>
          <w:sz w:val="20"/>
          <w:szCs w:val="20"/>
          <w:color w:val="auto"/>
        </w:rPr>
      </w:pPr>
      <w:r>
        <w:rPr>
          <w:rFonts w:ascii="Times New Roman" w:cs="Times New Roman" w:eastAsia="Times New Roman" w:hAnsi="Times New Roman"/>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w:t>
      </w:r>
    </w:p>
    <w:p>
      <w:pPr>
        <w:spacing w:after="0" w:line="1"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employee stock options, RSAs, RSUs, and PBRSUs, and rights to purchase shares of common stock under the Company’s ESPP.</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Comprehensive Income (loss), Net of Tax</w:t>
      </w:r>
    </w:p>
    <w:p>
      <w:pPr>
        <w:spacing w:after="0" w:line="22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Other comprehensive income (loss), net of tax refers to revenue, expenses, gains and losses that are recorded as an element of shareholders’ equity but are excluded from net income (loss). The Company’s other comprehensive income (loss), net of tax is comprised of unrealized gains or losses on its interest rate swap agreement designated as cash flow hedges.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uses certain interest rate derivatives contracts to hedge interest rate exposures on its variable rate debt. The Company recognizes derivative instruments as either assets or liabilities on its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(loss) income as a loss or gain on cash flow hedge valuation.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Cycle</w:t>
      </w:r>
    </w:p>
    <w:p>
      <w:pPr>
        <w:spacing w:after="0" w:line="22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industry practice, amounts realizable and payable under contracts that extend beyond one year are included in current assets (included in contract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380" w:right="4899" w:hanging="330"/>
        <w:spacing w:after="0" w:line="499" w:lineRule="auto"/>
        <w:tabs>
          <w:tab w:leader="none" w:pos="236"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color w:val="auto"/>
        </w:rPr>
        <w:t>Accounting Pronouncements Recently Adopted</w:t>
      </w:r>
    </w:p>
    <w:p>
      <w:pPr>
        <w:spacing w:after="0" w:line="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ASU 2023-07 expands segment disclosure requirements through enhanced disclosures related to significant segment expenses that are regularly provided to the chief operating decision maker (“CODM”), a description of other segment items by reportable segment, and any additional measures of a segment's profit or loss used by the CODM when deciding how to allocate resources. All disclosure requirements under ASU 2023-07 are also required for public entities with a single reportable segment. The amendments are effective for the fiscal years beginning after December 15, 2023, and interim periods within fiscal years beginning after December 15, 2024. The Company adopted this standard effective for its fiscal year 2024, which began on December 30, 2023. For more information and related disclosures, see Note 9</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Issued</w:t>
      </w:r>
    </w:p>
    <w:p>
      <w:pPr>
        <w:spacing w:after="0" w:line="173" w:lineRule="exact"/>
        <w:rPr>
          <w:sz w:val="20"/>
          <w:szCs w:val="20"/>
          <w:color w:val="auto"/>
        </w:rPr>
      </w:pPr>
    </w:p>
    <w:p>
      <w:pPr>
        <w:ind w:left="60" w:right="79" w:firstLine="648"/>
        <w:spacing w:after="0" w:line="232"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 permitted. The Company is currently evaluating the impact this update will have on its consolidated financial statements.</w:t>
      </w:r>
    </w:p>
    <w:p>
      <w:pPr>
        <w:spacing w:after="0" w:line="150" w:lineRule="exact"/>
        <w:rPr>
          <w:sz w:val="20"/>
          <w:szCs w:val="20"/>
          <w:color w:val="auto"/>
        </w:rPr>
      </w:pPr>
    </w:p>
    <w:p>
      <w:pPr>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 permitted. The Company is currently evaluating the impact this update will have on its consolidated financial statements.</w:t>
      </w:r>
    </w:p>
    <w:p>
      <w:pPr>
        <w:spacing w:after="0" w:line="174"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Securities and Exchange Commission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in any of the Company’s current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380" w:right="4579" w:hanging="330"/>
        <w:spacing w:after="0" w:line="417" w:lineRule="auto"/>
        <w:tabs>
          <w:tab w:leader="none" w:pos="2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FINANCIAL STATEMENT DATA </w:t>
      </w:r>
      <w:r>
        <w:rPr>
          <w:rFonts w:ascii="Times New Roman" w:cs="Times New Roman" w:eastAsia="Times New Roman" w:hAnsi="Times New Roman"/>
          <w:sz w:val="18"/>
          <w:szCs w:val="18"/>
          <w:i w:val="1"/>
          <w:iCs w:val="1"/>
          <w:color w:val="auto"/>
        </w:rPr>
        <w:t>Restricted Cash</w:t>
      </w: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for fiscal years 2024, 2023 and 2022, to the total cash, cash equivalents, and restricted cash shown in the consolidated statements of cash flows for fiscal years 2024, 2023, and 2022:</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3"/>
                <w:szCs w:val="13"/>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Pr>
          <w:p>
            <w:pPr>
              <w:spacing w:after="0"/>
              <w:rPr>
                <w:sz w:val="13"/>
                <w:szCs w:val="13"/>
                <w:color w:val="auto"/>
              </w:rPr>
            </w:pPr>
          </w:p>
        </w:tc>
        <w:tc>
          <w:tcPr>
            <w:tcW w:w="13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178"/>
        </w:trPr>
        <w:tc>
          <w:tcPr>
            <w:tcW w:w="4000" w:type="dxa"/>
            <w:vAlign w:val="bottom"/>
            <w:tcBorders>
              <w:top w:val="single" w:sz="8" w:color="CCEEFF"/>
            </w:tcBorders>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shown in the consolidated statement of cash flows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5"/>
          </w:tcPr>
          <w:p>
            <w:pPr>
              <w:ind w:left="50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66,870</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70,543</w:t>
            </w:r>
          </w:p>
        </w:tc>
        <w:tc>
          <w:tcPr>
            <w:tcW w:w="20" w:type="dxa"/>
            <w:vAlign w:val="bottom"/>
          </w:tcPr>
          <w:p>
            <w:pPr>
              <w:spacing w:after="0"/>
              <w:rPr>
                <w:sz w:val="19"/>
                <w:szCs w:val="19"/>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9"/>
                <w:szCs w:val="19"/>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86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movements in the allowance for doubtful accounts consisted of the following:</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16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(Recovery of) provision for doubtful accounts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accounts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Allowances for doubtful accounts have been determined through specific identification of amounts considered to be uncollectible and potential write-offs, plus a non-specific allowance for other amounts for which some potential loss has been determined to be probable based on current and past experience.</w:t>
      </w:r>
    </w:p>
    <w:p>
      <w:pPr>
        <w:spacing w:after="0" w:line="176"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As of December 27, 2024, the Company had no individual customers that accounted for more than 10% of the Company’s billed outstanding receivables. As of December 29, 2023, two of the Company’s customers, Consolidated Edison of New York and Los Angeles Department of Water and Power (“LADWP”), accounted for 24.6% of the Company’s billed outstanding receivables.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60" w:type="dxa"/>
            <w:vAlign w:val="bottom"/>
          </w:tcPr>
          <w:p>
            <w:pPr>
              <w:spacing w:after="0"/>
              <w:rPr>
                <w:sz w:val="13"/>
                <w:szCs w:val="13"/>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5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spacing w:after="0"/>
              <w:rPr>
                <w:sz w:val="12"/>
                <w:szCs w:val="12"/>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short-term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66,518</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79,585</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retentions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w:t>
            </w:r>
          </w:p>
        </w:tc>
      </w:tr>
      <w:tr>
        <w:trPr>
          <w:trHeight w:val="223"/>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88,528</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93,885</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Unbilled long-term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r>
      <w:tr>
        <w:trPr>
          <w:trHeight w:val="210"/>
        </w:trPr>
        <w:tc>
          <w:tcPr>
            <w:tcW w:w="5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contract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88,528</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96,734</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ind w:left="720" w:hanging="319"/>
        <w:spacing w:after="0" w:line="217" w:lineRule="auto"/>
        <w:tabs>
          <w:tab w:leader="none" w:pos="72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Included in Other assets in the consolidated financial statements.</w:t>
      </w:r>
    </w:p>
    <w:p>
      <w:pPr>
        <w:spacing w:after="0" w:line="27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 revenue recognized, but not yet billed, pursuant to contract terms or accounts billed after the period end. Contract retentions represent amounts invoiced to clients where payments have been withheld pending the completion of certain milestones, other contractual conditions or upon the completion of the project. These retention agreements vary from project to project and could be outstanding for several months.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Equipment and Leasehold Improvements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Equipment and leasehold improvements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60" w:type="dxa"/>
            <w:vAlign w:val="bottom"/>
          </w:tcPr>
          <w:p>
            <w:pPr>
              <w:spacing w:after="0"/>
              <w:rPr>
                <w:sz w:val="16"/>
                <w:szCs w:val="16"/>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212"/>
        </w:trPr>
        <w:tc>
          <w:tcPr>
            <w:tcW w:w="5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44,594</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 trucks, and field equipment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4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61,867</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(41,428)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(34,770)</w:t>
            </w:r>
          </w:p>
        </w:tc>
      </w:tr>
      <w:tr>
        <w:trPr>
          <w:trHeight w:val="210"/>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4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27,097</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of equipment and leasehold improvements totaled $7.5 million, $6.3 million, and $6.3 million in fiscal years 2024, 2023, and 2022, respectively.</w:t>
      </w:r>
    </w:p>
    <w:p>
      <w:pPr>
        <w:spacing w:after="0" w:line="162"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Included in accumulated depreciation and amortization is $1.5 million, $1.3 million, and $1.1 million of amortization expense related to equipment held under finance leases in fiscal years 2024, 2023, and 2022, respectively.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60" w:type="dxa"/>
            <w:vAlign w:val="bottom"/>
          </w:tcPr>
          <w:p>
            <w:pPr>
              <w:spacing w:after="0"/>
              <w:rPr>
                <w:sz w:val="13"/>
                <w:szCs w:val="13"/>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5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spacing w:after="0"/>
              <w:rPr>
                <w:sz w:val="12"/>
                <w:szCs w:val="12"/>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subcontractor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withholdings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payroll taxes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 and other</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accounting costs and taxes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w:t>
            </w:r>
          </w:p>
        </w:tc>
        <w:tc>
          <w:tcPr>
            <w:tcW w:w="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54,129</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Company uses certain interest rate derivative contracts to hedge interest rate exposures on its variable rate debt. The Company’s hedging program is not designated for trading or speculative purposes.</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on the accompanying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November 30, 2023, the Company entered into an interest rate swap agreement that the Company designated as cash flow hedge to fix the variable interest rate on a portion of the Company’s Term Loan (as defined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The interest rate swap agreement has a total notional amount of $50.0 million, has a fixed annual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4.77%, and expires on September 29, 2026. As of December 27, 2024, the effective portion of the Company’s interest rate swap agreement designated as a cash flow hedge before tax effects was $(0.2) million, of which no amounts were reclassified from accumulated other comprehensive income (loss) to interest expense in fiscal 2024. The Company expects to reclassify $0.2 million from accumulated other comprehensive income (loss) to interest expense within the next twelve months.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values of the Company’s outstanding derivatives designated as hedging instruments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Fair Value of Derivative</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3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Instruments as of</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2024</w:t>
            </w:r>
          </w:p>
        </w:tc>
        <w:tc>
          <w:tcPr>
            <w:tcW w:w="1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left="59"/>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impact of the effective portions of derivative instruments in cash flow hedging relationships and fair value relationships on other comprehensive income (loss) was $0.4 million for the year ended December 27, 2024.</w:t>
      </w:r>
    </w:p>
    <w:p>
      <w:pPr>
        <w:spacing w:after="0" w:line="162"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The accumulated balances and reporting period activities for the year ended December 27, 2024 related to reclassifications out of accumulated other comprehensive income (loss) are summarized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Gain (Loss) on</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4"/>
          </w:tcPr>
          <w:p>
            <w:pPr>
              <w:jc w:val="right"/>
              <w:ind w:right="117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derivative instruments</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29,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derivative instruments</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27,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DEBT OBLIGATIONS</w:t>
      </w:r>
    </w:p>
    <w:p>
      <w:pPr>
        <w:spacing w:after="0" w:line="227"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color w:val="auto"/>
        </w:rPr>
        <w:t>Debt obligations, excluding obligations under finance leases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below), consisted of the following:</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5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tcPr>
          <w:p>
            <w:pPr>
              <w:jc w:val="right"/>
              <w:ind w:right="65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 on Term Loan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98,125</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 agreements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98,452</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09"/>
        </w:trPr>
        <w:tc>
          <w:tcPr>
            <w:tcW w:w="5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Subtotal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09"/>
        </w:trPr>
        <w:tc>
          <w:tcPr>
            <w:tcW w:w="5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Long-term debt portion</w:t>
            </w:r>
          </w:p>
        </w:tc>
        <w:tc>
          <w:tcPr>
            <w:tcW w:w="1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88,979</w:t>
            </w:r>
          </w:p>
        </w:tc>
      </w:tr>
      <w:tr>
        <w:trPr>
          <w:trHeight w:val="20"/>
        </w:trPr>
        <w:tc>
          <w:tcPr>
            <w:tcW w:w="5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On September 29, 2023 (the “Closing Date”), the Company and certain of its subsidiaries entered into a credit agreement (the “Credit Agreement”) with a syndicate of financial institutions as lenders and BMO Bank, N.A. (“BMO”), as administrative agent.</w:t>
      </w:r>
    </w:p>
    <w:p>
      <w:pPr>
        <w:spacing w:after="0" w:line="17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The Credit Agreement provides for (i) a $100.0 million term loan (the “Term Loan”) and (ii) a $50.0 million revolving credit facility (the “Revolving Credit Facility”, and collectively with the Term Loan, the “Credit Facilities”), each maturing on September 29, 2026. The Company may also request lenders to add incremental term loans or increase the aggregate commitment under the Revolving Credit Facility by an aggregate amount of up to $75.0 million, subject to meeting certain conditions, and only if the lenders agree to provide such additional term loans or revolving commitments.</w:t>
      </w:r>
    </w:p>
    <w:p>
      <w:pPr>
        <w:spacing w:after="0" w:line="168" w:lineRule="exact"/>
        <w:rPr>
          <w:sz w:val="20"/>
          <w:szCs w:val="20"/>
          <w:color w:val="auto"/>
        </w:rPr>
      </w:pPr>
    </w:p>
    <w:p>
      <w:pPr>
        <w:jc w:val="both"/>
        <w:ind w:left="60" w:right="219" w:firstLine="648"/>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Facilities bear interest at either a Base Rate (as defined in the Credit Agreement) or the adjusted Secured Overnight Financing Rate (“SOFR”), at the Company’s option, and in each case, plus an applicable margin, which applicable margin ranges from 0.75% to 2.00% with respect to Base Rate borrowings</w:t>
      </w:r>
    </w:p>
    <w:p>
      <w:pPr>
        <w:spacing w:after="0" w:line="1" w:lineRule="exact"/>
        <w:rPr>
          <w:sz w:val="20"/>
          <w:szCs w:val="20"/>
          <w:color w:val="auto"/>
        </w:rPr>
      </w:pPr>
    </w:p>
    <w:p>
      <w:pPr>
        <w:ind w:left="60" w:right="99"/>
        <w:spacing w:after="0" w:line="265" w:lineRule="auto"/>
        <w:rPr>
          <w:sz w:val="20"/>
          <w:szCs w:val="20"/>
          <w:color w:val="auto"/>
        </w:rPr>
      </w:pPr>
      <w:r>
        <w:rPr>
          <w:rFonts w:ascii="Times New Roman" w:cs="Times New Roman" w:eastAsia="Times New Roman" w:hAnsi="Times New Roman"/>
          <w:sz w:val="17"/>
          <w:szCs w:val="17"/>
          <w:color w:val="auto"/>
        </w:rPr>
        <w:t>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w:t>
      </w:r>
    </w:p>
    <w:p>
      <w:pPr>
        <w:spacing w:after="0" w:line="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from 1.3125% to 2.25% per annum, in each case, depending on the Company’s Total Net Leverage Ratio, as well as customary fronting fees payable to BMO as letter of credit issuer. In connection with the closing of the Credit Facilities, the Company paid certain other fees and expenses.</w:t>
      </w:r>
    </w:p>
    <w:p>
      <w:pPr>
        <w:spacing w:after="0" w:line="18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Term Loan issuance costs are amortized to interest expense over the term of the loan, and as of December 27, 2024, issuance costs of $0.7 million remained unamortized. The Revolving Credit Facility issuance costs are included in assets in the accompanying Consolidated Balance Sheets, and as of December 27, 2024, issuance costs of $0.3 million remained unamortized.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Willdan Group, Inc. is the borrower under the Credit Agreement and its obligations under the Credit Agreement are guaranteed by its present and future domestic subsidiaries (other than inactive subsidiaries). In addition, subject to certain exceptions, all such obligations are secured by substantially all of the assets of Willdan Group, Inc. and the subsidiary guarantors (other than inactive subsidiaries).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requires compliance with financial covenants, including a maximum Net Leverage Ratio and a minimum Fixed Charge Coverage Ratio (as defined in the Credit Agreement). The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Credit Agreement limits the Company’s payment of future dividends and distributions and share repurchases by the Company. Subject to certain exceptions, the borrowings under the Credit Agreement are also subject to mandatory prepayment from (a) any issuances of debt or equity securities, (b) any sale or disposition of assets,</w:t>
      </w:r>
    </w:p>
    <w:p>
      <w:pPr>
        <w:spacing w:after="0" w:line="3" w:lineRule="exact"/>
        <w:rPr>
          <w:sz w:val="20"/>
          <w:szCs w:val="20"/>
          <w:color w:val="auto"/>
        </w:rPr>
      </w:pPr>
    </w:p>
    <w:p>
      <w:pPr>
        <w:ind w:left="60" w:right="639" w:hanging="10"/>
        <w:spacing w:after="0" w:line="260"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condemnation proceeds, and (d) a percentage of excess cash flow. The Credit Agreement includes customary events of default.</w:t>
      </w:r>
    </w:p>
    <w:p>
      <w:pPr>
        <w:spacing w:after="0" w:line="181"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The Company believes that, as of December 27, 2024, it was in compliance with all covenants contained in the Credit Agreement. As of December 27, 2024 the Company’s composite annual interest rate, exclusive of the effects of upfront fees, undrawn fees and issuance cost amortization, was 6.4% and $1.6 million in letters of credit were issued.</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Debt Agreements</w:t>
      </w:r>
    </w:p>
    <w:p>
      <w:pPr>
        <w:spacing w:after="0" w:line="227" w:lineRule="exact"/>
        <w:rPr>
          <w:sz w:val="20"/>
          <w:szCs w:val="20"/>
          <w:color w:val="auto"/>
        </w:rPr>
      </w:pPr>
    </w:p>
    <w:p>
      <w:pPr>
        <w:jc w:val="both"/>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The Company’s other debt agreements generally are comprised of financed insurance premiums, a financed software agreement, and a utility customer agreement, and are immaterial to the Company’s Consolidated Financial Statements.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Future Debt Payments</w:t>
      </w:r>
    </w:p>
    <w:p>
      <w:pPr>
        <w:spacing w:after="0" w:line="227" w:lineRule="exact"/>
        <w:rPr>
          <w:sz w:val="20"/>
          <w:szCs w:val="20"/>
          <w:color w:val="auto"/>
        </w:rPr>
      </w:pPr>
    </w:p>
    <w:p>
      <w:pPr>
        <w:ind w:left="60" w:right="75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combined principal installments for the Company’s debt obligations, excluding capital leases, over the next five years and beyond, as of December 27, 2024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0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26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maturities</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90,137</w:t>
            </w: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26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9"/>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carrying value</w:t>
            </w:r>
          </w:p>
        </w:tc>
        <w:tc>
          <w:tcPr>
            <w:tcW w:w="26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89,487</w:t>
            </w:r>
          </w:p>
        </w:tc>
      </w:tr>
      <w:tr>
        <w:trPr>
          <w:trHeight w:val="20"/>
        </w:trPr>
        <w:tc>
          <w:tcPr>
            <w:tcW w:w="5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primarily relates to the Energy segment and the acquisitions within this segment of E3, Inc., Lime Energy, NAM, Integral Analytics and Abacus Resource Management Company (“Abacus”) and substantially all of the assets of Enica, Onsite Energy, The Weidt Group, Genesys and 360 Energy Engineers, LLC (“360 Energy”). The remaining goodwill relates to the Engineering and Consulting reporting segment and the acquisition within this segment of Economists LLC.</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carrying value of goodwill by reporting unit were as follows: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Additions /</w:t>
            </w: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3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Cost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3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4"/>
          </w:tcPr>
          <w:p>
            <w:pPr>
              <w:ind w:left="5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139,222</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10"/>
        </w:trPr>
        <w:tc>
          <w:tcPr>
            <w:tcW w:w="3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140,991</w:t>
            </w:r>
          </w:p>
        </w:tc>
      </w:tr>
      <w:tr>
        <w:trPr>
          <w:trHeight w:val="20"/>
        </w:trPr>
        <w:tc>
          <w:tcPr>
            <w:tcW w:w="3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48"/>
        </w:trPr>
        <w:tc>
          <w:tcPr>
            <w:tcW w:w="3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Additions /</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48"/>
        </w:trPr>
        <w:tc>
          <w:tcPr>
            <w:tcW w:w="33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Cost</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3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4"/>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129,375</w:t>
            </w:r>
          </w:p>
        </w:tc>
      </w:tr>
      <w:tr>
        <w:trPr>
          <w:trHeight w:val="21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09"/>
        </w:trPr>
        <w:tc>
          <w:tcPr>
            <w:tcW w:w="3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131,144</w:t>
            </w:r>
          </w:p>
        </w:tc>
      </w:tr>
      <w:tr>
        <w:trPr>
          <w:trHeight w:val="20"/>
        </w:trPr>
        <w:tc>
          <w:tcPr>
            <w:tcW w:w="3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tests its goodwill at least annually for possible impairment. The Company completes its annual testing of goodwill as of the last day of the first month of its fourth fiscal quarter each year to determine whether there is impairment. In addition to the Company’s annual test, it regularly evaluates whether events and circumstances have occurred that may indicate a potential impairment of goodwill.</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impairment was recorded in any year during the three-year period ended December 27, 2024.</w:t>
      </w:r>
    </w:p>
    <w:p>
      <w:pPr>
        <w:spacing w:after="0" w:line="21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gross amounts and accumulated amortization of the Company’s acquired identifiable intangible assets with finite useful lives, included in other intangible assets, net in the accompanying consolidated balance sheets, were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260" w:type="dxa"/>
            <w:vAlign w:val="bottom"/>
          </w:tcPr>
          <w:p>
            <w:pPr>
              <w:spacing w:after="0"/>
              <w:rPr>
                <w:sz w:val="15"/>
                <w:szCs w:val="15"/>
                <w:color w:val="auto"/>
              </w:rPr>
            </w:pPr>
          </w:p>
        </w:tc>
        <w:tc>
          <w:tcPr>
            <w:tcW w:w="174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340" w:type="dxa"/>
            <w:vAlign w:val="bottom"/>
            <w:gridSpan w:val="3"/>
            <w:vMerge w:val="restart"/>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3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jc w:val="center"/>
              <w:ind w:left="57"/>
              <w:spacing w:after="0" w:line="142"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6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6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4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520" w:type="dxa"/>
            <w:vAlign w:val="bottom"/>
          </w:tcPr>
          <w:p>
            <w:pPr>
              <w:spacing w:after="0"/>
              <w:rPr>
                <w:sz w:val="18"/>
                <w:szCs w:val="18"/>
                <w:color w:val="auto"/>
              </w:rPr>
            </w:pP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1.0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Tradename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8.0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31,107</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67,858</w:t>
            </w: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the time of acquisition, the Company estimates the fair value of the acquired identifiable intangible assets based upon the facts and circumstances related to the particular intangible asset. Inherent in such estimates are judgments and estimates of future revenue, profitability, cash flows and appropriate discount rates for any present value calculations. The Company preliminarily estimates the value of the acquired identifiable intangible assets and then finalizes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estimated fair values during the purchase allocation period, which does not extend beyond 12 months from the date of acquisition.</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Company’s amortization expense for acquired identifiable intangible assets with finite useful lives was $7.2 million, $10.1 million, and $11.2 million for the fiscal years 2024, 2023 and 2022, respectively.</w:t>
      </w:r>
    </w:p>
    <w:p>
      <w:pPr>
        <w:spacing w:after="0" w:line="16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Estimated amortization expense for acquired identifiable intangible assets for fiscal year 2024 and the succeeding years is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Intangible Asset</w:t>
            </w:r>
          </w:p>
        </w:tc>
      </w:tr>
      <w:tr>
        <w:trPr>
          <w:trHeight w:val="199"/>
        </w:trPr>
        <w:tc>
          <w:tcPr>
            <w:tcW w:w="6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96"/>
        </w:trPr>
        <w:tc>
          <w:tcPr>
            <w:tcW w:w="6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09"/>
        </w:trPr>
        <w:tc>
          <w:tcPr>
            <w:tcW w:w="66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29,414</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facilities under long-term, non-cancellable operating leases that expire at various dates through the year 2029. In addition, the Company is obligated under finance leases for certain furniture and office equipment that expire at various dates through the year 2029.</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December 29, 2018, the Company adopted ASU No. 2016-02, Leases (Topic 842) using the modified retrospective method. Under this guidance, the net present value of future lease payments is recorded as right-of-use assets and lease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 existing short-term leases of those assets in transition. The Company also elected the practical expedient to not separate lease and non-lease components for our facilities leases.</w:t>
      </w:r>
    </w:p>
    <w:p>
      <w:pPr>
        <w:spacing w:after="0" w:line="18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one to eight years, some of which may include options to extend the leases for up to five years, and some of which may include options to terminate the leases within one year. Currently, all of the Company’s leases contain fixed payment terms. The Company may decide to cancel or terminate a lease before the end of its term, in which case it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December 27, 2024, the Company had no 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may include options to extend or terminate the lease when it is reasonably certain that the Company will exercise that option. Lease expense for minimum lease payments is recognized on a straight-line basis over the lease term.</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Company’s lease expense: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96"/>
        </w:trPr>
        <w:tc>
          <w:tcPr>
            <w:tcW w:w="43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assets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w:t>
            </w: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lease information presented on the Company’s consolidated balance sheet: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9"/>
        </w:trPr>
        <w:tc>
          <w:tcPr>
            <w:tcW w:w="5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r>
      <w:tr>
        <w:trPr>
          <w:trHeight w:val="196"/>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(in thousands, except years and percentages)</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6"/>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180" w:type="dxa"/>
            <w:vAlign w:val="bottom"/>
            <w:tcBorders>
              <w:bottom w:val="single" w:sz="8" w:color="CCEEFF"/>
            </w:tcBorders>
          </w:tcPr>
          <w:p>
            <w:pPr>
              <w:spacing w:after="0"/>
              <w:rPr>
                <w:sz w:val="22"/>
                <w:szCs w:val="22"/>
                <w:color w:val="auto"/>
              </w:rPr>
            </w:pPr>
          </w:p>
        </w:tc>
      </w:tr>
      <w:tr>
        <w:trPr>
          <w:trHeight w:val="197"/>
        </w:trPr>
        <w:tc>
          <w:tcPr>
            <w:tcW w:w="5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80" w:type="dxa"/>
            <w:vAlign w:val="bottom"/>
            <w:shd w:val="clear" w:color="auto" w:fill="CCEEFF"/>
          </w:tcPr>
          <w:p>
            <w:pPr>
              <w:spacing w:after="0"/>
              <w:rPr>
                <w:sz w:val="18"/>
                <w:szCs w:val="18"/>
                <w:color w:val="auto"/>
              </w:rPr>
            </w:pPr>
          </w:p>
        </w:tc>
      </w:tr>
      <w:tr>
        <w:trPr>
          <w:trHeight w:val="250"/>
        </w:trPr>
        <w:tc>
          <w:tcPr>
            <w:tcW w:w="5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80" w:type="dxa"/>
            <w:vAlign w:val="bottom"/>
            <w:tcBorders>
              <w:bottom w:val="single" w:sz="8" w:color="CCEEFF"/>
            </w:tcBorders>
          </w:tcPr>
          <w:p>
            <w:pPr>
              <w:spacing w:after="0"/>
              <w:rPr>
                <w:sz w:val="21"/>
                <w:szCs w:val="21"/>
                <w:color w:val="auto"/>
              </w:rPr>
            </w:pPr>
          </w:p>
        </w:tc>
      </w:tr>
      <w:tr>
        <w:trPr>
          <w:trHeight w:val="196"/>
        </w:trPr>
        <w:tc>
          <w:tcPr>
            <w:tcW w:w="5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(included in equipment and leasehold improvements, net):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(4,662)</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(3,837)</w:t>
            </w:r>
          </w:p>
        </w:tc>
      </w:tr>
      <w:tr>
        <w:trPr>
          <w:trHeight w:val="210"/>
        </w:trPr>
        <w:tc>
          <w:tcPr>
            <w:tcW w:w="57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equipment and leasehold improvements,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Borders>
              <w:bottom w:val="single" w:sz="8" w:color="CCEEFF"/>
            </w:tcBorders>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finance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6.97 %</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6.09 %</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6.87 %</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5.19 %</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Rent expense for fiscal years 2024, 2023 and 2022 was $6.9 million, $6.8 million, and $6.5 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 from operating leases</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0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w w:val="99"/>
              </w:rPr>
              <w:t>The following is a summary of the Company’s maturities of lease liabilities as of December 27, 2024: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jc w:val="right"/>
              <w:ind w:right="611"/>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2030 and thereafter</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obligations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COMMITMENTS AND VARIABLE INTEREST ENTITIES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a qualified profit sharing plan pursuant to Code Section 401(a) and qualified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spacing w:after="0" w:line="166"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defined Plan, the Company may make discretionary contributions to employee accounts.</w:t>
      </w:r>
    </w:p>
    <w:p>
      <w:pPr>
        <w:spacing w:after="0" w:line="13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 made matching contributions of $2.4 million, $2.2 million, and $2.3 million during fiscal years 2024, 2023 and 2022, respectively.</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March 4, 2016, the Company and the Company’s wholly-owned subsidiary, </w:t>
      </w:r>
      <w:r>
        <w:rPr>
          <w:rFonts w:ascii="Times New Roman" w:cs="Times New Roman" w:eastAsia="Times New Roman" w:hAnsi="Times New Roman"/>
          <w:sz w:val="18"/>
          <w:szCs w:val="18"/>
          <w:color w:val="212529"/>
        </w:rPr>
        <w:t>Willdan Energy Solutions,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(“WES”)</w:t>
      </w:r>
      <w:r>
        <w:rPr>
          <w:rFonts w:ascii="Times New Roman" w:cs="Times New Roman" w:eastAsia="Times New Roman" w:hAnsi="Times New Roman"/>
          <w:sz w:val="18"/>
          <w:szCs w:val="18"/>
          <w:color w:val="000000"/>
        </w:rPr>
        <w:t>, acquired substantially all of the assets of Genesys</w:t>
      </w:r>
      <w:r>
        <w:rPr>
          <w:rFonts w:ascii="Times New Roman" w:cs="Times New Roman" w:eastAsia="Times New Roman" w:hAnsi="Times New Roman"/>
          <w:sz w:val="18"/>
          <w:szCs w:val="18"/>
          <w:color w:val="212529"/>
        </w:rPr>
        <w:t xml:space="preserve"> Engineering, P.C. (“Genesys”) </w:t>
      </w:r>
      <w:r>
        <w:rPr>
          <w:rFonts w:ascii="Times New Roman" w:cs="Times New Roman" w:eastAsia="Times New Roman" w:hAnsi="Times New Roman"/>
          <w:sz w:val="18"/>
          <w:szCs w:val="18"/>
          <w:color w:val="000000"/>
        </w:rPr>
        <w:t>and assumed certain specified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spacing w:after="0" w:line="176"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 xml:space="preserve">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w:t>
      </w:r>
      <w:r>
        <w:rPr>
          <w:rFonts w:ascii="Times New Roman" w:cs="Times New Roman" w:eastAsia="Times New Roman" w:hAnsi="Times New Roman"/>
          <w:sz w:val="17"/>
          <w:szCs w:val="17"/>
          <w:color w:val="212529"/>
        </w:rPr>
        <w:t>variable interest entity</w:t>
      </w:r>
      <w:r>
        <w:rPr>
          <w:rFonts w:ascii="Times New Roman" w:cs="Times New Roman" w:eastAsia="Times New Roman" w:hAnsi="Times New Roman"/>
          <w:sz w:val="17"/>
          <w:szCs w:val="17"/>
          <w:color w:val="auto"/>
        </w:rPr>
        <w:t xml:space="preserve">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December 27, 2024, the Company had one VIE — Genesys.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380" w:right="4539" w:hanging="330"/>
        <w:spacing w:after="0" w:line="503" w:lineRule="auto"/>
        <w:tabs>
          <w:tab w:leader="none" w:pos="23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GEOGRAPHICAL INFORMATION </w:t>
      </w:r>
      <w:r>
        <w:rPr>
          <w:rFonts w:ascii="Times New Roman" w:cs="Times New Roman" w:eastAsia="Times New Roman" w:hAnsi="Times New Roman"/>
          <w:sz w:val="18"/>
          <w:szCs w:val="18"/>
          <w:i w:val="1"/>
          <w:iCs w:val="1"/>
          <w:color w:val="auto"/>
        </w:rPr>
        <w:t>Segment Information</w:t>
      </w: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Company’s two segments are Energy and Engineering and Consulting, and the Company’s chief operating decision maker, which continues to be its chief executive officer, receives and reviews financial information in this format.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described in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in November 2023, the FASB issued ASU 2023-</w:t>
      </w:r>
    </w:p>
    <w:p>
      <w:pPr>
        <w:spacing w:after="0" w:line="29" w:lineRule="exact"/>
        <w:rPr>
          <w:sz w:val="20"/>
          <w:szCs w:val="20"/>
          <w:color w:val="auto"/>
        </w:rPr>
      </w:pPr>
    </w:p>
    <w:p>
      <w:pPr>
        <w:ind w:left="60" w:right="99" w:hanging="10"/>
        <w:spacing w:after="0" w:line="253" w:lineRule="auto"/>
        <w:tabs>
          <w:tab w:leader="none" w:pos="3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retroactively adopted ASU 2023-07, which requires, for fiscal years beginning after December 15, 2023, the disclosure of significant segment expenses that are regularly provided to the CODM, along with a description of other segment items by reportable segment, and any additional measures of a segment's profit or loss used by the CODM when deciding how to allocate resources. The Company’s CODM evaluates the performance of each segment based upon the information provided below.</w:t>
      </w:r>
    </w:p>
    <w:p>
      <w:pPr>
        <w:spacing w:after="0" w:line="187"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There were no intersegment sales during the fiscal years 2024, 2023, or 2022. In addition, enterprise-wide service line contract revenue is not included as it is impracticable to report this information for each group of similar services.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&amp; Consulting</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473,309</w:t>
            </w:r>
          </w:p>
        </w:tc>
        <w:tc>
          <w:tcPr>
            <w:tcW w:w="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92,489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266,092</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3,381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269,473</w:t>
            </w: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55,041</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38,502</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93,543</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152,176</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50,606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202,782</w:t>
            </w:r>
          </w:p>
        </w:tc>
        <w:tc>
          <w:tcPr>
            <w:tcW w:w="0" w:type="dxa"/>
            <w:vAlign w:val="bottom"/>
          </w:tcPr>
          <w:p>
            <w:pPr>
              <w:spacing w:after="0"/>
              <w:rPr>
                <w:sz w:val="1"/>
                <w:szCs w:val="1"/>
                <w:color w:val="auto"/>
              </w:rPr>
            </w:pP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113,998</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36,263</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6,423</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156,684</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38,554</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14,344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(3,673)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49,225</w:t>
            </w:r>
          </w:p>
        </w:tc>
        <w:tc>
          <w:tcPr>
            <w:tcW w:w="0" w:type="dxa"/>
            <w:vAlign w:val="bottom"/>
          </w:tcPr>
          <w:p>
            <w:pPr>
              <w:spacing w:after="0"/>
              <w:rPr>
                <w:sz w:val="1"/>
                <w:szCs w:val="1"/>
                <w:color w:val="auto"/>
              </w:rPr>
            </w:pP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7,801</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7,801</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13,260</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14,745</w:t>
            </w: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25,294</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12,859</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(11,474)</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26,679</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w:t>
            </w: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21,398</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10,879</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(9,707)</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22,570</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Segment assets </w:t>
            </w:r>
            <w:r>
              <w:rPr>
                <w:rFonts w:ascii="Times New Roman" w:cs="Times New Roman" w:eastAsia="Times New Roman" w:hAnsi="Times New Roman"/>
                <w:sz w:val="17"/>
                <w:szCs w:val="17"/>
                <w:color w:val="auto"/>
                <w:vertAlign w:val="superscript"/>
              </w:rPr>
              <w:t>(2)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348,883</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29,202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109,908</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(23,130)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464,863</w:t>
            </w: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&amp; Consulting</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426,976</w:t>
            </w:r>
          </w:p>
        </w:tc>
        <w:tc>
          <w:tcPr>
            <w:tcW w:w="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83,119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236,603</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3,810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240,413</w:t>
            </w: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54,377</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35,538</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89,915</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135,996</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43,771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179,767</w:t>
            </w:r>
          </w:p>
        </w:tc>
        <w:tc>
          <w:tcPr>
            <w:tcW w:w="0" w:type="dxa"/>
            <w:vAlign w:val="bottom"/>
          </w:tcPr>
          <w:p>
            <w:pPr>
              <w:spacing w:after="0"/>
              <w:rPr>
                <w:sz w:val="1"/>
                <w:szCs w:val="1"/>
                <w:color w:val="auto"/>
              </w:rPr>
            </w:pP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104,644</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32,259</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4,359</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141,262</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32,103</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(3,193)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40,435</w:t>
            </w:r>
          </w:p>
        </w:tc>
        <w:tc>
          <w:tcPr>
            <w:tcW w:w="0" w:type="dxa"/>
            <w:vAlign w:val="bottom"/>
          </w:tcPr>
          <w:p>
            <w:pPr>
              <w:spacing w:after="0"/>
              <w:rPr>
                <w:sz w:val="1"/>
                <w:szCs w:val="1"/>
                <w:color w:val="auto"/>
              </w:rPr>
            </w:pP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9,407</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9,413</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15,176</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16,431</w:t>
            </w: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16,921</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10,270</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(12,600)</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14,591</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4,250</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2,580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(3,165)</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3,665</w:t>
            </w:r>
          </w:p>
        </w:tc>
        <w:tc>
          <w:tcPr>
            <w:tcW w:w="0" w:type="dxa"/>
            <w:vAlign w:val="bottom"/>
          </w:tcPr>
          <w:p>
            <w:pPr>
              <w:spacing w:after="0"/>
              <w:rPr>
                <w:sz w:val="1"/>
                <w:szCs w:val="1"/>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12,671</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7,690</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(9,435)</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10,926</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Segment assets </w:t>
            </w:r>
            <w:r>
              <w:rPr>
                <w:rFonts w:ascii="Times New Roman" w:cs="Times New Roman" w:eastAsia="Times New Roman" w:hAnsi="Times New Roman"/>
                <w:sz w:val="17"/>
                <w:szCs w:val="17"/>
                <w:color w:val="auto"/>
                <w:vertAlign w:val="superscript"/>
              </w:rPr>
              <w:t>(2)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345,745</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25,842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67,131</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(23,130)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415,588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&amp; Consulting</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357,460</w:t>
            </w:r>
          </w:p>
        </w:tc>
        <w:tc>
          <w:tcPr>
            <w:tcW w:w="3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71,678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199,465</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202,587</w:t>
            </w:r>
          </w:p>
        </w:tc>
        <w:tc>
          <w:tcPr>
            <w:tcW w:w="0" w:type="dxa"/>
            <w:vAlign w:val="bottom"/>
          </w:tcPr>
          <w:p>
            <w:pPr>
              <w:spacing w:after="0"/>
              <w:rPr>
                <w:sz w:val="1"/>
                <w:szCs w:val="1"/>
                <w:color w:val="auto"/>
              </w:rPr>
            </w:pPr>
          </w:p>
        </w:tc>
      </w:tr>
      <w:tr>
        <w:trPr>
          <w:trHeight w:val="148"/>
        </w:trPr>
        <w:tc>
          <w:tcPr>
            <w:tcW w:w="40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52,179</w:t>
            </w:r>
          </w:p>
        </w:tc>
        <w:tc>
          <w:tcPr>
            <w:tcW w:w="3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30,793</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82,972</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105,816</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37,763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143,579</w:t>
            </w:r>
          </w:p>
        </w:tc>
        <w:tc>
          <w:tcPr>
            <w:tcW w:w="0" w:type="dxa"/>
            <w:vAlign w:val="bottom"/>
          </w:tcPr>
          <w:p>
            <w:pPr>
              <w:spacing w:after="0"/>
              <w:rPr>
                <w:sz w:val="1"/>
                <w:szCs w:val="1"/>
                <w:color w:val="auto"/>
              </w:rPr>
            </w:pPr>
          </w:p>
        </w:tc>
      </w:tr>
      <w:tr>
        <w:trPr>
          <w:trHeight w:val="148"/>
        </w:trPr>
        <w:tc>
          <w:tcPr>
            <w:tcW w:w="40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99,559</w:t>
            </w:r>
          </w:p>
        </w:tc>
        <w:tc>
          <w:tcPr>
            <w:tcW w:w="3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26,015</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7,579</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133,153</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6,973</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11,877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(7,485)</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11,365</w:t>
            </w:r>
          </w:p>
        </w:tc>
        <w:tc>
          <w:tcPr>
            <w:tcW w:w="0" w:type="dxa"/>
            <w:vAlign w:val="bottom"/>
          </w:tcPr>
          <w:p>
            <w:pPr>
              <w:spacing w:after="0"/>
              <w:rPr>
                <w:sz w:val="1"/>
                <w:szCs w:val="1"/>
                <w:color w:val="auto"/>
              </w:rPr>
            </w:pPr>
          </w:p>
        </w:tc>
      </w:tr>
      <w:tr>
        <w:trPr>
          <w:trHeight w:val="148"/>
        </w:trPr>
        <w:tc>
          <w:tcPr>
            <w:tcW w:w="40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5,317</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5,328</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16,507</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17,489</w:t>
            </w:r>
          </w:p>
        </w:tc>
        <w:tc>
          <w:tcPr>
            <w:tcW w:w="0" w:type="dxa"/>
            <w:vAlign w:val="bottom"/>
          </w:tcPr>
          <w:p>
            <w:pPr>
              <w:spacing w:after="0"/>
              <w:rPr>
                <w:sz w:val="1"/>
                <w:szCs w:val="1"/>
                <w:color w:val="auto"/>
              </w:rPr>
            </w:pPr>
          </w:p>
        </w:tc>
      </w:tr>
      <w:tr>
        <w:trPr>
          <w:trHeight w:val="148"/>
        </w:trPr>
        <w:tc>
          <w:tcPr>
            <w:tcW w:w="40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(9,544)</w:t>
            </w:r>
          </w:p>
        </w:tc>
        <w:tc>
          <w:tcPr>
            <w:tcW w:w="3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10,896</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(12,804)</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(11,452)</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(2,504)</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2,858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(3,358)</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149"/>
        </w:trPr>
        <w:tc>
          <w:tcPr>
            <w:tcW w:w="40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(7,041)</w:t>
            </w:r>
          </w:p>
        </w:tc>
        <w:tc>
          <w:tcPr>
            <w:tcW w:w="3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8,037</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(9,444)</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(8,448)</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Segment assets </w:t>
            </w:r>
            <w:r>
              <w:rPr>
                <w:rFonts w:ascii="Times New Roman" w:cs="Times New Roman" w:eastAsia="Times New Roman" w:hAnsi="Times New Roman"/>
                <w:sz w:val="17"/>
                <w:szCs w:val="17"/>
                <w:color w:val="auto"/>
                <w:vertAlign w:val="superscript"/>
              </w:rPr>
              <w:t>(2)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342,067</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22,034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68,703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(23,130)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409,674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“EBITDA”, defined as earnings before interest, taxes, depreciation and amortization, is a non-GAAP financial measure.</w:t>
      </w:r>
    </w:p>
    <w:p>
      <w:pPr>
        <w:spacing w:after="0" w:line="10" w:lineRule="exact"/>
        <w:rPr>
          <w:rFonts w:ascii="Times New Roman" w:cs="Times New Roman" w:eastAsia="Times New Roman" w:hAnsi="Times New Roman"/>
          <w:sz w:val="24"/>
          <w:szCs w:val="24"/>
          <w:color w:val="auto"/>
          <w:vertAlign w:val="superscript"/>
        </w:rPr>
      </w:pPr>
    </w:p>
    <w:p>
      <w:pPr>
        <w:ind w:left="380" w:hanging="330"/>
        <w:spacing w:after="0" w:line="182" w:lineRule="auto"/>
        <w:tabs>
          <w:tab w:leader="none" w:pos="3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Segment assets are presented net of intercompany receivables.</w:t>
      </w:r>
    </w:p>
    <w:p>
      <w:pPr>
        <w:spacing w:after="0" w:line="231"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disaggregated revenue by contract type, client type and geographical region:</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320" w:type="dxa"/>
            <w:vAlign w:val="bottom"/>
          </w:tcPr>
          <w:p>
            <w:pPr>
              <w:spacing w:after="0"/>
              <w:rPr>
                <w:sz w:val="10"/>
                <w:szCs w:val="10"/>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34,381</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67,931</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102,312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205,117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224,793</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580"/>
              <w:spacing w:after="0" w:line="149" w:lineRule="exact"/>
              <w:rPr>
                <w:sz w:val="20"/>
                <w:szCs w:val="20"/>
                <w:color w:val="auto"/>
              </w:rPr>
            </w:pPr>
            <w:r>
              <w:rPr>
                <w:rFonts w:ascii="Times New Roman" w:cs="Times New Roman" w:eastAsia="Times New Roman" w:hAnsi="Times New Roman"/>
                <w:sz w:val="14"/>
                <w:szCs w:val="14"/>
                <w:color w:val="auto"/>
              </w:rPr>
              <w:t>233,811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4,882</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238,693</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473,309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92,489</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34,072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7,548</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182,079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84,695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266,774</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257,158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257,404</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473,309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92,489</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473,309</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92,489</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320" w:type="dxa"/>
            <w:vAlign w:val="bottom"/>
          </w:tcPr>
          <w:p>
            <w:pPr>
              <w:spacing w:after="0"/>
              <w:rPr>
                <w:sz w:val="10"/>
                <w:szCs w:val="10"/>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35,582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63,530</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99,112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199,040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214,793</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580"/>
              <w:spacing w:after="0" w:line="149" w:lineRule="exact"/>
              <w:rPr>
                <w:sz w:val="20"/>
                <w:szCs w:val="20"/>
                <w:color w:val="auto"/>
              </w:rPr>
            </w:pPr>
            <w:r>
              <w:rPr>
                <w:rFonts w:ascii="Times New Roman" w:cs="Times New Roman" w:eastAsia="Times New Roman" w:hAnsi="Times New Roman"/>
                <w:sz w:val="14"/>
                <w:szCs w:val="14"/>
                <w:color w:val="auto"/>
              </w:rPr>
              <w:t>192,354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3,836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196,190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426,976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83,119</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31,162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5,866</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37,028</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159,935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76,972</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236,907</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580"/>
              <w:spacing w:after="0" w:line="149" w:lineRule="exact"/>
              <w:rPr>
                <w:sz w:val="20"/>
                <w:szCs w:val="20"/>
                <w:color w:val="auto"/>
              </w:rPr>
            </w:pPr>
            <w:r>
              <w:rPr>
                <w:rFonts w:ascii="Times New Roman" w:cs="Times New Roman" w:eastAsia="Times New Roman" w:hAnsi="Times New Roman"/>
                <w:sz w:val="14"/>
                <w:szCs w:val="14"/>
                <w:color w:val="auto"/>
              </w:rPr>
              <w:t>235,879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236,160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426,976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83,119</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580"/>
              <w:spacing w:after="0" w:line="149" w:lineRule="exact"/>
              <w:rPr>
                <w:sz w:val="20"/>
                <w:szCs w:val="20"/>
                <w:color w:val="auto"/>
              </w:rPr>
            </w:pPr>
            <w:r>
              <w:rPr>
                <w:rFonts w:ascii="Times New Roman" w:cs="Times New Roman" w:eastAsia="Times New Roman" w:hAnsi="Times New Roman"/>
                <w:sz w:val="14"/>
                <w:szCs w:val="14"/>
                <w:color w:val="auto"/>
              </w:rPr>
              <w:t>426,976</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83,119</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320" w:type="dxa"/>
            <w:vAlign w:val="bottom"/>
          </w:tcPr>
          <w:p>
            <w:pPr>
              <w:spacing w:after="0"/>
              <w:rPr>
                <w:sz w:val="10"/>
                <w:szCs w:val="10"/>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32,491</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53,584</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86,075</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194,805</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144,460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3,798</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148,258</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357,460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71,678</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5,566</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35,348</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126,494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65,969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192,463</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201,184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201,327</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357,460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71,678</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357,460</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71,678</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429,138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Amounts may not add to the totals due to rounding.</w:t>
      </w:r>
    </w:p>
    <w:p>
      <w:pPr>
        <w:spacing w:after="0" w:line="3" w:lineRule="exact"/>
        <w:rPr>
          <w:rFonts w:ascii="Times New Roman" w:cs="Times New Roman" w:eastAsia="Times New Roman" w:hAnsi="Times New Roman"/>
          <w:sz w:val="11"/>
          <w:szCs w:val="11"/>
          <w:color w:val="auto"/>
        </w:rPr>
      </w:pPr>
    </w:p>
    <w:p>
      <w:pPr>
        <w:ind w:left="720" w:hanging="319"/>
        <w:spacing w:after="0" w:line="221" w:lineRule="auto"/>
        <w:tabs>
          <w:tab w:leader="none" w:pos="7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the portion of revenue related to small business programs paid by the end user/customer.</w:t>
      </w:r>
    </w:p>
    <w:p>
      <w:pPr>
        <w:ind w:left="720" w:hanging="319"/>
        <w:spacing w:after="0"/>
        <w:tabs>
          <w:tab w:leader="none" w:pos="7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Revenue from the Company’s foreign operations were immaterial for fiscal years 2024, 2023, and 2022.</w:t>
      </w:r>
    </w:p>
    <w:p>
      <w:pPr>
        <w:spacing w:after="0" w:line="138"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the assets that are included in Unallocated Corporate as of December 27, 2024 and December 29,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right"/>
              <w:ind w:right="511"/>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 w:type="dxa"/>
            <w:vAlign w:val="bottom"/>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receivables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3,119,695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2,345,753</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0" w:type="dxa"/>
            <w:vAlign w:val="bottom"/>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3,229,602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2,412,885</w:t>
            </w:r>
          </w:p>
        </w:tc>
        <w:tc>
          <w:tcPr>
            <w:tcW w:w="2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Substantially all of the Company’s consolidated revenue was derived from its operations in the U.S.</w:t>
      </w:r>
    </w:p>
    <w:p>
      <w:pPr>
        <w:spacing w:after="0" w:line="225"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through a network of offices spread across 22 U.S. states, the District of Columbia, the Commonwealth of Puerto Rico, and Canada. Revenues from the Company’s Puerto Rican and Canadian operations were not material for fiscal years 2024, 2023, and 2022.</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fiscal years 2024, 2023, and 2022, the Company’s top 10 customers accounted for 51.3%, 52.7%, and 54.6%, respectively, of the Company’s consolidated contract revenue. For fiscal year 2024, the Company had no individual customers that accounted for more than 10% of its consolidated contract revenue. For fiscal year 2023, the Company had no individual customers that accounted for more than 10% of its consolidated contract revenue. For fiscal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year 2022, the Company derived 12.0% of its consolidated contract revenue from one customer, Los Angeles Department of Water and Power (“LADWP”).</w:t>
      </w:r>
    </w:p>
    <w:p>
      <w:pPr>
        <w:spacing w:after="0" w:line="16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a segment basis, the Company also had individual customers that accounted for more than 10% of its segment contract revenues. For fiscal year 2024, the Company derived 10.7% of its Energy segment revenues from one customer, Southern California Edison, and had no individual customers accounted for more than 10% of its Engineering and Consulting segment revenues. For fiscal year 2023, the Company derived 22.7% of its Energy segment revenues from two customers, LADWP and the Dormitory Authority State of New York (“DASNY”), and had no individual customers accounted for more than 10% of its Engineering and Consulting segment revenues. For fiscal year 2022, the Company derived 14.4% of its Energy segment revenues from one customer, LADWP, and had no individual customers that accounted for more than 10% of its Engineering and Consulting segment revenues.</w:t>
      </w:r>
    </w:p>
    <w:p>
      <w:pPr>
        <w:spacing w:after="0" w:line="192"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The Company’s largest clients are based in California and New York. In fiscal years 2024, 2023, and 2022, services provided to clients in California accounted for 43.9%, 45.1%, and 41.7%, respectively, of the Company’s consolidated contract revenue, and services provided to clients in New York accounted for 23.6%, 24.7%, and 22.8%, respectively, of the Company’s consolidated contract revenue.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380" w:right="6379" w:hanging="330"/>
        <w:spacing w:after="0" w:line="531" w:lineRule="auto"/>
        <w:tabs>
          <w:tab w:leader="none" w:pos="326"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 </w:t>
      </w:r>
      <w:r>
        <w:rPr>
          <w:rFonts w:ascii="Times New Roman" w:cs="Times New Roman" w:eastAsia="Times New Roman" w:hAnsi="Times New Roman"/>
          <w:sz w:val="17"/>
          <w:szCs w:val="17"/>
          <w:i w:val="1"/>
          <w:iCs w:val="1"/>
          <w:color w:val="auto"/>
        </w:rPr>
        <w:t>Stock Incentive Plans</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2006 Stock Incentive Plan</w:t>
      </w:r>
    </w:p>
    <w:p>
      <w:pPr>
        <w:spacing w:after="0" w:line="22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In June 2006, the Company’s board of directors adopted the 2006 Stock Incentive Plan (“2006 Plan”) and it received stockholder approval. The Company re-submitted the 2006 Plan to its stockholders for post-IPO approval at the 2007 annual meeting of the stockholders and it was approved. After the Company’s shareholders approved the 2008 Plan (as defined below) in June 2008, no additional awards were granted under the 2006 Plan. The 2006 Plan had 300,000 shares of common stock reserved for issuance to the Company’s directors, executives, officers, employees, consultants and advisors. Approximately 182,735 shares that were available for award grant purposes under the 2006 Plan became available for grant under the 2008 Plan following shareholder approval of the 2008 Plan. Options granted under the 2006 Plan could be “non-statutory stock options” which expired no more than 10 years from the date of grant or “incentive stock options” as defined in Section 422 of the Internal Revenue Code of 1986, as amended (the “Internal Revenue Code”). Upon exercise of non-statutory stock options, the Company is generally entitled to a tax deduction on the exercise of the option for an amount equal to the excess over the exercise price of the fair market value of the shares at the date of exercise. The Company is generally not entitled to any tax deduction on the exercise of an incentive stock option. The 2006 Plan terminated in June 2016 and, as of December 27, 2024, there were no outstanding stock options under the 2006 Plan.</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Amended and Restated 2008 Performance Incentive Plan</w:t>
      </w:r>
    </w:p>
    <w:p>
      <w:pPr>
        <w:spacing w:after="0" w:line="227" w:lineRule="exact"/>
        <w:rPr>
          <w:sz w:val="20"/>
          <w:szCs w:val="20"/>
          <w:color w:val="auto"/>
        </w:rPr>
      </w:pPr>
    </w:p>
    <w:p>
      <w:pPr>
        <w:ind w:left="60" w:right="139" w:firstLine="648"/>
        <w:spacing w:after="0" w:line="251" w:lineRule="auto"/>
        <w:rPr>
          <w:sz w:val="20"/>
          <w:szCs w:val="20"/>
          <w:color w:val="auto"/>
        </w:rPr>
      </w:pPr>
      <w:r>
        <w:rPr>
          <w:rFonts w:ascii="Times New Roman" w:cs="Times New Roman" w:eastAsia="Times New Roman" w:hAnsi="Times New Roman"/>
          <w:sz w:val="18"/>
          <w:szCs w:val="18"/>
          <w:color w:val="auto"/>
        </w:rPr>
        <w:t>In March 2008, the Company’s board of directors adopted the 2008 Performance Incentive Plan (“2008 Plan”), and it received stockholder approval at the 2008 annual meeting of the stockholders in June 2008. The 2008 Plan was originally set to terminate on April 17, 2027 but received extensions at the 2019, 2022, 2023, and 2024 annual meetings of the stockholders. The 2008 Plan is currently scheduled to expire on April 14, 2034. The 2008 Plan initially had 450,000 shares of common stock reserved for issuance (not counting any shares originally available under the 2006 Plan that “poured over”.) At the 2010, 2012, 2016, 2017, 2019, 2022, 2023, and 2024 annual meetings of the stockholders, the stockholders approved 350,000, 500,000, 500,000, 875,000, 955,000, 478,000, 750,000, and 675,000 share increases, respectively, to the 2008 Plan. The maximum number of shares of the Company’s common stock that may be issued or transferred pursuant to awards under the 2008 Plan can also be increased by any shares subject to stock options granted under the 2006 Plan and outstanding as of June 9, 2008 which expire, or for any reason are cancelled or terminated, after June 9, 2008 without being exercised. The 2008 Plan currently has 1,138,000 shares of common stock reserved for issuance. Awards authorized by the 2008 Plan include stock options, stock appreciation rights, restricted stock, stock bonuses, stock units, performance stock, and other share-based awards. No participant may be granted an option to purchase more than 300,000 shares in any fiscal year. Options generally may not be granted with exercise prices less than fair market value at the date of grant, with vesting provisions and contractual terms determined by the compensation committee of the board of directors on a grant-by-grant basis, subject to the minimum vesting provisions contained in the 2008 Plan. Options granted under the 2008 Plan may be “nonqualified stock options” or “incentive stock options” as defined in Section 422 of the Internal Revenue Code. The maximum term of each option shall be 10 years. Upon exercise of nonqualified stock options, the Company is generally entitled to a tax deduction on the exercise of the option for an amount equal to the excess over the exercise price of the fair market value of the shares at the date of exercise. The Company is generally not entitled to any tax deduction on the exercise of an incentive stock option. For awards other than stock options, the Company is generally entitled to a tax deduction at the time the award holder recognizes income with respect to the award equal to the amount of compensation income recognized by the award holder. Options and other awards provide for accelerated vesting if there is a change in control (as defined in the 2008 Plan) and the outstanding awards are not substituted or assumed in connection with the transaction.</w:t>
      </w:r>
    </w:p>
    <w:p>
      <w:pPr>
        <w:spacing w:after="0" w:line="204"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Through December 27, 2024, outstanding awards granted, net of forfeitures and exercises, under the 2008 Plan consisted of 24,000 shares of incentive stock options, 527,000 shares of nonqualified stock options, 146,000 shares of restricted stock awards, 70,000 shares of restricted stock units, and 168,000 shares of performance-based restricted stock units.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Amended and Restated 2006 Employee Stock Purchase Plan</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adopted its Amended and Restated 2006 Employee Stock Purchase Plan (“ESPP”) to allow eligible employees the right to purchase shares of common stock, at semi-annual intervals, with their accumulated payroll deductions. The ESPP received stockholder approval in June 2006. The Company re-submitted the ESPP to its stockholders for post-IPO approval at the 2007 annual stockholders’ meeting where approval was obtained. The ESPP initially had 300,000 shares of common stock reserved for issuance. At the 2017 and 2023 annual meeting of the stockholders, the stockholders approved an 825,000 and 800,000 share increase to the ESPP, respectively. A total of 1,925,000 shares of the Company’s common stock have been reserved for issuance under the ESPP.</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ESPP has semi-annual periods beginning on each January 1 and ending on each June 30 and beginning on each July 1 and ending on each December 31. The first offering period commenced on February 10, 2007 and ended on June 30, 2007. Participants make contributions under the ESPP only by means of payroll deductions each payroll period. The rate of payroll contributions elected by a Participant may not be less than one percent (1%) nor more than ten percent (10%) of the Participant’s Earnings for each payroll period, and only whole percentages may be elected. The accumulated contributions are applied to the purchase of shares. Shares are purchased under the ESPP on, or as soon as practicable after, the last day of the offering period. The purchase price per share equals 85% of the fair market value of a share on the lesser price of the share on the first day or last day of the offering period. The Company’s Amended and Restated 2006 Employee Stock Purchase Plan is a compensatory plan.</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27, 2024, there were 816,000 shares available for issuance under the ESPP.</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compensation expense that has been recognized for stock options, restricted stock awards (“RSA”), restricted stock units (“RSU”), performance-based restricted stock units (“PBRSU”), and ESPP issued under these plans was $7.4 million, $5.3 million, and $8.4 million for fiscal years 2024, 2023, and 2022, respectively.</w:t>
      </w:r>
    </w:p>
    <w:p>
      <w:pPr>
        <w:spacing w:after="0" w:line="1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compensation expense related to nonvested stock options for fiscal years 2024, 2023, and 2022.</w:t>
      </w:r>
    </w:p>
    <w:p>
      <w:pPr>
        <w:spacing w:after="0" w:line="16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expense related to RSAs was $2.3 million, $2.5 million, and $1.7 million, for fiscal years 2024, 2023, and 2022, respectively. That expense is expected to be recognized over a weighted-average period of 1.5 years.</w:t>
      </w:r>
    </w:p>
    <w:p>
      <w:pPr>
        <w:spacing w:after="0" w:line="17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expense related to RSUs was $1.4 million for fiscal year 2024. The Company did not have any unrecognized compensation related to RSUs for fiscal years 2023 and 2022. That expense is expected to be recognized over a weighted-average period of 2.2 years.</w:t>
      </w:r>
    </w:p>
    <w:p>
      <w:pPr>
        <w:spacing w:after="0" w:line="1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expense related to PBRSUs was $7.0 million, $5.2 million, and $4.0 million for the fiscal years 2024, 2023, and 2022, respectively. That expense is expected to be recognized over a weighted-average period of 1.1 years.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options granted that were immediately vested during the fiscal years 2024, 2023, or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Summary of Stock Option Activity</w:t>
      </w:r>
    </w:p>
    <w:p>
      <w:pPr>
        <w:spacing w:after="0" w:line="22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 summary of option activity under the 2006 Plan and 2008 Plan as of December 27, 2024 and changes during the fiscal years ended December 27, 2024, December 29, 2023, and December 30, 2022 is presented below. The intrinsic value of the fully-vested options is $8.1 million based on the Company’s closing stock price of $38.41 and the weighted average exercise price of outstanding options on December 27, 2024.</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 or expired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27,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$ 23.75</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Vested and expected to vest at December 27, 2024</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$ 23.75</w:t>
            </w:r>
          </w:p>
        </w:tc>
        <w:tc>
          <w:tcPr>
            <w:tcW w:w="90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at December 27, 2024</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$ 23.75</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line="20" w:lineRule="exact"/>
              <w:rPr>
                <w:sz w:val="1"/>
                <w:szCs w:val="1"/>
                <w:color w:val="auto"/>
              </w:rPr>
            </w:pPr>
          </w:p>
        </w:tc>
      </w:tr>
      <w:tr>
        <w:trPr>
          <w:trHeight w:val="334"/>
        </w:trPr>
        <w:tc>
          <w:tcPr>
            <w:tcW w:w="5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30,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 or expired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$ 20.64</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Vested and expected to vest at December 29, 2023</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787</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$ 20.64</w:t>
            </w:r>
          </w:p>
        </w:tc>
        <w:tc>
          <w:tcPr>
            <w:tcW w:w="90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at December 29, 2023</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787</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$ 20.64</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line="20" w:lineRule="exact"/>
              <w:rPr>
                <w:sz w:val="1"/>
                <w:szCs w:val="1"/>
                <w:color w:val="auto"/>
              </w:rPr>
            </w:pPr>
          </w:p>
        </w:tc>
      </w:tr>
      <w:tr>
        <w:trPr>
          <w:trHeight w:val="334"/>
        </w:trPr>
        <w:tc>
          <w:tcPr>
            <w:tcW w:w="5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 or expired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$ 20.38</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Vested and expected to vest at December 30, 2022</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816</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$ 20.38</w:t>
            </w:r>
          </w:p>
        </w:tc>
        <w:tc>
          <w:tcPr>
            <w:tcW w:w="90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at December 30, 2022</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816</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$ 20.38</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unvested options, nor changes in nonvested options, during the fiscal years 2024, 2023, and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Summary of Time-Based Restricted Stock Activity</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time-based restricted stock is comprised of RSAs and RSUs.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RSAs activity under the 2008 Plan as of December 27, 2024 is presented below:</w:t>
      </w: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5440" w:type="dxa"/>
            <w:vAlign w:val="bottom"/>
          </w:tcPr>
          <w:p>
            <w:pPr>
              <w:spacing w:after="0"/>
              <w:rPr>
                <w:sz w:val="15"/>
                <w:szCs w:val="15"/>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 Stock Award</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42"/>
        </w:trPr>
        <w:tc>
          <w:tcPr>
            <w:tcW w:w="544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27,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30,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18"/>
                <w:szCs w:val="18"/>
                <w:color w:val="auto"/>
              </w:rPr>
            </w:pP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tcPr>
          <w:p>
            <w:pPr>
              <w:spacing w:after="0"/>
              <w:rPr>
                <w:sz w:val="18"/>
                <w:szCs w:val="18"/>
                <w:color w:val="auto"/>
              </w:rPr>
            </w:pP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 summary of RSUs activity under the 2008 Plan as of December 27, 2024 is presented below. The Company did not grant, nor have any RSU activity, prior to fiscal year 2024:</w:t>
      </w: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6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2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2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26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27, 2024</w:t>
            </w:r>
          </w:p>
        </w:tc>
        <w:tc>
          <w:tcPr>
            <w:tcW w:w="2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2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90</w:t>
            </w: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Summary of Performance-Based Restricted Stock Unit Activity</w:t>
      </w:r>
    </w:p>
    <w:p>
      <w:pPr>
        <w:spacing w:after="0" w:line="22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 summary of performance-based restricted stock unit activity under the 2008 Plan as of December 27, 2024 is presented below:</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5640" w:type="dxa"/>
            <w:vAlign w:val="bottom"/>
          </w:tcPr>
          <w:p>
            <w:pPr>
              <w:spacing w:after="0"/>
              <w:rPr>
                <w:sz w:val="15"/>
                <w:szCs w:val="15"/>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42"/>
        </w:trPr>
        <w:tc>
          <w:tcPr>
            <w:tcW w:w="564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27, 2024</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0"/>
        </w:trPr>
        <w:tc>
          <w:tcPr>
            <w:tcW w:w="5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30,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09"/>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29,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0"/>
        </w:trPr>
        <w:tc>
          <w:tcPr>
            <w:tcW w:w="5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7"/>
        </w:trPr>
        <w:tc>
          <w:tcPr>
            <w:tcW w:w="5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1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30,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0"/>
        </w:trPr>
        <w:tc>
          <w:tcPr>
            <w:tcW w:w="5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Fair Value Valuation Assumptions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each option is calculated using the Black-Scholes option valuation model that uses assumptions of expected volatility, expected dividends, expected term in years, and a risk-free rate. Expected volatility is based upon historical volatility of “guideline companies” since the length of time the Company’s shares have been publicly traded is equal to the contractual term of the options. The expected term of the option, taking into account both the contractual term of the option and the effects of employees’ expected exercise and expected post-vesting termination behavior is estimated based upon the simplified method. Under this approach, the expected term is presumed to be the mid-point between the vesting date and the end of the contractual term. The risk-free rate for periods within the contractual life of the option is based on the U.S. Treasury yield curve in effect at the time of grant.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options were granted during fiscal years 2024, 2023 or 2022.</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RSA, RSU and PBRSU Grants</w:t>
      </w:r>
    </w:p>
    <w:p>
      <w:pPr>
        <w:spacing w:after="0" w:line="22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Company’s time-based RSAs and RSUs are valued on the closing price of the Company’s common stock on the date of grant and vest over a three-year period.</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Company’s performance-based restricted stock unit awards are valued on the closing price of the Company’s common stock on the date of grant and vest over a performance period. Under the Company’s PBRSU design, 50% of each award will vest based on the Company’s Adjusted EBITDA performance over a three-year performance period, and the remaining 50% of each award will vest based upon the Company’s adjusted diluted earnings per share performance over a three-year performance period, respectively. At the end of the full three-year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vesting period for the grant, the number of PBRSUs that are earned based on the achievement of Adjusted EBITDA and Adjusted Diluted EPS is then multiplied by a percentage based on the Company’s Relative Total Shareholder Return for the three-year period.</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ESPP purchase rights issued is calculated using the Black-Scholes valuation model that uses the assumptions noted in the following table. Purchase right under the ESPP are generally granted on either January 1 or July 1 of each year. The assumptions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Weighted-average expected term (in years)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2"/>
                <w:szCs w:val="12"/>
                <w:color w:val="auto"/>
              </w:rPr>
            </w:pP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Risk-Free interest Rate</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3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Price Volatility</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3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3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180" w:type="dxa"/>
            <w:vAlign w:val="bottom"/>
          </w:tcPr>
          <w:p>
            <w:pPr>
              <w:spacing w:after="0"/>
              <w:rPr>
                <w:sz w:val="12"/>
                <w:szCs w:val="12"/>
                <w:color w:val="auto"/>
              </w:rPr>
            </w:pPr>
          </w:p>
        </w:tc>
        <w:tc>
          <w:tcPr>
            <w:tcW w:w="10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180" w:type="dxa"/>
            <w:vAlign w:val="bottom"/>
          </w:tcPr>
          <w:p>
            <w:pPr>
              <w:spacing w:after="0"/>
              <w:rPr>
                <w:sz w:val="12"/>
                <w:szCs w:val="12"/>
                <w:color w:val="auto"/>
              </w:rPr>
            </w:pPr>
          </w:p>
        </w:tc>
        <w:tc>
          <w:tcPr>
            <w:tcW w:w="10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2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0 %</w:t>
            </w: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w:t>
            </w:r>
          </w:p>
        </w:tc>
        <w:tc>
          <w:tcPr>
            <w:tcW w:w="4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w:t>
            </w: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The provision for income taxes is comprised of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28"/>
        </w:trPr>
        <w:tc>
          <w:tcPr>
            <w:tcW w:w="38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i w:val="1"/>
                <w:iCs w:val="1"/>
                <w:color w:val="auto"/>
                <w:w w:val="99"/>
              </w:rPr>
              <w:t>(in thousands)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 taxes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Current state taxes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foreign taxes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federal taxes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state taxes</w:t>
            </w:r>
          </w:p>
        </w:tc>
        <w:tc>
          <w:tcPr>
            <w:tcW w:w="2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5"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the Company’s foreign operations was immaterial for fiscal years 2024, 2023, and 2022.</w:t>
      </w:r>
    </w:p>
    <w:p>
      <w:pPr>
        <w:spacing w:after="0" w:line="167"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reconciles to the amounts computed by applying the statutory federal tax rate of 21% for fiscal years 2024, 2023, and 2022 to the Company’s income before income taxes. The sources and tax effects of the differences for fiscal years 2024, 2023 and 2022 are as follows: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i w:val="1"/>
                <w:iCs w:val="1"/>
                <w:color w:val="auto"/>
                <w:w w:val="96"/>
              </w:rPr>
              <w:t>(in 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federal income tax expense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disqualifying dispositions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efficient building deduction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 and deferred state income tax expense, net of federal benefit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93</w:t>
            </w: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5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net deferred tax assets and liabilities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49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5"/>
          </w:tcPr>
          <w:p>
            <w:pPr>
              <w:jc w:val="right"/>
              <w:ind w:right="511"/>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and state net operating losses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w:t>
            </w: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business interest limitation</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9"/>
        </w:trPr>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31,609</w:t>
            </w:r>
          </w:p>
        </w:tc>
      </w:tr>
      <w:tr>
        <w:trPr>
          <w:trHeight w:val="216"/>
        </w:trPr>
        <w:tc>
          <w:tcPr>
            <w:tcW w:w="4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1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30,418</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r>
      <w:tr>
        <w:trPr>
          <w:trHeight w:val="216"/>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w:t>
            </w: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9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w:t>
            </w:r>
          </w:p>
        </w:tc>
      </w:tr>
      <w:tr>
        <w:trPr>
          <w:trHeight w:val="20"/>
        </w:trPr>
        <w:tc>
          <w:tcPr>
            <w:tcW w:w="4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27, 2024, the Company had federal and state operating loss carryovers of $32.7 million and $66.5 million, respectively. As of December 27, 2024, the Company had a federal tax credit carryforward of $2.4 million, and an immaterial amount of state tax credit carryforward. The federal net operating losses begin to expire in 2027. The majority of the state net operating loss carryovers will begin to expire in 2030.</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each fiscal year, management assesses the available positive and negative evidence to estimate if sufficient future taxable income will be generated to utilize existing deferred tax assets. During fiscal year 2024, $0.1 million of the valuation allowance was released due to expected future utilization of deferred tax assets.</w:t>
      </w:r>
    </w:p>
    <w:p>
      <w:pPr>
        <w:spacing w:after="0" w:line="176" w:lineRule="exact"/>
        <w:rPr>
          <w:sz w:val="20"/>
          <w:szCs w:val="20"/>
          <w:color w:val="auto"/>
        </w:rPr>
      </w:pPr>
    </w:p>
    <w:p>
      <w:pPr>
        <w:jc w:val="both"/>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As of December 27, 2024 and December 29, 2023, the Company’s liabilities related to uncertain tax positions were immaterial to the consolidated financial statements. The Company may be subject to examination by the Internal Revenue Service (“IRS”) for calendar years 2021 through 2024. The Company may also be subject to examination on certain state and local jurisdictions for the years 2020 through 2024.</w:t>
      </w:r>
    </w:p>
    <w:p>
      <w:pPr>
        <w:spacing w:after="0" w:line="180"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The Company's policy is to recognize interest and penalties related to unrecognized tax benefits in income tax expense. As of December 27, 2024 and December 29, 2023, the Company did not have any unrecognized tax benefits. In addition, during the fiscal year 2024, the Company did not have any additions or reductions of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 (“EPS”)</w:t>
      </w:r>
    </w:p>
    <w:p>
      <w:pPr>
        <w:spacing w:after="0" w:line="229"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spacing w:after="0" w:line="164"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weighted-average common shares outstanding used to compute basic and diluted EPS: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6"/>
          </w:tcPr>
          <w:p>
            <w:pPr>
              <w:jc w:val="center"/>
              <w:ind w:left="375"/>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13,394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13,013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restricted stock awards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the fiscal year 2024 and fiscal year 2023, the Company excluded 71,000 and 363,000 common shares subject to outstanding equity awards, respectively, from the calculation of diluted shares because their impact would have been anti-dilutive. For the fiscal year 2022, the Company reported a net loss, and accordingly, all outstanding equity awards have been excluded from such periods because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BUSINESS COMBINATIONS</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Enica Engineering, PLLC.</w:t>
      </w:r>
    </w:p>
    <w:p>
      <w:pPr>
        <w:spacing w:after="0" w:line="229"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On October 23, 2024, (the “Enica Closing Date”), the Company, through its wholly owned subsidiary, WES, acquired substantially all of the assets of Enica Engineering, PLLC. (“Enica”), pursuant to the terms of the Asset Purchase Agreement, dated as of October 23, 2024 (the “Enica Agreement”), by and among the Company, WES, Genesys, Enica, and Reed Berinato (“Berinato”) and Mark Prewett (“Prewett” and, together with Berinato, the “Enica Members”). Enica is an energy efficiency company that provides an array of services around energy projects, metering, and consulting services to help its customers drive energy efficiency, decarbonization, and energy reduction. Enica’s financial information is included within the Company’s Energy segment beginning in the fourth quarter of fiscal year 2024. The Company expects to finalize the purchase price allocation related to this transaction by the end of the second quarter of fiscal year 2025.</w:t>
      </w:r>
    </w:p>
    <w:p>
      <w:pPr>
        <w:spacing w:after="0" w:line="17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agreed to pay (i) $12.0 million in cash on the Enica Closing Date (subject to holdbacks and adjustments) and (ii) up to $6.0 million in cash if Enica exceeds certain financial targets during the two years after the Enica Closing Date, as further described below (such potential payments of up to $6.0 million, being referred to as “Enica Earnout Payments” and $6.0 million in respect thereof, being referred to as the “Enica Maximum Earnout”); for a potential maximum purchase price of $18.0 million.</w:t>
      </w:r>
    </w:p>
    <w:p>
      <w:pPr>
        <w:spacing w:after="0" w:line="18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Enica Earnout Payments to be paid will be determined based on Enica’s earnings before interest, taxes, depreciation and amortization (“Enica’s EBITDA”). The Enica Members will receive Enica Earnout Payments in each of the two years after the Enica Closing Date (the “Earnout Period”) based on the amount by which Enica’s EBITDA exceeds certain targets. The amounts due to the Enica Members as Enica Earnout Payments will in no event, individually or in the aggregate, exceed the Enica Maximum Earnout. Enica Earnout Payments will be made in annual installments for each of the two years of the Enica Earnout Period. In addition, the Enica Earnout Payments will be subject to certain subordination provisions in favor of the lenders under the Company’s Credit Agreement.</w:t>
      </w:r>
    </w:p>
    <w:p>
      <w:pPr>
        <w:spacing w:after="0" w:line="189"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The Enica Agreement contains customary representations and warranties regarding the Company, WES, Genesys, Enica, and the Enica Members, indemnification provisions and other provisions customary for transactions of this nature.</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initial purchase price on the Enica Closing Date.</w:t>
      </w:r>
    </w:p>
    <w:p>
      <w:pPr>
        <w:spacing w:after="0" w:line="22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the acquired company’s assembled work force. The Company estimates that the entire $9.8 million of goodwill resulting from the acquisition will be tax deductible.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Preliminary consideration for the acquisition includes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Enica</w:t>
            </w:r>
          </w:p>
        </w:tc>
      </w:tr>
      <w:tr>
        <w:trPr>
          <w:trHeight w:val="142"/>
        </w:trPr>
        <w:tc>
          <w:tcPr>
            <w:tcW w:w="7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r>
      <w:tr>
        <w:trPr>
          <w:trHeight w:val="216"/>
        </w:trPr>
        <w:tc>
          <w:tcPr>
            <w:tcW w:w="71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working capital adjustments and holdbacks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1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20" w:right="159" w:hanging="319"/>
        <w:spacing w:after="0" w:line="215" w:lineRule="auto"/>
        <w:tabs>
          <w:tab w:leader="none" w:pos="72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Of which $3.5 million is included within accrued liabilities in the Company’s consolidated balance sheet and the remainder is included within accounts payable in the Company’s consolidated balance sheet.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Enica</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0" w:type="dxa"/>
            <w:vAlign w:val="bottom"/>
          </w:tcPr>
          <w:p>
            <w:pPr>
              <w:spacing w:after="0"/>
              <w:rPr>
                <w:sz w:val="18"/>
                <w:szCs w:val="18"/>
                <w:color w:val="auto"/>
              </w:rPr>
            </w:pPr>
          </w:p>
        </w:tc>
      </w:tr>
      <w:tr>
        <w:trPr>
          <w:trHeight w:val="20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right-of-use assets, backlog, customer relationships, tradename, and goodwill.</w:t>
      </w:r>
    </w:p>
    <w:p>
      <w:pPr>
        <w:spacing w:after="0" w:line="19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2024, the Company did not make any adjustments to the consideration paid for Enica, and as a result, there were no adjustments to the purchase price allocation for the fiscal year ended December 27, 2024.</w:t>
      </w:r>
    </w:p>
    <w:p>
      <w:pPr>
        <w:spacing w:after="0" w:line="162"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Acquisition related costs associated with Enica are included in other general and administrative expenses in the consolidated statements of comprehensive income and were not material for the year ended December 27, 2024.</w:t>
      </w:r>
    </w:p>
    <w:p>
      <w:pPr>
        <w:spacing w:after="0" w:line="16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fiscal years ended December 27, 2024 and December 29, 2023 assumes that the acquisitions of substantially all of the assets of Enica occurred on the first day of the year prior to the year of acquisition: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920" w:type="dxa"/>
            <w:vAlign w:val="bottom"/>
            <w:tcBorders>
              <w:bottom w:val="single" w:sz="8" w:color="auto"/>
            </w:tcBorders>
          </w:tcPr>
          <w:p>
            <w:pPr>
              <w:spacing w:after="0"/>
              <w:rPr>
                <w:sz w:val="15"/>
                <w:szCs w:val="15"/>
                <w:color w:val="auto"/>
              </w:rPr>
            </w:pPr>
          </w:p>
        </w:tc>
      </w:tr>
      <w:tr>
        <w:trPr>
          <w:trHeight w:val="196"/>
        </w:trPr>
        <w:tc>
          <w:tcPr>
            <w:tcW w:w="5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17"/>
        </w:trPr>
        <w:tc>
          <w:tcPr>
            <w:tcW w:w="5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700" w:type="dxa"/>
            <w:vAlign w:val="bottom"/>
            <w:gridSpan w:val="3"/>
          </w:tcPr>
          <w:p>
            <w:pPr>
              <w:jc w:val="center"/>
              <w:ind w:right="152"/>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 except per share data)</w:t>
            </w:r>
          </w:p>
        </w:tc>
      </w:tr>
      <w:tr>
        <w:trPr>
          <w:trHeight w:val="173"/>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920" w:type="dxa"/>
            <w:vAlign w:val="bottom"/>
          </w:tcPr>
          <w:p>
            <w:pPr>
              <w:spacing w:after="0"/>
              <w:rPr>
                <w:sz w:val="15"/>
                <w:szCs w:val="15"/>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573,835</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518,521</w:t>
            </w:r>
          </w:p>
        </w:tc>
      </w:tr>
      <w:tr>
        <w:trPr>
          <w:trHeight w:val="216"/>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income (loss)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33,633</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r>
      <w:tr>
        <w:trPr>
          <w:trHeight w:val="216"/>
        </w:trPr>
        <w:tc>
          <w:tcPr>
            <w:tcW w:w="59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Pro forma net income (loss) </w:t>
            </w:r>
            <w:r>
              <w:rPr>
                <w:rFonts w:ascii="Times New Roman" w:cs="Times New Roman" w:eastAsia="Times New Roman" w:hAnsi="Times New Roman"/>
                <w:sz w:val="25"/>
                <w:szCs w:val="25"/>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r>
      <w:tr>
        <w:trPr>
          <w:trHeight w:val="230"/>
        </w:trPr>
        <w:tc>
          <w:tcPr>
            <w:tcW w:w="5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5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9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r>
    </w:tbl>
    <w:p>
      <w:pPr>
        <w:spacing w:after="0" w:line="10"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Adjustments to pro forma net income include income from operations, amortization and interest expenses.</w:t>
      </w:r>
    </w:p>
    <w:p>
      <w:pPr>
        <w:spacing w:after="0" w:line="19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This pro forma supplemental information does not purport to be indicative of what the Company’s operating results would have been had the acquisitions of substantially all of the assets of Enica occurred on the first day of the year prior to the year of acquisition and may not be indicative of future operating results.</w:t>
      </w:r>
    </w:p>
    <w:p>
      <w:pPr>
        <w:spacing w:after="0" w:line="1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2024, the acquisition of Enica contributed $1.8 million in revenue and $0.4 million of income from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700" w:right="6779" w:hanging="650"/>
        <w:spacing w:after="0" w:line="507" w:lineRule="auto"/>
        <w:tabs>
          <w:tab w:leader="none" w:pos="322"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b w:val="1"/>
          <w:bCs w:val="1"/>
          <w:i w:val="1"/>
          <w:iCs w:val="1"/>
          <w:color w:val="auto"/>
        </w:rPr>
        <w:t>Claims and Lawsuits</w:t>
      </w:r>
    </w:p>
    <w:p>
      <w:pPr>
        <w:spacing w:after="0" w:line="2"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spacing w:after="0" w:line="185" w:lineRule="exact"/>
        <w:rPr>
          <w:sz w:val="20"/>
          <w:szCs w:val="20"/>
          <w:color w:val="auto"/>
        </w:rPr>
      </w:pPr>
    </w:p>
    <w:p>
      <w:pPr>
        <w:ind w:left="60" w:right="79" w:firstLine="648"/>
        <w:spacing w:after="0" w:line="235" w:lineRule="auto"/>
        <w:rPr>
          <w:sz w:val="20"/>
          <w:szCs w:val="20"/>
          <w:color w:val="auto"/>
        </w:rPr>
      </w:pPr>
      <w:r>
        <w:rPr>
          <w:rFonts w:ascii="Times New Roman" w:cs="Times New Roman" w:eastAsia="Times New Roman" w:hAnsi="Times New Roman"/>
          <w:sz w:val="18"/>
          <w:szCs w:val="18"/>
          <w:color w:val="auto"/>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spacing w:after="0" w:line="188" w:lineRule="exact"/>
        <w:rPr>
          <w:sz w:val="20"/>
          <w:szCs w:val="20"/>
          <w:color w:val="auto"/>
        </w:rPr>
      </w:pPr>
    </w:p>
    <w:p>
      <w:pPr>
        <w:ind w:left="60" w:right="159" w:firstLine="648"/>
        <w:spacing w:after="0" w:line="246" w:lineRule="auto"/>
        <w:rPr>
          <w:sz w:val="20"/>
          <w:szCs w:val="20"/>
          <w:color w:val="auto"/>
        </w:rPr>
      </w:pPr>
      <w:r>
        <w:rPr>
          <w:rFonts w:ascii="Times New Roman" w:cs="Times New Roman" w:eastAsia="Times New Roman" w:hAnsi="Times New Roman"/>
          <w:sz w:val="17"/>
          <w:szCs w:val="17"/>
          <w:color w:val="auto"/>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QUARTERLY FINANCIAL INFORMATION (UNAUDITED)</w:t>
      </w:r>
    </w:p>
    <w:p>
      <w:pPr>
        <w:spacing w:after="0" w:line="175" w:lineRule="exact"/>
        <w:rPr>
          <w:sz w:val="20"/>
          <w:szCs w:val="20"/>
          <w:color w:val="auto"/>
        </w:rPr>
      </w:pPr>
    </w:p>
    <w:p>
      <w:pPr>
        <w:ind w:left="60" w:right="759" w:firstLine="648"/>
        <w:spacing w:after="0" w:line="250" w:lineRule="auto"/>
        <w:rPr>
          <w:sz w:val="20"/>
          <w:szCs w:val="20"/>
          <w:color w:val="auto"/>
        </w:rPr>
      </w:pPr>
      <w:r>
        <w:rPr>
          <w:rFonts w:ascii="Times New Roman" w:cs="Times New Roman" w:eastAsia="Times New Roman" w:hAnsi="Times New Roman"/>
          <w:sz w:val="18"/>
          <w:szCs w:val="18"/>
          <w:color w:val="auto"/>
        </w:rPr>
        <w:t>The tables below reflect selected quarterly information for the fiscal years ended December 27, 2024 and December 29,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Fiscal Three Months Ended</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June 28,</w:t>
            </w:r>
          </w:p>
        </w:tc>
        <w:tc>
          <w:tcPr>
            <w:tcW w:w="40" w:type="dxa"/>
            <w:vAlign w:val="bottom"/>
          </w:tcPr>
          <w:p>
            <w:pPr>
              <w:spacing w:after="0"/>
              <w:rPr>
                <w:sz w:val="10"/>
                <w:szCs w:val="10"/>
                <w:color w:val="auto"/>
              </w:rPr>
            </w:pPr>
          </w:p>
        </w:tc>
        <w:tc>
          <w:tcPr>
            <w:tcW w:w="1080" w:type="dxa"/>
            <w:vAlign w:val="bottom"/>
            <w:gridSpan w:val="6"/>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96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2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i w:val="1"/>
                <w:iCs w:val="1"/>
                <w:color w:val="auto"/>
              </w:rPr>
              <w:t>(in</w:t>
            </w:r>
          </w:p>
        </w:tc>
        <w:tc>
          <w:tcPr>
            <w:tcW w:w="96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i w:val="1"/>
                <w:iCs w:val="1"/>
                <w:color w:val="auto"/>
                <w:w w:val="97"/>
              </w:rPr>
              <w:t>thousands except</w:t>
            </w:r>
          </w:p>
        </w:tc>
        <w:tc>
          <w:tcPr>
            <w:tcW w:w="20" w:type="dxa"/>
            <w:vAlign w:val="bottom"/>
          </w:tcPr>
          <w:p>
            <w:pPr>
              <w:spacing w:after="0"/>
              <w:rPr>
                <w:sz w:val="11"/>
                <w:szCs w:val="11"/>
                <w:color w:val="auto"/>
              </w:rPr>
            </w:pPr>
          </w:p>
        </w:tc>
        <w:tc>
          <w:tcPr>
            <w:tcW w:w="102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i w:val="1"/>
                <w:iCs w:val="1"/>
                <w:color w:val="auto"/>
                <w:w w:val="89"/>
              </w:rPr>
              <w:t>per share amounts)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122,489</w:t>
            </w:r>
          </w:p>
        </w:tc>
        <w:tc>
          <w:tcPr>
            <w:tcW w:w="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140,996</w:t>
            </w:r>
          </w:p>
        </w:tc>
        <w:tc>
          <w:tcPr>
            <w:tcW w:w="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144,061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2,246</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14,012</w:t>
            </w:r>
          </w:p>
        </w:tc>
        <w:tc>
          <w:tcPr>
            <w:tcW w:w="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14,509</w:t>
            </w:r>
          </w:p>
        </w:tc>
        <w:tc>
          <w:tcPr>
            <w:tcW w:w="20" w:type="dxa"/>
            <w:vAlign w:val="bottom"/>
          </w:tcPr>
          <w:p>
            <w:pPr>
              <w:spacing w:after="0"/>
              <w:rPr>
                <w:sz w:val="20"/>
                <w:szCs w:val="20"/>
                <w:color w:val="auto"/>
              </w:rPr>
            </w:pPr>
          </w:p>
        </w:tc>
      </w:tr>
      <w:tr>
        <w:trPr>
          <w:trHeight w:val="33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Three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80" w:type="dxa"/>
            <w:vAlign w:val="bottom"/>
            <w:gridSpan w:val="16"/>
          </w:tcPr>
          <w:p>
            <w:pPr>
              <w:jc w:val="center"/>
              <w:ind w:left="514"/>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119,077</w:t>
            </w:r>
          </w:p>
        </w:tc>
        <w:tc>
          <w:tcPr>
            <w:tcW w:w="3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155,677</w:t>
            </w:r>
          </w:p>
        </w:tc>
        <w:tc>
          <w:tcPr>
            <w:tcW w:w="20" w:type="dxa"/>
            <w:vAlign w:val="bottom"/>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2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0" w:type="dxa"/>
            <w:vAlign w:val="bottom"/>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2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 w:type="dxa"/>
            <w:vAlign w:val="bottom"/>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ASC Topic 855, Subsequent Events, the Company evaluates subsequent events up until the date the consolidated financial statements are issued.</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 Inspections, Inc.</w:t>
      </w:r>
    </w:p>
    <w:p>
      <w:pPr>
        <w:spacing w:after="0" w:line="227"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On January 31, 2025 (the “Alpha Closing Date”), the Company, through its wholly owned subsidiary, Willdan Engineering, Inc., acquired all of the capital stock of Alpha Inspections, Inc. (“Alpha”), pursuant to the terms of the Stock Purchase Agreement, dated as of January 31, 2025 (the “Alpha Stock Purchase Agreement”), by and among the Company, Willdan Engineering, Inc., and Jennifer Murphy as the sole shareholder of Alpha Inspections, Inc. (the “Alpha Member”).</w:t>
      </w:r>
    </w:p>
    <w:p>
      <w:pPr>
        <w:spacing w:after="0" w:line="16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of the Alpha Stock Purchase Agreement, the purchase price consisted of $12.0 million to be paid in cash on the Alpha Closing Date (subject to holdbacks and adjustments). The Alpha Stock Purchase Agreement contains customary representations and warranties regarding the Company, Willdan Engineering, Alpha, and the Alpha Member, indemnification provisions and other provisions customary for transactions of this nature. Pursuant to the terms of the Alpha Stock Purchase Agreement, the Company, and Willdan Engineering, provided guarantees to the Alpha Member which guarantee certain of Alpha’s obligations under the Alpha Stock Purchase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purchase price.</w:t>
      </w:r>
    </w:p>
    <w:p>
      <w:pPr>
        <w:spacing w:after="0" w:line="212"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Alpha is a company that provides an array of municipal services including building inspections, and plan reviews. Alpha’s financial information will be included within the Engineering and Consulting segment beginning in the first quarter of fiscal year 2025 and the Company expects to finalize the purchase price allocation related to this transaction by the end of the fourth quarter of fiscal year 2025.</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Alternative Power Generation, Inc.</w:t>
      </w:r>
    </w:p>
    <w:p>
      <w:pPr>
        <w:spacing w:after="0" w:line="22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On March 3, 2025 (the “APG Closing Date”), the Company, through its wholly owned subsidiary, WES, acquired all of the capital stock of Alternative Power Generation, Inc. (“APG”), pursuant to the terms of the Stock Purchase Agreement, dated as of March 3, 2025 (the “APG Stock Purchase Agreement”), by and among the Company, WES, and each of the stockholders of APG (the “APG Stockholders”).</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APG Stock Purchase Agreement, the Company agreed to pay up to $43.5 million for the purchase of all the capital stock of APG, which purchase price consists of (i) $19.5 million in cash paid on the APG Closing Date (subject to holdbacks and adjustments), (ii) $6.0 million in shares of the Company’s common stock, based on the closing average price per share of the Company’s common stock for the twenty trading days preceding the APG Closing Date, and (iii) up to $18.0 million in cash if APG exceeds certain financial targets during the three years after the APG Closing Date, as more fully described below (such potential payments of up to $18.0 million being referred to as “APG Earnout Payments” and $18.0 million in respect thereof, being referred to as the “APG Maximum Payout”).</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APG Earnout Payments to be paid will be determined based on APG’s earnings before interest, taxes, depreciation and amortization (“APG EBITDA”). The APG Stockholders will receive APG Earnout Payments in each of the three years after the APG Closing Date (the “APG Earnout Period”) based on the amount by which APG EBITDA exceeds certain targets. The amounts due to the APG Stockholders as APG Earnout Payments will in no event, individually or in the aggregate, exceed the APG Maximum Payout. APG Earnout Payments will be made in annual installments for each of the three years of the APG Earnout Period. In addition, the APG Earnout Payments will be subject to certain subordination provisions in favor of the lenders under the Company’s Credit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APG Stock Purchase Agreement contains customary representations and warranties regarding the Company, WES, APG, and the APG Stockholders, indemnification provisions, and other provisions customary for transactions of this nature.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initial purchase price.</w:t>
      </w:r>
    </w:p>
    <w:p>
      <w:pPr>
        <w:spacing w:after="0" w:line="225"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APG provides innovative, progressive, and customized electric power solutions for EV charging, solar, AI data centers, microgrids, battery energy storage systems (BESS), and substations. APG offers consulting, design, engineering, procurement, and construction management. APG’s financial information will be included within the Energy segment beginning in the first quarter of fiscal year 2025 and the Company expects to finalize the purchase price allocation related to this transaction by the end of the fourth quarter of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right="999" w:hanging="906"/>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and/or disagreements with accountants on accounting and financial disclosure during the fiscal year ended December 27,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defined in Rule 13a-15(e) and Rule 15d-15(e) under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 President and Chief Executive Officer, Michael A. Bieber, and our Chief Financial Officer, Creighton K. Early, as appropriate to allow timely decisions regarding required disclosure.</w:t>
      </w:r>
    </w:p>
    <w:p>
      <w:pPr>
        <w:spacing w:after="0" w:line="12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Annual Report, an evaluation was performed under the supervision and with the participation of our management, including our Chief Executive Officer and Chief Financial Officer, of the effectiveness of our disclosure controls and procedures as of December 27, 2024. Based on that evaluation, our Chief Executive Officer and Chief Financial Officer concluded that our disclosure controls and procedures were effective, at a reasonable assurance level, as of December 27, 2024.</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as amended).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is not intended to provide absolute assurance that a misstatement of our financial statements would be prevented or detected. Our management, with the participation of our Chief Executive Officer and Chief Financial Officer, assessed the effectiveness of our internal control over financial reporting as of December 27, 2024. In making this assessment, our management used the criteria set forth by the Committee of Sponsoring Organizations of the Treadway Commission (COSO) in Internal Control—Integrated Framework (2013 Framework). Our management concluded that, as of December 27, 2024, our internal control over financial reporting was effective based on these criteria.</w:t>
      </w:r>
    </w:p>
    <w:p>
      <w:pPr>
        <w:spacing w:after="0" w:line="12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As discussed in Note 13,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 our consolidated financial statements, we acquired </w:t>
      </w:r>
      <w:r>
        <w:rPr>
          <w:rFonts w:ascii="Times New Roman" w:cs="Times New Roman" w:eastAsia="Times New Roman" w:hAnsi="Times New Roman"/>
          <w:sz w:val="18"/>
          <w:szCs w:val="18"/>
          <w:color w:val="212529"/>
        </w:rPr>
        <w:t>Enica</w:t>
      </w:r>
      <w:r>
        <w:rPr>
          <w:rFonts w:ascii="Times New Roman" w:cs="Times New Roman" w:eastAsia="Times New Roman" w:hAnsi="Times New Roman"/>
          <w:sz w:val="18"/>
          <w:szCs w:val="18"/>
          <w:color w:val="auto"/>
        </w:rPr>
        <w:t xml:space="preserve"> on October 23, 2024. As permitted by guidelines established by the SEC for newly acquired business, we excluded the acquisition from the scope of our assessment on internal controls over financial reporting for the fiscal year ended December 27, 2024. This acquisition contributed $3.1 million of total assets and $1.3 million of total liabilities, respectively, to our consolidated balance sheet as of December 27, 2024, and $1.8 million to our consolidated revenues for the fiscal year ended December 27, 2024. We are in the process of integrating this business into our overall internal controls over financial reporting process and plan to include our assessment of the business’ internal control over financial reporting within one year of the applicable acquisition date.</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Crowe LLP, the independent registered public accounting firm that audited the fiscal year 2024 consolidated financial statements included in this Annual Report on Form 10-K, has issued an attestation report on the effectiveness of our internal control over financial reporting as of December 27, 2024, which is included herein.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October 23, 2024, we completed the acquisition of </w:t>
      </w:r>
      <w:r>
        <w:rPr>
          <w:rFonts w:ascii="Times New Roman" w:cs="Times New Roman" w:eastAsia="Times New Roman" w:hAnsi="Times New Roman"/>
          <w:sz w:val="18"/>
          <w:szCs w:val="18"/>
          <w:color w:val="212529"/>
        </w:rPr>
        <w:t>Enica.</w:t>
      </w:r>
      <w:r>
        <w:rPr>
          <w:rFonts w:ascii="Times New Roman" w:cs="Times New Roman" w:eastAsia="Times New Roman" w:hAnsi="Times New Roman"/>
          <w:sz w:val="18"/>
          <w:szCs w:val="18"/>
          <w:color w:val="auto"/>
        </w:rPr>
        <w:t xml:space="preserve"> Prior to the acquisition, Enica was privately-held company and was not subject to the Sarbanes-Oxley Act of 2002, the rules and regulations of the SEC, or other corporate governance requirements applicable to public reporting companies. As part of our ongoing integration activities, we are continuing to incorporate our controls and procedures into Enica and, if needed, to augment our company-wide controls to reflect the risks that may be inherent in the acquisition of this privately-held company.</w:t>
      </w:r>
    </w:p>
    <w:p>
      <w:pPr>
        <w:spacing w:after="0" w:line="11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Other than our integration of Enica, there have been no changes in our internal control over financial reporting during the quarter ended December 27, 2024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Rule 10b5-1</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Because we are filing this Annual Report within four business days after the triggering event, we are making the following disclosure under this “Item 9B. Other Information” instead of filing a Current Report on Form 8-K under Item 1.01, Entry into a Material Definitive Agreement, and Item 3.02 Unregistered Sales of Equity Securities.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Item 1.01 Entry into a Material Definitive Agreement</w:t>
      </w:r>
    </w:p>
    <w:p>
      <w:pPr>
        <w:spacing w:after="0" w:line="22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On March 3, 2025 (the “APG Closing Date”), the Company, through its wholly owned subsidiary, WES, acquired all of the capital stock of Alternative Power Generation, Inc. (“APG”), pursuant to the terms of the Stock Purchase Agreement, dated as of March 3, 2025 (the “APG Stock Purchase Agreement”), by and among the Company, WES, and each of the stockholders of APG (the “APG Stockholders”).</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the APG Stock Purchase Agreement, the Company agreed to pay up to $43.5 million for the purchase of all the capital stock of APG, which purchase price consists of (i) $19.5 million in cash paid on the APG Closing Date (subject to holdbacks and adjustments), (ii) $6.0 million in shares of the Company’s common stock, based on the closing average price per share of the Company’s common stock for the twenty trading days preceding the APG Closing Date, and (iii) up to $18.0 million in cash if APG exceeds certain financial targets during the three years after the APG Closing Date, as more fully described below (such potential payments of up to $18.0 million being referred to as “APG Earnout Payments” and $18.0 million in respect thereof, being referred to as the “APG Maximum Payout”). The Company issued 176,524 shares of the Company’s common stock and the shares have not been registered under the Securities Act of 1933, as amended (the “Securities Act”), and were issued and sold in reliance upon the exemption from registration contained in Section 4(a)(2) of the Securities Act.</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APG Earnout Payments to be paid will be determined based on APG’s earnings before interest, taxes, depreciation and amortization (“APG EBITDA”). The APG Stockholders will receive APG Earnout Payments in each of the three years after the APG Closing Date (the “APG Earnout Period”) based on the amount by which APG EBITDA exceeds certain targets. The amounts due to the APG Stockholders as APG Earnout Payments will in no event, individually or in the aggregate, exceed the APG Maximum Payout. APG Earnout Payments will be made in annual installments for each of the three years of the APG Earnout Period. In addition, the APG Earnout Payments will be subject to certain subordination provisions in favor of the lenders under the Company’s Credit Agreement.</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APG Stock Purchase Agreement contains customary representations and warranties regarding the Company, WES, APG, and the APG Stockholders, indemnification provisions, and other provisions customary for transactions of this nature.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initial purchase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APG provides innovative, progressive, and customized electric power solutions for EV charging, solar, AI data centers, microgrids, battery energy storage systems (BESS), and substations. APG offers consulting, design, engineering, procurement, and construction management. APG’s financial information will be included within the Energy segment beginning in the first quarter of fiscal year 2025 and the Company expects to finalize the purchase price allocation related to this transaction by the end of the fourth quarter of fiscal year 2025.</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Item 3.02 Unregistered Sales of Equity Securities.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information described in Item 1.01 above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Willdan Group, Inc.’s Proxy Statement for its 2025 Annual Meeting of Stockholders to be filed with the SEC within 120 days after the end of the Company’s 2024 fiscal year.</w:t>
      </w:r>
    </w:p>
    <w:p>
      <w:pPr>
        <w:spacing w:after="0" w:line="176"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posted our Code of Ethical Conduct on our website, www.willdan.com, under the heading “Investors— Corporate Governance—Governance Documents.” The Code of Ethical Conduct applies to our Chief Executive Officer and Chief Financial Officer. Upon request and free of charge, we will provide any person with a copy of the Code of Ethical Conduct. See “Item 1. Business—Available Information.” To the extent required by rules adopted by the SEC and the Nasdaq Stock Market, we intend to promptly disclose future amendments to certain provisions of the code, or waivers of such provisions granted to executive officers and directors on our website at </w:t>
      </w:r>
      <w:r>
        <w:rPr>
          <w:rFonts w:ascii="Times New Roman" w:cs="Times New Roman" w:eastAsia="Times New Roman" w:hAnsi="Times New Roman"/>
          <w:sz w:val="18"/>
          <w:szCs w:val="18"/>
          <w:i w:val="1"/>
          <w:iCs w:val="1"/>
          <w:color w:val="auto"/>
        </w:rPr>
        <w:t>www.willdan.com</w:t>
      </w:r>
      <w:r>
        <w:rPr>
          <w:rFonts w:ascii="Times New Roman" w:cs="Times New Roman" w:eastAsia="Times New Roman" w:hAnsi="Times New Roman"/>
          <w:sz w:val="18"/>
          <w:szCs w:val="18"/>
          <w:color w:val="auto"/>
        </w:rPr>
        <w:t xml:space="preserve"> under “Investors— Corporate Governance.”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Willdan Group, Inc.’s Proxy Statement for its 2025 Annual Meeting of Stockholders to be filed with the SEC within 120 days after the end of the Company’s 2024 fiscal year.</w:t>
      </w:r>
    </w:p>
    <w:p>
      <w:pPr>
        <w:spacing w:after="0" w:line="14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5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Willdan Group, Inc.’s Proxy Statement for its 2025 Annual Meeting of Stockholders to be filed with the SEC within 120 days after the end of the Company’s 2024 fiscal year.</w:t>
      </w:r>
    </w:p>
    <w:p>
      <w:pPr>
        <w:spacing w:after="0" w:line="172" w:lineRule="exact"/>
        <w:rPr>
          <w:sz w:val="20"/>
          <w:szCs w:val="20"/>
          <w:color w:val="auto"/>
        </w:rPr>
      </w:pPr>
    </w:p>
    <w:p>
      <w:pPr>
        <w:ind w:left="60" w:right="149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51"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Willdan Group, Inc.’s Proxy Statement for its 2025 Annual Meeting of Stockholders to be filed with the SEC within 120 days after the end of the Company’s 2024 fiscal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Willdan Group, Inc.’s Proxy Statement for its 2025 Annual Meeting of Stockholders to be filed with the SEC within 120 days after the end of the Company’s 2024 fiscal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included in Part II, Item 8 of this document are filed as part of this Annual Report on Form 10-K.</w:t>
      </w:r>
    </w:p>
    <w:p>
      <w:pPr>
        <w:spacing w:after="0" w:line="162" w:lineRule="exact"/>
        <w:rPr>
          <w:sz w:val="20"/>
          <w:szCs w:val="20"/>
          <w:color w:val="auto"/>
        </w:rPr>
      </w:pPr>
    </w:p>
    <w:p>
      <w:pPr>
        <w:ind w:left="1340" w:hanging="642"/>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w:t>
      </w:r>
    </w:p>
    <w:p>
      <w:pPr>
        <w:spacing w:after="0" w:line="225"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All required schedules are omitted because they are not applicable or the required information is shown in the financial statements or the accompanying notes.</w:t>
      </w:r>
    </w:p>
    <w:p>
      <w:pPr>
        <w:spacing w:after="0" w:line="162" w:lineRule="exact"/>
        <w:rPr>
          <w:sz w:val="20"/>
          <w:szCs w:val="20"/>
          <w:color w:val="auto"/>
        </w:rPr>
      </w:pPr>
    </w:p>
    <w:p>
      <w:pPr>
        <w:ind w:left="1340" w:hanging="642"/>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exhibits filed as part of this annual report are listed in Item 15(b).</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 Exhibits.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80"/>
        <w:spacing w:after="0"/>
        <w:tabs>
          <w:tab w:leader="none" w:pos="43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33020</wp:posOffset>
            </wp:positionV>
            <wp:extent cx="56489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67" w:lineRule="exact"/>
        <w:rPr>
          <w:sz w:val="20"/>
          <w:szCs w:val="20"/>
          <w:color w:val="auto"/>
        </w:rPr>
      </w:pPr>
    </w:p>
    <w:p>
      <w:pPr>
        <w:jc w:val="both"/>
        <w:ind w:left="960" w:right="119" w:hanging="359"/>
        <w:spacing w:after="0" w:line="27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3.1 </w:t>
      </w:r>
      <w:hyperlink r:id="rId117">
        <w:r>
          <w:rPr>
            <w:rFonts w:ascii="Times New Roman" w:cs="Times New Roman" w:eastAsia="Times New Roman" w:hAnsi="Times New Roman"/>
            <w:sz w:val="18"/>
            <w:szCs w:val="18"/>
            <w:u w:val="single" w:color="auto"/>
            <w:color w:val="0000EE"/>
          </w:rPr>
          <w:t>First Amended and Restated Certificate of Incorporation of Willdan Group, Inc. (incorporated by reference to</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Willdan Group, Inc.’s Registration Statement on Form S-1, filed with the SEC on August 9, 2006, as amended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(File No. 333-136444))</w:t>
        </w:r>
        <w:r>
          <w:rPr>
            <w:rFonts w:ascii="Times New Roman" w:cs="Times New Roman" w:eastAsia="Times New Roman" w:hAnsi="Times New Roman"/>
            <w:sz w:val="18"/>
            <w:szCs w:val="18"/>
            <w:color w:val="000000"/>
          </w:rPr>
          <w:t>.</w:t>
        </w:r>
      </w:hyperlink>
    </w:p>
    <w:p>
      <w:pPr>
        <w:spacing w:after="0" w:line="34" w:lineRule="exact"/>
        <w:rPr>
          <w:rFonts w:ascii="Times New Roman" w:cs="Times New Roman" w:eastAsia="Times New Roman" w:hAnsi="Times New Roman"/>
          <w:sz w:val="18"/>
          <w:szCs w:val="18"/>
          <w:color w:val="auto"/>
        </w:rPr>
      </w:pPr>
    </w:p>
    <w:p>
      <w:pPr>
        <w:ind w:left="960" w:right="379" w:hanging="359"/>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3.2 </w:t>
      </w:r>
      <w:hyperlink r:id="rId118">
        <w:r>
          <w:rPr>
            <w:rFonts w:ascii="Times New Roman" w:cs="Times New Roman" w:eastAsia="Times New Roman" w:hAnsi="Times New Roman"/>
            <w:sz w:val="18"/>
            <w:szCs w:val="18"/>
            <w:u w:val="single" w:color="auto"/>
            <w:color w:val="0000EE"/>
          </w:rPr>
          <w:t>Second Amended and Restated Bylaws of Willdan Group, Inc. (incorporated by reference to Exhibit 3.1 to</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Willdan Group, Inc.’s Current Report on Form 8-K, filed with the SEC on July 12, 2023).</w:t>
        </w:r>
      </w:hyperlink>
    </w:p>
    <w:p>
      <w:pPr>
        <w:spacing w:after="0" w:line="40" w:lineRule="exact"/>
        <w:rPr>
          <w:sz w:val="20"/>
          <w:szCs w:val="20"/>
          <w:color w:val="auto"/>
        </w:rPr>
      </w:pPr>
    </w:p>
    <w:p>
      <w:pPr>
        <w:ind w:left="960" w:right="119" w:hanging="359"/>
        <w:spacing w:after="0" w:line="27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4.1 </w:t>
      </w:r>
      <w:hyperlink r:id="rId119">
        <w:r>
          <w:rPr>
            <w:rFonts w:ascii="Times New Roman" w:cs="Times New Roman" w:eastAsia="Times New Roman" w:hAnsi="Times New Roman"/>
            <w:sz w:val="18"/>
            <w:szCs w:val="18"/>
            <w:u w:val="single" w:color="auto"/>
            <w:color w:val="0000EE"/>
          </w:rPr>
          <w:t>Specimen Stock Certificate for shares of the Registrant’s Common Stock (incorporated by reference to</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Willdan Group, Inc.’s Registration Statement on Form S-1, filed with the SEC on August 9, 2006, as amended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(File No. 333-136444))</w:t>
        </w:r>
        <w:r>
          <w:rPr>
            <w:rFonts w:ascii="Times New Roman" w:cs="Times New Roman" w:eastAsia="Times New Roman" w:hAnsi="Times New Roman"/>
            <w:sz w:val="18"/>
            <w:szCs w:val="18"/>
            <w:color w:val="000000"/>
          </w:rPr>
          <w:t>.</w:t>
        </w:r>
      </w:hyperlink>
    </w:p>
    <w:p>
      <w:pPr>
        <w:spacing w:after="0" w:line="34"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0000EE"/>
        </w:rPr>
        <w:t>Description of Willdan Group, Inc.’s Capital Stock.</w:t>
      </w:r>
    </w:p>
    <w:p>
      <w:pPr>
        <w:spacing w:after="0" w:line="90" w:lineRule="exact"/>
        <w:rPr>
          <w:rFonts w:ascii="Times New Roman" w:cs="Times New Roman" w:eastAsia="Times New Roman" w:hAnsi="Times New Roman"/>
          <w:sz w:val="18"/>
          <w:szCs w:val="18"/>
          <w:color w:val="auto"/>
        </w:rPr>
      </w:pPr>
    </w:p>
    <w:p>
      <w:pPr>
        <w:ind w:left="960" w:right="199" w:hanging="359"/>
        <w:spacing w:after="0" w:line="271" w:lineRule="auto"/>
        <w:rPr>
          <w:sz w:val="20"/>
          <w:szCs w:val="20"/>
          <w:color w:val="auto"/>
        </w:rPr>
      </w:pPr>
      <w:r>
        <w:rPr>
          <w:rFonts w:ascii="Times New Roman" w:cs="Times New Roman" w:eastAsia="Times New Roman" w:hAnsi="Times New Roman"/>
          <w:sz w:val="18"/>
          <w:szCs w:val="18"/>
          <w:color w:val="auto"/>
        </w:rPr>
        <w:t>4.3 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p>
      <w:pPr>
        <w:spacing w:after="0" w:line="37" w:lineRule="exact"/>
        <w:rPr>
          <w:rFonts w:ascii="Times New Roman" w:cs="Times New Roman" w:eastAsia="Times New Roman" w:hAnsi="Times New Roman"/>
          <w:sz w:val="18"/>
          <w:szCs w:val="18"/>
          <w:color w:val="auto"/>
        </w:rPr>
      </w:pPr>
    </w:p>
    <w:p>
      <w:pPr>
        <w:ind w:left="980" w:right="159" w:hanging="476"/>
        <w:spacing w:after="0" w:line="271"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20">
        <w:r>
          <w:rPr>
            <w:rFonts w:ascii="Times New Roman" w:cs="Times New Roman" w:eastAsia="Times New Roman" w:hAnsi="Times New Roman"/>
            <w:sz w:val="18"/>
            <w:szCs w:val="18"/>
            <w:u w:val="single" w:color="auto"/>
            <w:color w:val="0000EE"/>
          </w:rPr>
          <w:t>The Credit Agreement, dated as of September 29, 2023, by and among Willdan Group, Inc., as Borrower, the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Guarantors (as defined therein), the Lenders (as defined therein), BMO Bank N.A., as Joint Lead Arranger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and Administrative Agent and J.P. Morgan, as Joint Lead Arranger (incorporated by reference to Exhibit 10.1</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to Willdan Group, Inc.’s Current Report on Form 8-K, filed with the SEC on October 5, 2023).</w:t>
        </w:r>
      </w:hyperlink>
    </w:p>
    <w:p>
      <w:pPr>
        <w:spacing w:after="0" w:line="37" w:lineRule="exact"/>
        <w:rPr>
          <w:rFonts w:ascii="Times New Roman" w:cs="Times New Roman" w:eastAsia="Times New Roman" w:hAnsi="Times New Roman"/>
          <w:sz w:val="18"/>
          <w:szCs w:val="18"/>
          <w:u w:val="single" w:color="auto"/>
          <w:color w:val="0000EE"/>
        </w:rPr>
      </w:pPr>
    </w:p>
    <w:p>
      <w:pPr>
        <w:ind w:left="980" w:right="139" w:hanging="476"/>
        <w:spacing w:after="0" w:line="274"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21">
        <w:r>
          <w:rPr>
            <w:rFonts w:ascii="Times New Roman" w:cs="Times New Roman" w:eastAsia="Times New Roman" w:hAnsi="Times New Roman"/>
            <w:sz w:val="18"/>
            <w:szCs w:val="18"/>
            <w:u w:val="single" w:color="auto"/>
            <w:color w:val="0000EE"/>
          </w:rPr>
          <w:t>The Security Agreement, dated as of September 29, 2023, by and among Willdan Group, Inc., as Borrower,</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the Debtors (as defined therein), and BMO Bank N.A., as Administrative Agent (incorporated by reference to</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Exhibit 10.2 to Willdan Group, Inc.’s Current Report on Form 8-K, filed with the SEC on October 5, 2023).</w:t>
        </w:r>
      </w:hyperlink>
    </w:p>
    <w:p>
      <w:pPr>
        <w:spacing w:after="0" w:line="34" w:lineRule="exact"/>
        <w:rPr>
          <w:rFonts w:ascii="Times New Roman" w:cs="Times New Roman" w:eastAsia="Times New Roman" w:hAnsi="Times New Roman"/>
          <w:sz w:val="18"/>
          <w:szCs w:val="18"/>
          <w:u w:val="single" w:color="auto"/>
          <w:color w:val="0000EE"/>
        </w:rPr>
      </w:pPr>
    </w:p>
    <w:p>
      <w:pPr>
        <w:ind w:left="960" w:right="119" w:hanging="539"/>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w:t>
      </w:r>
      <w:hyperlink r:id="rId122">
        <w:r>
          <w:rPr>
            <w:rFonts w:ascii="Times New Roman" w:cs="Times New Roman" w:eastAsia="Times New Roman" w:hAnsi="Times New Roman"/>
            <w:sz w:val="18"/>
            <w:szCs w:val="18"/>
            <w:u w:val="single" w:color="auto"/>
            <w:color w:val="0000EE"/>
          </w:rPr>
          <w:t>Form of Performance Based Restricted Stock Unit Award Agreement (pre-2024) (incorporated by reference to</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Exhibit 10.15 to Willdan Group, Inc.’s Annual Report on Form 10-K filed on March 10, 2023).</w:t>
        </w:r>
      </w:hyperlink>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80"/>
        <w:spacing w:after="0"/>
        <w:tabs>
          <w:tab w:leader="none" w:pos="43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33020</wp:posOffset>
            </wp:positionV>
            <wp:extent cx="56489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67" w:lineRule="exact"/>
        <w:rPr>
          <w:sz w:val="20"/>
          <w:szCs w:val="20"/>
          <w:color w:val="auto"/>
        </w:rPr>
      </w:pPr>
    </w:p>
    <w:p>
      <w:pPr>
        <w:jc w:val="both"/>
        <w:ind w:left="960" w:right="99" w:hanging="539"/>
        <w:spacing w:after="0" w:line="29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10.4† </w:t>
      </w:r>
      <w:hyperlink r:id="rId125">
        <w:r>
          <w:rPr>
            <w:rFonts w:ascii="Times New Roman" w:cs="Times New Roman" w:eastAsia="Times New Roman" w:hAnsi="Times New Roman"/>
            <w:sz w:val="18"/>
            <w:szCs w:val="18"/>
            <w:u w:val="single" w:color="auto"/>
            <w:color w:val="0000EE"/>
          </w:rPr>
          <w:t>Form of Restricted Stock Award Agreement (pre-2024) (incorporated by reference to Exhibit 10.16 to Willdan</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EE"/>
          </w:rPr>
          <w:t>Group, Inc.’s Annual Report on Form 10-K filed on March 10, 2023).</w:t>
        </w:r>
      </w:hyperlink>
    </w:p>
    <w:p>
      <w:pPr>
        <w:spacing w:after="0" w:line="14" w:lineRule="exact"/>
        <w:rPr>
          <w:sz w:val="20"/>
          <w:szCs w:val="20"/>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26">
        <w:r>
          <w:rPr>
            <w:rFonts w:ascii="Times New Roman" w:cs="Times New Roman" w:eastAsia="Times New Roman" w:hAnsi="Times New Roman"/>
            <w:sz w:val="18"/>
            <w:szCs w:val="18"/>
            <w:u w:val="single" w:color="auto"/>
            <w:color w:val="0000EE"/>
          </w:rPr>
          <w:t>Form of Performance Based Restricted Stock Unit Award Agreement (incorporated by reference to Exhibit</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10.18 to Willdan Group, Inc.’s Annual Report on Form 10-K filed on March 8, 2024).</w:t>
        </w:r>
      </w:hyperlink>
    </w:p>
    <w:p>
      <w:pPr>
        <w:spacing w:after="0" w:line="85" w:lineRule="exact"/>
        <w:rPr>
          <w:sz w:val="20"/>
          <w:szCs w:val="20"/>
          <w:color w:val="auto"/>
        </w:rPr>
      </w:pPr>
    </w:p>
    <w:p>
      <w:pPr>
        <w:ind w:left="960" w:right="259" w:hanging="539"/>
        <w:spacing w:after="0" w:line="29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w:t>
      </w:r>
      <w:hyperlink r:id="rId127">
        <w:r>
          <w:rPr>
            <w:rFonts w:ascii="Times New Roman" w:cs="Times New Roman" w:eastAsia="Times New Roman" w:hAnsi="Times New Roman"/>
            <w:sz w:val="18"/>
            <w:szCs w:val="18"/>
            <w:u w:val="single" w:color="auto"/>
            <w:color w:val="0000EE"/>
          </w:rPr>
          <w:t>Form of Time Based Restricted Stock Unit Award Agreement (incorporated by reference to Exhibit 10.19 to</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EE"/>
          </w:rPr>
          <w:t>Willdan Group, Inc.’s Annual Report on Form 10-K filed on March 8, 2024).</w:t>
        </w:r>
      </w:hyperlink>
    </w:p>
    <w:p>
      <w:pPr>
        <w:spacing w:after="0" w:line="14" w:lineRule="exact"/>
        <w:rPr>
          <w:sz w:val="20"/>
          <w:szCs w:val="20"/>
          <w:color w:val="auto"/>
        </w:rPr>
      </w:pPr>
    </w:p>
    <w:p>
      <w:pPr>
        <w:ind w:left="960" w:right="319" w:hanging="539"/>
        <w:spacing w:after="0" w:line="29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10.7† </w:t>
      </w:r>
      <w:hyperlink r:id="rId128">
        <w:r>
          <w:rPr>
            <w:rFonts w:ascii="Times New Roman" w:cs="Times New Roman" w:eastAsia="Times New Roman" w:hAnsi="Times New Roman"/>
            <w:sz w:val="18"/>
            <w:szCs w:val="18"/>
            <w:u w:val="single" w:color="auto"/>
            <w:color w:val="0000EE"/>
          </w:rPr>
          <w:t>Willdan Group, Inc. Amended and Restated 2008 Performance Incentive Plan (incorporated by reference to</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EE"/>
          </w:rPr>
          <w:t>Exhibit 10.1 to Willdan Group, Inc.’s Current Report on Form 8-K, filed with the SEC on June 14, 2024)</w:t>
        </w:r>
      </w:hyperlink>
    </w:p>
    <w:p>
      <w:pPr>
        <w:spacing w:after="0" w:line="14" w:lineRule="exact"/>
        <w:rPr>
          <w:sz w:val="20"/>
          <w:szCs w:val="20"/>
          <w:color w:val="auto"/>
        </w:rPr>
      </w:pPr>
    </w:p>
    <w:p>
      <w:pPr>
        <w:ind w:left="960" w:right="79" w:hanging="539"/>
        <w:spacing w:after="0" w:line="29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10.8† </w:t>
      </w:r>
      <w:hyperlink r:id="rId129">
        <w:r>
          <w:rPr>
            <w:rFonts w:ascii="Times New Roman" w:cs="Times New Roman" w:eastAsia="Times New Roman" w:hAnsi="Times New Roman"/>
            <w:sz w:val="18"/>
            <w:szCs w:val="18"/>
            <w:u w:val="single" w:color="auto"/>
            <w:color w:val="0000EE"/>
          </w:rPr>
          <w:t>Amended and Restated Willdan Group, Inc. 2006 Employee Stock Purchase Plan (incorporated by reference to</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EE"/>
          </w:rPr>
          <w:t>Exhibit 10.2 to Willdan Group, Inc.’s Current Report on Form 8-K, filed with the SEC on June 9, 2017)</w:t>
        </w:r>
        <w:r>
          <w:rPr>
            <w:rFonts w:ascii="Times New Roman" w:cs="Times New Roman" w:eastAsia="Times New Roman" w:hAnsi="Times New Roman"/>
            <w:sz w:val="18"/>
            <w:szCs w:val="18"/>
            <w:color w:val="000000"/>
          </w:rPr>
          <w:t>.</w:t>
        </w:r>
      </w:hyperlink>
    </w:p>
    <w:p>
      <w:pPr>
        <w:spacing w:after="0" w:line="14" w:lineRule="exact"/>
        <w:rPr>
          <w:sz w:val="20"/>
          <w:szCs w:val="20"/>
          <w:color w:val="auto"/>
        </w:rPr>
      </w:pPr>
    </w:p>
    <w:p>
      <w:pPr>
        <w:jc w:val="both"/>
        <w:ind w:left="960" w:right="119" w:hanging="539"/>
        <w:spacing w:after="0" w:line="26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10.9† </w:t>
      </w:r>
      <w:hyperlink r:id="rId130">
        <w:r>
          <w:rPr>
            <w:rFonts w:ascii="Times New Roman" w:cs="Times New Roman" w:eastAsia="Times New Roman" w:hAnsi="Times New Roman"/>
            <w:sz w:val="18"/>
            <w:szCs w:val="18"/>
            <w:u w:val="single" w:color="auto"/>
            <w:color w:val="0000EE"/>
          </w:rPr>
          <w:t>Form of Indemnification Agreement between Willdan Group, Inc. and its Directors and Officers (incorporated</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EE"/>
          </w:rPr>
          <w:t>by reference to Exhibit 10.1 to Willdan Group, Inc.’s Current Report on Form 8-K, filed with the SEC on June</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13, 2016)</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color w:val="auto"/>
        </w:rPr>
      </w:pPr>
    </w:p>
    <w:p>
      <w:pPr>
        <w:ind w:left="960" w:right="79" w:hanging="629"/>
        <w:spacing w:after="0" w:line="202" w:lineRule="auto"/>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35"/>
          <w:szCs w:val="35"/>
          <w:color w:val="000000"/>
          <w:vertAlign w:val="subscript"/>
        </w:rPr>
        <w:t>10.10†</w:t>
      </w:r>
      <w:r>
        <w:rPr>
          <w:rFonts w:ascii="Times New Roman" w:cs="Times New Roman" w:eastAsia="Times New Roman" w:hAnsi="Times New Roman"/>
          <w:sz w:val="18"/>
          <w:szCs w:val="18"/>
          <w:color w:val="0000EE"/>
        </w:rPr>
        <w:t xml:space="preserve"> </w:t>
      </w:r>
      <w:hyperlink r:id="rId131">
        <w:r>
          <w:rPr>
            <w:rFonts w:ascii="Times New Roman" w:cs="Times New Roman" w:eastAsia="Times New Roman" w:hAnsi="Times New Roman"/>
            <w:sz w:val="18"/>
            <w:szCs w:val="18"/>
            <w:u w:val="single" w:color="auto"/>
            <w:color w:val="0000EE"/>
          </w:rPr>
          <w:t>Consulting Agreement, dated as of February 28, 2024, between Willdan Group, Inc. and Thomas D. Brisbin</w:t>
        </w:r>
      </w:hyperlink>
      <w:r>
        <w:rPr>
          <w:rFonts w:ascii="Times New Roman" w:cs="Times New Roman" w:eastAsia="Times New Roman" w:hAnsi="Times New Roman"/>
          <w:sz w:val="18"/>
          <w:szCs w:val="18"/>
          <w:color w:val="0000EE"/>
        </w:rPr>
        <w:t xml:space="preserve"> </w:t>
      </w:r>
      <w:hyperlink r:id="rId131">
        <w:r>
          <w:rPr>
            <w:rFonts w:ascii="Times New Roman" w:cs="Times New Roman" w:eastAsia="Times New Roman" w:hAnsi="Times New Roman"/>
            <w:sz w:val="18"/>
            <w:szCs w:val="18"/>
            <w:u w:val="single" w:color="auto"/>
            <w:color w:val="0000EE"/>
          </w:rPr>
          <w:t>(incorporated by reference to Exhibit 10.1 to Willdan Group, Inc.’s Current Report on Form 8-K, filed with the</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SEC on February 29, 2024).</w:t>
        </w:r>
      </w:hyperlink>
    </w:p>
    <w:p>
      <w:pPr>
        <w:spacing w:after="0" w:line="23" w:lineRule="exact"/>
        <w:rPr>
          <w:rFonts w:ascii="Times New Roman" w:cs="Times New Roman" w:eastAsia="Times New Roman" w:hAnsi="Times New Roman"/>
          <w:sz w:val="18"/>
          <w:szCs w:val="18"/>
          <w:color w:val="0000EE"/>
        </w:rPr>
      </w:pPr>
    </w:p>
    <w:p>
      <w:pPr>
        <w:jc w:val="both"/>
        <w:ind w:left="960" w:right="79" w:hanging="622"/>
        <w:spacing w:after="0" w:line="27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10.11† </w:t>
      </w:r>
      <w:hyperlink r:id="rId132">
        <w:r>
          <w:rPr>
            <w:rFonts w:ascii="Times New Roman" w:cs="Times New Roman" w:eastAsia="Times New Roman" w:hAnsi="Times New Roman"/>
            <w:sz w:val="18"/>
            <w:szCs w:val="18"/>
            <w:u w:val="single" w:color="auto"/>
            <w:color w:val="0000EE"/>
          </w:rPr>
          <w:t>Employment Agreement, by and between Willdan Group, Inc. and Michael Bieber, dated November 13, 2024</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(incorporated by reference to Exhibit 10.1 to Willdan Group, Inc.’s Current Report on Form 8-K, filed with the</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SEC on November 18, 2024).</w:t>
        </w:r>
      </w:hyperlink>
    </w:p>
    <w:p>
      <w:pPr>
        <w:spacing w:after="0" w:line="34" w:lineRule="exact"/>
        <w:rPr>
          <w:rFonts w:ascii="Times New Roman" w:cs="Times New Roman" w:eastAsia="Times New Roman" w:hAnsi="Times New Roman"/>
          <w:sz w:val="18"/>
          <w:szCs w:val="18"/>
          <w:color w:val="auto"/>
        </w:rPr>
      </w:pPr>
    </w:p>
    <w:p>
      <w:pPr>
        <w:jc w:val="both"/>
        <w:ind w:left="960" w:right="299" w:hanging="629"/>
        <w:spacing w:after="0" w:line="27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10.12† </w:t>
      </w:r>
      <w:hyperlink r:id="rId133">
        <w:r>
          <w:rPr>
            <w:rFonts w:ascii="Times New Roman" w:cs="Times New Roman" w:eastAsia="Times New Roman" w:hAnsi="Times New Roman"/>
            <w:sz w:val="18"/>
            <w:szCs w:val="18"/>
            <w:u w:val="single" w:color="auto"/>
            <w:color w:val="0000EE"/>
          </w:rPr>
          <w:t>Employment Agreement, by and between Willdan Group, Inc. and Creighton K. Early, dated November 13,</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EE"/>
          </w:rPr>
          <w:t>2024 (incorporated by reference to Exhibit 10.2 to Willdan Group, Inc.’s Current Report on Form 8-K, filed</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with the SEC on November 18, 2024).</w:t>
        </w:r>
      </w:hyperlink>
    </w:p>
    <w:p>
      <w:pPr>
        <w:spacing w:after="0" w:line="34" w:lineRule="exact"/>
        <w:rPr>
          <w:rFonts w:ascii="Times New Roman" w:cs="Times New Roman" w:eastAsia="Times New Roman" w:hAnsi="Times New Roman"/>
          <w:sz w:val="18"/>
          <w:szCs w:val="18"/>
          <w:color w:val="auto"/>
        </w:rPr>
      </w:pPr>
    </w:p>
    <w:p>
      <w:pPr>
        <w:ind w:left="960" w:right="79" w:hanging="629"/>
        <w:spacing w:after="0" w:line="27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10.13† </w:t>
      </w:r>
      <w:hyperlink r:id="rId134">
        <w:r>
          <w:rPr>
            <w:rFonts w:ascii="Times New Roman" w:cs="Times New Roman" w:eastAsia="Times New Roman" w:hAnsi="Times New Roman"/>
            <w:sz w:val="18"/>
            <w:szCs w:val="18"/>
            <w:u w:val="single" w:color="auto"/>
            <w:color w:val="0000EE"/>
          </w:rPr>
          <w:t>Employment Agreement, by and between Willdan Group, Inc. and Micah Chen, dated November 13, 2024</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EE"/>
          </w:rPr>
          <w:t>(incorporated by reference to Exhibit 10.3 to Willdan Group, Inc.’s Current Report on Form 8-K, filed with the</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SEC on November 18, 2024).</w:t>
        </w:r>
      </w:hyperlink>
    </w:p>
    <w:p>
      <w:pPr>
        <w:spacing w:after="0" w:line="34"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0000EE"/>
        </w:rPr>
        <w:t>Insider Trading Policy.</w:t>
      </w:r>
    </w:p>
    <w:p>
      <w:pPr>
        <w:spacing w:after="0" w:line="90"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0000EE"/>
        </w:rPr>
        <w:t>Subsidiaries of Willdan Group, Inc.</w:t>
      </w:r>
    </w:p>
    <w:p>
      <w:pPr>
        <w:spacing w:after="0" w:line="90"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EE"/>
        </w:rPr>
        <w:t>Consent of Crowe LLP.</w:t>
      </w:r>
    </w:p>
    <w:p>
      <w:pPr>
        <w:spacing w:after="0" w:line="90"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0000EE"/>
        </w:rPr>
        <w:t>Power of Attorney (included on signature page hereto)</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60" w:right="679" w:hanging="539"/>
        <w:spacing w:after="0" w:line="297"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Rule 13a-14(a) and 15d-14(a) under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Exchange Act of 1934, as adopted pursuant to § 302 of the Sarbanes-Oxley Act of 2002.</w:t>
      </w:r>
    </w:p>
    <w:p>
      <w:pPr>
        <w:spacing w:after="0" w:line="14" w:lineRule="exact"/>
        <w:rPr>
          <w:rFonts w:ascii="Times New Roman" w:cs="Times New Roman" w:eastAsia="Times New Roman" w:hAnsi="Times New Roman"/>
          <w:sz w:val="18"/>
          <w:szCs w:val="18"/>
          <w:color w:val="auto"/>
        </w:rPr>
      </w:pPr>
    </w:p>
    <w:p>
      <w:pPr>
        <w:ind w:left="960" w:right="79" w:hanging="539"/>
        <w:spacing w:after="0" w:line="297"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Rule 13a-14(a) or 15d-14(a) under the Securities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Act of 1934, as adopted pursuant to § 302 of the Sarbanes-Oxley Act of 2002.</w:t>
      </w:r>
    </w:p>
    <w:p>
      <w:pPr>
        <w:spacing w:after="0" w:line="14" w:lineRule="exact"/>
        <w:rPr>
          <w:rFonts w:ascii="Times New Roman" w:cs="Times New Roman" w:eastAsia="Times New Roman" w:hAnsi="Times New Roman"/>
          <w:sz w:val="18"/>
          <w:szCs w:val="18"/>
          <w:color w:val="auto"/>
        </w:rPr>
      </w:pPr>
    </w:p>
    <w:p>
      <w:pPr>
        <w:ind w:left="960" w:right="219" w:hanging="629"/>
        <w:spacing w:after="0" w:line="297"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Certifications of Chief Executive Officer and Chief Financial Officer pursuant to 18 U.S.C. 1350, as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 906 of the Sarbanes-Oxley Act of 2002.</w:t>
      </w:r>
    </w:p>
    <w:p>
      <w:pPr>
        <w:spacing w:after="0" w:line="14" w:lineRule="exact"/>
        <w:rPr>
          <w:rFonts w:ascii="Times New Roman" w:cs="Times New Roman" w:eastAsia="Times New Roman" w:hAnsi="Times New Roman"/>
          <w:sz w:val="18"/>
          <w:szCs w:val="18"/>
          <w:color w:val="auto"/>
        </w:rPr>
      </w:pPr>
    </w:p>
    <w:p>
      <w:pPr>
        <w:ind w:left="960" w:right="199" w:hanging="315"/>
        <w:spacing w:after="0" w:line="297" w:lineRule="auto"/>
        <w:tabs>
          <w:tab w:leader="none" w:pos="960" w:val="left"/>
        </w:tabs>
        <w:numPr>
          <w:ilvl w:val="0"/>
          <w:numId w:val="30"/>
        </w:numPr>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Policy Relating to Recovery of Erroneously Awarded Compensation (incorporated by reference to Exhibit 97</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to Willdan Group, Inc.’s Annual Report on Form 10-K filed on March 8, 2024).</w:t>
        </w:r>
      </w:hyperlink>
    </w:p>
    <w:p>
      <w:pPr>
        <w:spacing w:after="0" w:line="14" w:lineRule="exact"/>
        <w:rPr>
          <w:rFonts w:ascii="Times New Roman" w:cs="Times New Roman" w:eastAsia="Times New Roman" w:hAnsi="Times New Roman"/>
          <w:sz w:val="18"/>
          <w:szCs w:val="18"/>
          <w:color w:val="auto"/>
        </w:rPr>
      </w:pPr>
    </w:p>
    <w:tbl>
      <w:tblPr>
        <w:tblLayout w:type="fixed"/>
        <w:tblInd w:w="60" w:type="dxa"/>
        <w:tblCellMar>
          <w:top w:w="0" w:type="dxa"/>
          <w:left w:w="0" w:type="dxa"/>
          <w:bottom w:w="0" w:type="dxa"/>
          <w:right w:w="0" w:type="dxa"/>
        </w:tblCellMar>
      </w:tblPr>
      <w:tr>
        <w:trPr>
          <w:trHeight w:val="229"/>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w:t>
            </w:r>
          </w:p>
        </w:tc>
      </w:tr>
      <w:tr>
        <w:trPr>
          <w:trHeight w:val="234"/>
        </w:trPr>
        <w:tc>
          <w:tcPr>
            <w:tcW w:w="840" w:type="dxa"/>
            <w:vAlign w:val="bottom"/>
          </w:tcPr>
          <w:p>
            <w:pPr>
              <w:spacing w:after="0"/>
              <w:rPr>
                <w:sz w:val="20"/>
                <w:szCs w:val="20"/>
                <w:color w:val="auto"/>
              </w:rPr>
            </w:pP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9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101.SCH*</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101.CAL*</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9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101.LAB*</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1">
            <w:col w:w="9019"/>
          </w:cols>
          <w:pgMar w:left="1440" w:top="513" w:right="1440" w:bottom="1440" w:gutter="0" w:footer="0" w:header="0"/>
        </w:sectPr>
      </w:pPr>
    </w:p>
    <w:p>
      <w:pPr>
        <w:spacing w:after="0" w:line="25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33020</wp:posOffset>
            </wp:positionV>
            <wp:extent cx="4883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41910</wp:posOffset>
            </wp:positionV>
            <wp:extent cx="50749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640" w:space="720"/>
            <w:col w:w="4659"/>
          </w:cols>
          <w:pgMar w:left="1440" w:top="513" w:right="144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101.PRE*  Inline XBRL Taxonomy Extension Label Linkbase Document</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101.DEF*  Inline XBRL Taxonomy Extension Presentation Linkbase Document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248920</wp:posOffset>
            </wp:positionV>
            <wp:extent cx="14141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79" w:lineRule="exact"/>
        <w:rPr>
          <w:sz w:val="20"/>
          <w:szCs w:val="20"/>
          <w:color w:val="auto"/>
        </w:rPr>
      </w:pPr>
    </w:p>
    <w:p>
      <w:pPr>
        <w:ind w:left="700" w:right="299" w:hanging="650"/>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referenced exhibit have been omitted pursuant to Item 601(b) of Regulation S-K because it (i) is not material and (ii) would be competitively harmful if publicly disclosed.</w:t>
      </w:r>
    </w:p>
    <w:p>
      <w:pPr>
        <w:spacing w:after="0" w:line="216"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compensating plan or arrangement.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WILLDAN GROUP, INC.</w:t>
      </w:r>
    </w:p>
    <w:p>
      <w:pPr>
        <w:spacing w:after="0" w:line="2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reighton</w:t>
      </w:r>
      <w:r>
        <w:rPr>
          <w:rFonts w:ascii="Times New Roman" w:cs="Times New Roman" w:eastAsia="Times New Roman" w:hAnsi="Times New Roman"/>
          <w:sz w:val="18"/>
          <w:szCs w:val="18"/>
          <w:color w:val="auto"/>
        </w:rPr>
        <w:t xml:space="preserve"> K. E</w:t>
      </w:r>
      <w:r>
        <w:rPr>
          <w:rFonts w:ascii="Times New Roman" w:cs="Times New Roman" w:eastAsia="Times New Roman" w:hAnsi="Times New Roman"/>
          <w:sz w:val="12"/>
          <w:szCs w:val="12"/>
          <w:color w:val="auto"/>
        </w:rPr>
        <w:t>arly</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774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March 6, 2025</w:t>
      </w:r>
    </w:p>
    <w:p>
      <w:pPr>
        <w:spacing w:after="0" w:line="16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constitutes and appoints Creighton K. Early his/her attorney-in-fact, with the power of substitution, for him/her in any and all capacities, to sign any amendments to this Report on Form 10-K and to file the same, with Exhibits thereto and other documents in connection therewith with the SEC, hereby ratifying and confirming all that said attorney-in-fact, or substitute or substitutes may do or cause to be done by virtue hereof.</w:t>
      </w:r>
    </w:p>
    <w:p>
      <w:pPr>
        <w:spacing w:after="0" w:line="11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63" w:lineRule="exact"/>
        <w:rPr>
          <w:sz w:val="20"/>
          <w:szCs w:val="20"/>
          <w:color w:val="auto"/>
        </w:rPr>
      </w:pPr>
    </w:p>
    <w:p>
      <w:pPr>
        <w:ind w:left="1180"/>
        <w:spacing w:after="0"/>
        <w:tabs>
          <w:tab w:leader="none" w:pos="4920" w:val="left"/>
          <w:tab w:leader="none" w:pos="798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5648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ieber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reighton</w:t>
      </w:r>
      <w:r>
        <w:rPr>
          <w:rFonts w:ascii="Times New Roman" w:cs="Times New Roman" w:eastAsia="Times New Roman" w:hAnsi="Times New Roman"/>
          <w:sz w:val="18"/>
          <w:szCs w:val="18"/>
          <w:color w:val="auto"/>
        </w:rPr>
        <w:t xml:space="preserve"> K. E</w:t>
      </w:r>
      <w:r>
        <w:rPr>
          <w:rFonts w:ascii="Times New Roman" w:cs="Times New Roman" w:eastAsia="Times New Roman" w:hAnsi="Times New Roman"/>
          <w:sz w:val="12"/>
          <w:szCs w:val="12"/>
          <w:color w:val="auto"/>
        </w:rPr>
        <w:t>arly</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homas</w:t>
      </w:r>
      <w:r>
        <w:rPr>
          <w:rFonts w:ascii="Times New Roman" w:cs="Times New Roman" w:eastAsia="Times New Roman" w:hAnsi="Times New Roman"/>
          <w:sz w:val="18"/>
          <w:szCs w:val="18"/>
          <w:color w:val="auto"/>
        </w:rPr>
        <w:t xml:space="preserve"> D. B</w:t>
      </w:r>
      <w:r>
        <w:rPr>
          <w:rFonts w:ascii="Times New Roman" w:cs="Times New Roman" w:eastAsia="Times New Roman" w:hAnsi="Times New Roman"/>
          <w:sz w:val="12"/>
          <w:szCs w:val="12"/>
          <w:color w:val="auto"/>
        </w:rPr>
        <w:t>risbin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Thomas D. Brisbin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teven</w:t>
      </w:r>
      <w:r>
        <w:rPr>
          <w:rFonts w:ascii="Times New Roman" w:cs="Times New Roman" w:eastAsia="Times New Roman" w:hAnsi="Times New Roman"/>
          <w:sz w:val="18"/>
          <w:szCs w:val="18"/>
          <w:color w:val="auto"/>
        </w:rPr>
        <w:t xml:space="preserve"> A. C</w:t>
      </w:r>
      <w:r>
        <w:rPr>
          <w:rFonts w:ascii="Times New Roman" w:cs="Times New Roman" w:eastAsia="Times New Roman" w:hAnsi="Times New Roman"/>
          <w:sz w:val="12"/>
          <w:szCs w:val="12"/>
          <w:color w:val="auto"/>
        </w:rPr>
        <w:t>ohen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Steven A.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ynthia</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ownes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Cynthia A. Downes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ennis</w:t>
      </w:r>
      <w:r>
        <w:rPr>
          <w:rFonts w:ascii="Times New Roman" w:cs="Times New Roman" w:eastAsia="Times New Roman" w:hAnsi="Times New Roman"/>
          <w:sz w:val="18"/>
          <w:szCs w:val="18"/>
          <w:color w:val="auto"/>
        </w:rPr>
        <w:t xml:space="preserve"> V.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inn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Dennis V. McGinn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anda</w:t>
      </w:r>
      <w:r>
        <w:rPr>
          <w:rFonts w:ascii="Times New Roman" w:cs="Times New Roman" w:eastAsia="Times New Roman" w:hAnsi="Times New Roman"/>
          <w:sz w:val="18"/>
          <w:szCs w:val="18"/>
          <w:color w:val="auto"/>
        </w:rPr>
        <w:t xml:space="preserve"> K. R</w:t>
      </w:r>
      <w:r>
        <w:rPr>
          <w:rFonts w:ascii="Times New Roman" w:cs="Times New Roman" w:eastAsia="Times New Roman" w:hAnsi="Times New Roman"/>
          <w:sz w:val="12"/>
          <w:szCs w:val="12"/>
          <w:color w:val="auto"/>
        </w:rPr>
        <w:t>eder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Wanda K. Reder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ohammad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hahidehpour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Mohammad Shahidehpour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7830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126"/>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6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6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6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6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6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2300" w:space="720"/>
            <w:col w:w="599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References to the “Company,” “Willdan,” “we,” “us” and “our” in this section refer to Willdan Group, Inc.</w:t>
      </w:r>
    </w:p>
    <w:p>
      <w:pPr>
        <w:spacing w:after="0" w:line="214" w:lineRule="exact"/>
        <w:rPr>
          <w:sz w:val="20"/>
          <w:szCs w:val="20"/>
          <w:color w:val="auto"/>
        </w:rPr>
      </w:pPr>
    </w:p>
    <w:p>
      <w:pPr>
        <w:ind w:left="200" w:right="379"/>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only. For more detailed information, please see our restated certificate of incorporation, or Certificate of Incorporation and second amended and restated bylaws, or Bylaws, which are filed as exhibits to reports we file with the Securities and Exchange Commission, and the Delaware General Corporation Law, or DGCL.</w:t>
      </w:r>
    </w:p>
    <w:p>
      <w:pPr>
        <w:spacing w:after="0" w:line="1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left="200" w:right="879"/>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40,000,000 shares of common stock, par value of $0.01 per share, and 10,000,000 shares of preferred stock, par value $0.01 per share.</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stockholders, including the election or removal of directors. Our directors are elected by a plurality of the votes cast by stockholders present in person, by remote communication, or represented by proxy at a meeting and entitled to vote on the election. All other matters to be voted on by stockholders must be approved by the affirmative vote of the majority of the voting power of all issued and outstanding shares of our capital stock present in person, by remote communication, or represented by proxy at a meeting and entitled to vote generally on the subject matter thereof, subject to any voting rights granted to holders of any preferred stock.</w:t>
      </w:r>
    </w:p>
    <w:p>
      <w:pPr>
        <w:spacing w:after="0" w:line="175"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There are no cumulative voting rights for the election of directors, which means that the holders of a majority of the shares of our common stock voted are entitled to elect all of our directors.</w:t>
      </w:r>
    </w:p>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then-outstanding shares of any series of our preferred stock, holders of our common stock are entitled to receive ratably any dividends that may be declared by our board of directors out of funds legally available therefor.</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ind w:left="200" w:right="239"/>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holders of our common stock would be entitled to share ratably in all assets available for distribution to stockholders after the payment of or provision for all of our debts and other liabilities and the satisfaction of any liquidation preference granted to the holders of any then-outstanding shares of preferred stock.</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227"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Holders of our common stock do not have preemptive rights to purchase shares of our stock. The shares of our common stock are not subject to any redemption provisions and are not convertible into any other shares of our capital stock. The rights, preferences and privileges of holders of our common stock will be subject to those of the holders of any shares of our preferred stock which we may issue in the future.</w:t>
      </w:r>
    </w:p>
    <w:p>
      <w:pPr>
        <w:spacing w:after="0" w:line="1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Blank Check Preferred Stock</w:t>
      </w:r>
    </w:p>
    <w:p>
      <w:pPr>
        <w:spacing w:after="0" w:line="229" w:lineRule="exact"/>
        <w:rPr>
          <w:sz w:val="20"/>
          <w:szCs w:val="20"/>
          <w:color w:val="auto"/>
        </w:rPr>
      </w:pPr>
    </w:p>
    <w:p>
      <w:pPr>
        <w:ind w:left="200" w:right="379"/>
        <w:spacing w:after="0" w:line="261"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has the authority, without further action by our stockholders, to issue preferred stock in one or more series and to fix the rights, preferences, privileges and restrictions thereof, including voting rights, dividend rights, conversion rights, redemption privileges and liquidation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ind w:left="200" w:right="259"/>
        <w:spacing w:after="0" w:line="254"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make it more difficult for a third party to acquire, or could adversely affect the rights of our common stockholders by restricting dividends on the common stock, diluting the voting power of the common stock, impairing the liquidation rights of the common stock or delaying or preventing a change in control without further action by the stockholders. As a result of these or other factors, the issuance of preferred stock could have an adverse impact on the market price of our common stock.</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the Certificate of Incorporation and the Bylaws</w:t>
      </w:r>
    </w:p>
    <w:p>
      <w:pPr>
        <w:spacing w:after="0" w:line="229" w:lineRule="exact"/>
        <w:rPr>
          <w:sz w:val="20"/>
          <w:szCs w:val="20"/>
          <w:color w:val="auto"/>
        </w:rPr>
      </w:pPr>
    </w:p>
    <w:p>
      <w:pPr>
        <w:ind w:left="200" w:right="579"/>
        <w:spacing w:after="0" w:line="266" w:lineRule="auto"/>
        <w:rPr>
          <w:sz w:val="20"/>
          <w:szCs w:val="20"/>
          <w:color w:val="auto"/>
        </w:rPr>
      </w:pPr>
      <w:r>
        <w:rPr>
          <w:rFonts w:ascii="Times New Roman" w:cs="Times New Roman" w:eastAsia="Times New Roman" w:hAnsi="Times New Roman"/>
          <w:sz w:val="18"/>
          <w:szCs w:val="18"/>
          <w:color w:val="auto"/>
        </w:rPr>
        <w:t>Set forth below is a summary of the relevant provisions of our Certificate of Incorporation and Bylaws and certain applicable sections of the DGCL. For additional information, please refer to the provisions of the Company’s Certificate of Incorporation, our Bylaws and such sections of the DGCL.</w:t>
      </w:r>
    </w:p>
    <w:p>
      <w:pPr>
        <w:spacing w:after="0" w:line="149"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are intended to enhance the likelihood of continuity and stability in the composition of our board of directors and that could make it more difficult to acquire control of the Company by means of a tender offer, open market purchases, a proxy contest or otherwise.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acquisitions that some stockholders may favor. A description of these provisions is set forth below.</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the Chairman of the board of directors, the Chief Executive Officer, or the board of directors pursuant to a resolution adopted by a majority of the total number of authorized directors (whether or not there exist any vacancies in previously authorized directorships at the time any such resolution is presented to the board of directors for adoption). Stockholders are not permitted to call a special meeting or require our board of directors to call a special meeting.</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Supermajority Vote to Amend Certificate of Incorporation and Bylaws</w:t>
      </w:r>
    </w:p>
    <w:p>
      <w:pPr>
        <w:spacing w:after="0" w:line="227"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approval of at least seventy-five percent of the outstanding shares of our common stock is required to amend certain provisions of its Certificate of Incorporation. Our Bylaws provide that they may only be amended in accordance with our Certificate of Incorporation, which provides that the approval of a majority of our board of directors or of the holders of at least seventy-five percent of the outstanding shares of our common stock is required to amend our Bylaws.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ind w:left="200" w:right="399"/>
        <w:spacing w:after="0" w:line="261"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Certificate of Incorporation does not grant stockholders the right to vote cumulatively. Therefore, stockholders holding a majority of the shares of common stock outstanding are able to elect all of our directors.</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227" w:lineRule="exact"/>
        <w:rPr>
          <w:sz w:val="20"/>
          <w:szCs w:val="20"/>
          <w:color w:val="auto"/>
        </w:rPr>
      </w:pPr>
    </w:p>
    <w:p>
      <w:pPr>
        <w:ind w:left="200" w:right="399"/>
        <w:spacing w:after="0" w:line="258" w:lineRule="auto"/>
        <w:rPr>
          <w:sz w:val="20"/>
          <w:szCs w:val="20"/>
          <w:color w:val="auto"/>
        </w:rPr>
      </w:pPr>
      <w:r>
        <w:rPr>
          <w:rFonts w:ascii="Times New Roman" w:cs="Times New Roman" w:eastAsia="Times New Roman" w:hAnsi="Times New Roman"/>
          <w:sz w:val="18"/>
          <w:szCs w:val="18"/>
          <w:color w:val="auto"/>
        </w:rPr>
        <w:t>Our Bylaws provide that all stockholder actions are required to be taken by a vote of the stockholders at an annual or special meeting, and that stockholders may not take any action by written consent in lieu of a meeting; provided that any action required or permitted to be taken by the holders of any series of preferred stock, voting separately as a series or separately as a class with one or more other such series, may be taken without a meeting to the extent expressly so provided by the applicable certificate of designation relating to such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334010</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3" w:name="page114"/>
    <w:bookmarkEnd w:id="113"/>
    <w:p>
      <w:pPr>
        <w:ind w:left="200"/>
        <w:spacing w:after="0"/>
        <w:rPr>
          <w:sz w:val="20"/>
          <w:szCs w:val="20"/>
          <w:color w:val="auto"/>
        </w:rPr>
      </w:pPr>
      <w:r>
        <w:rPr>
          <w:rFonts w:ascii="Times New Roman" w:cs="Times New Roman" w:eastAsia="Times New Roman" w:hAnsi="Times New Roman"/>
          <w:sz w:val="18"/>
          <w:szCs w:val="18"/>
          <w:i w:val="1"/>
          <w:iCs w:val="1"/>
          <w:color w:val="auto"/>
        </w:rPr>
        <w:t>Advance Notice Procedure</w:t>
      </w:r>
    </w:p>
    <w:p>
      <w:pPr>
        <w:spacing w:after="0" w:line="227" w:lineRule="exact"/>
        <w:rPr>
          <w:sz w:val="20"/>
          <w:szCs w:val="20"/>
          <w:color w:val="auto"/>
        </w:rPr>
      </w:pPr>
    </w:p>
    <w:p>
      <w:pPr>
        <w:ind w:left="200" w:right="339"/>
        <w:spacing w:after="0" w:line="261" w:lineRule="auto"/>
        <w:rPr>
          <w:sz w:val="20"/>
          <w:szCs w:val="20"/>
          <w:color w:val="auto"/>
        </w:rPr>
      </w:pPr>
      <w:r>
        <w:rPr>
          <w:rFonts w:ascii="Times New Roman" w:cs="Times New Roman" w:eastAsia="Times New Roman" w:hAnsi="Times New Roman"/>
          <w:sz w:val="18"/>
          <w:szCs w:val="18"/>
          <w:color w:val="auto"/>
        </w:rPr>
        <w:t>Our Bylaws provide that our stockholders have no power to call a special meeting of the stockholders and that only such business brought before the meeting pursuant to the notice of meeting may be conducted at a special meeting of stockholders. Our Bylaws also limit the business that may be conducted at an annual meeting of stockholders to those matters properly brought before the meeting.</w:t>
      </w:r>
    </w:p>
    <w:p>
      <w:pPr>
        <w:spacing w:after="0" w:line="166"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to make nominations of candidates for election as directors or bring other business before an annual or special meeting of the stockholders. This notice procedure provides that only persons who are nominated by, or at the direction of, our board of directors or any duly authorized committee of the board of directors, or by a stockholder who was a stockholder of record at the time of giving the stockholder’s notice and at the time of the meeting, who is entitled to vote at the meeting and who has given us timely written notice to the secretary of the Company prior to the meeting at which directors are to be elected, will be eligible for election as directors. The notice procedure also requires that proposals of other business to be considered by the stockholders at an annual or special meeting of stockholders may only be made by, or at the direction of, our board of directors or any duly authorized committee of the board of directors, or by a stockholder who was a stockholder of record at the time of giving the stockholder’s notice and at the time of the meeting, who is entitled to vote at the meeting and who has given timely written notice to the secretary of the Company prior to the meeting. Additionally, such notice must be updated and supplemented on a timely basis as set forth in the Bylaws.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 as applicable. Our amended and restated bylaws also specify certain requirements regarding the form and content of a stockholder’s notice.</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227" w:lineRule="exact"/>
        <w:rPr>
          <w:sz w:val="20"/>
          <w:szCs w:val="20"/>
          <w:color w:val="auto"/>
        </w:rPr>
      </w:pPr>
    </w:p>
    <w:p>
      <w:pPr>
        <w:ind w:left="200" w:right="479"/>
        <w:spacing w:after="0" w:line="253" w:lineRule="auto"/>
        <w:rPr>
          <w:sz w:val="20"/>
          <w:szCs w:val="20"/>
          <w:color w:val="auto"/>
        </w:rPr>
      </w:pPr>
      <w:r>
        <w:rPr>
          <w:rFonts w:ascii="Times New Roman" w:cs="Times New Roman" w:eastAsia="Times New Roman" w:hAnsi="Times New Roman"/>
          <w:sz w:val="18"/>
          <w:szCs w:val="18"/>
          <w:color w:val="auto"/>
        </w:rPr>
        <w:t>The Company’s Certificate of Incorporation provides for 10,000,000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 of our Company and its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our Company.</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18"/>
          <w:szCs w:val="18"/>
          <w:color w:val="auto"/>
        </w:rPr>
        <w:t>Under Delaware law, our authorized but unissued shares of common stock are available for future issuance without stockholder approval. The Company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our Company by means of a proxy contest, tender offer, merger or otherwise.</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227"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does not opt out of Section 203 of the DGCL. Subject to certain exceptions, Section 203 prohibits a publicly-held Delaware corporation from engaging in a “business combination” with an “interested stockholder” for a three-year period following the time that such stockholder became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14" w:name="page115"/>
    <w:bookmarkEnd w:id="114"/>
    <w:p>
      <w:pPr>
        <w:ind w:left="200" w:right="379"/>
        <w:spacing w:after="0" w:line="282" w:lineRule="auto"/>
        <w:rPr>
          <w:sz w:val="20"/>
          <w:szCs w:val="20"/>
          <w:color w:val="auto"/>
        </w:rPr>
      </w:pPr>
      <w:r>
        <w:rPr>
          <w:rFonts w:ascii="Times New Roman" w:cs="Times New Roman" w:eastAsia="Times New Roman" w:hAnsi="Times New Roman"/>
          <w:sz w:val="18"/>
          <w:szCs w:val="18"/>
          <w:color w:val="auto"/>
        </w:rPr>
        <w:t>voting stock. Under Section 203, such a business combination between a corporation and an interested stockholder is prohibited unless it satisfies one of the following three conditions:</w:t>
      </w:r>
    </w:p>
    <w:p>
      <w:pPr>
        <w:spacing w:after="0" w:line="148" w:lineRule="exact"/>
        <w:rPr>
          <w:sz w:val="20"/>
          <w:szCs w:val="20"/>
          <w:color w:val="auto"/>
        </w:rPr>
      </w:pPr>
    </w:p>
    <w:p>
      <w:pPr>
        <w:ind w:left="860" w:right="359" w:hanging="327"/>
        <w:spacing w:after="0" w:line="261" w:lineRule="auto"/>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that resulted in the stockholder becoming an interested stockholder;</w:t>
      </w:r>
    </w:p>
    <w:p>
      <w:pPr>
        <w:ind w:left="860" w:right="239" w:hanging="327"/>
        <w:spacing w:after="0" w:line="250" w:lineRule="auto"/>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18"/>
          <w:szCs w:val="18"/>
          <w:color w:val="auto"/>
        </w:rPr>
      </w:pPr>
    </w:p>
    <w:p>
      <w:pPr>
        <w:ind w:left="860" w:right="259" w:hanging="327"/>
        <w:spacing w:after="0" w:line="253" w:lineRule="auto"/>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62" w:lineRule="exact"/>
        <w:rPr>
          <w:sz w:val="20"/>
          <w:szCs w:val="20"/>
          <w:color w:val="auto"/>
        </w:rPr>
      </w:pPr>
    </w:p>
    <w:p>
      <w:pPr>
        <w:ind w:left="200" w:right="379"/>
        <w:spacing w:after="0" w:line="256" w:lineRule="auto"/>
        <w:rPr>
          <w:sz w:val="20"/>
          <w:szCs w:val="20"/>
          <w:color w:val="auto"/>
        </w:rPr>
      </w:pPr>
      <w:r>
        <w:rPr>
          <w:rFonts w:ascii="Times New Roman" w:cs="Times New Roman" w:eastAsia="Times New Roman" w:hAnsi="Times New Roman"/>
          <w:sz w:val="18"/>
          <w:szCs w:val="18"/>
          <w:color w:val="auto"/>
        </w:rPr>
        <w:t>The overall effect of the foregoing provisions may be to deter a future tender offer and, as a consequence, they may also inhibit temporary fluctuations in the market price of our common stock that often result from actual or rumored tender offers. Stockholders might view such an offer to be in their best interest should the offer include a substantial premium over the market price of our common stock at that time. In addition, these provisions may have the effect of assisting our management to retain its position and place it in a better position to resist changes that the stockholders may want to make if dissatisfied with the conduct of our business.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87" w:lineRule="exact"/>
        <w:rPr>
          <w:sz w:val="20"/>
          <w:szCs w:val="20"/>
          <w:color w:val="auto"/>
        </w:rPr>
      </w:pPr>
    </w:p>
    <w:p>
      <w:pPr>
        <w:jc w:val="both"/>
        <w:ind w:left="200" w:right="219"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to the fullest extent permitted by law, the exclusive forum for (a) any derivative action or proceeding brought on our behalf, (b) any action asserting a breach of fiduciary duty owed by any of our directors, officers or employees to us or our stockholders, (c) any action asserting a claim against us or any of our directors, officers or employees arising pursuant to the DGCL, the Certificate of Incorporation or the Bylaws, (d) any action seeking to interpret, apply, enforce or determine the validity of the Certificate of Incorporation or Bylaws, (e) any action as to which the DGCL confers jurisdiction on the Court of Chancery of the State of Delaware, or (f) or any action asserting a claim against us that is governed by the internal affairs doctrine. This exclusive forum provision is intended to apply to claims arising under Delaware state law and would not apply to claims brought pursuant to the Securities Act or any other claim for which the federal courts have exclusive jurisdiction.</w:t>
      </w:r>
    </w:p>
    <w:p>
      <w:pPr>
        <w:spacing w:after="0" w:line="219" w:lineRule="exact"/>
        <w:rPr>
          <w:sz w:val="20"/>
          <w:szCs w:val="20"/>
          <w:color w:val="auto"/>
        </w:rPr>
      </w:pPr>
    </w:p>
    <w:p>
      <w:pPr>
        <w:jc w:val="both"/>
        <w:ind w:left="200" w:right="259" w:firstLine="324"/>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applicable law, the federal district courts of the United States of America will be the exclusive forum for the resolution of any complaint asserting a cause of action arising under the Securities Act.</w:t>
      </w:r>
    </w:p>
    <w:p>
      <w:pPr>
        <w:spacing w:after="0" w:line="176" w:lineRule="exact"/>
        <w:rPr>
          <w:sz w:val="20"/>
          <w:szCs w:val="20"/>
          <w:color w:val="auto"/>
        </w:rPr>
      </w:pPr>
    </w:p>
    <w:p>
      <w:pPr>
        <w:jc w:val="both"/>
        <w:ind w:left="200" w:right="219" w:firstLine="324"/>
        <w:spacing w:after="0" w:line="26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w:t>
      </w:r>
    </w:p>
    <w:p>
      <w:pPr>
        <w:spacing w:after="0" w:line="229" w:lineRule="exact"/>
        <w:rPr>
          <w:sz w:val="20"/>
          <w:szCs w:val="20"/>
          <w:color w:val="auto"/>
        </w:rPr>
      </w:pPr>
    </w:p>
    <w:p>
      <w:pPr>
        <w:ind w:left="200" w:right="37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limit the liability of directors to the fullest extent permitted by Delaware law. The effect of these provisions is to eliminate our rights and the rights of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ind w:left="200" w:right="219"/>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allows and our Bylaws require that we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officers.</w:t>
      </w:r>
    </w:p>
    <w:p>
      <w:pPr>
        <w:spacing w:after="0" w:line="166" w:lineRule="exact"/>
        <w:rPr>
          <w:sz w:val="20"/>
          <w:szCs w:val="20"/>
          <w:color w:val="auto"/>
        </w:rPr>
      </w:pPr>
    </w:p>
    <w:p>
      <w:pPr>
        <w:ind w:left="200" w:right="399"/>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w:t>
      </w:r>
    </w:p>
    <w:p>
      <w:pPr>
        <w:spacing w:after="0" w:line="153" w:lineRule="exact"/>
        <w:rPr>
          <w:sz w:val="20"/>
          <w:szCs w:val="20"/>
          <w:color w:val="auto"/>
        </w:rPr>
      </w:pPr>
    </w:p>
    <w:p>
      <w:pPr>
        <w:ind w:left="200" w:right="239"/>
        <w:spacing w:after="0" w:line="256" w:lineRule="auto"/>
        <w:rPr>
          <w:sz w:val="20"/>
          <w:szCs w:val="20"/>
          <w:color w:val="auto"/>
        </w:rPr>
      </w:pPr>
      <w:r>
        <w:rPr>
          <w:rFonts w:ascii="Times New Roman" w:cs="Times New Roman" w:eastAsia="Times New Roman" w:hAnsi="Times New Roman"/>
          <w:sz w:val="18"/>
          <w:szCs w:val="18"/>
          <w:color w:val="auto"/>
        </w:rPr>
        <w:t>In addition to the indemnification in our Certificate of Incorporation and Bylaws,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believe that these Bylaw provisions and indemnification agreements, as well as our maintaining directors’ and officers’ liability insurance, help to attract and retain qualified persons as directors and officers.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common stock is listed on Nasdaq under the symbol “WLDN.”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WILLDAN GROUP,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2019</w:t>
      </w:r>
    </w:p>
    <w:p>
      <w:pPr>
        <w:spacing w:after="0" w:line="200" w:lineRule="exact"/>
        <w:rPr>
          <w:sz w:val="20"/>
          <w:szCs w:val="20"/>
          <w:color w:val="auto"/>
        </w:rPr>
      </w:pPr>
    </w:p>
    <w:p>
      <w:pPr>
        <w:spacing w:after="0" w:line="222" w:lineRule="exact"/>
        <w:rPr>
          <w:sz w:val="20"/>
          <w:szCs w:val="20"/>
          <w:color w:val="auto"/>
        </w:rPr>
      </w:pPr>
    </w:p>
    <w:p>
      <w:pPr>
        <w:ind w:left="860" w:hanging="651"/>
        <w:spacing w:after="0"/>
        <w:tabs>
          <w:tab w:leader="none" w:pos="86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Federal and state securities laws prohibit any member of the Board of Directors (the “Board”) of Willdan Group, Inc. and its subsidiaries (collectively, the “Company”), their officers and employees and certain “outsiders” of the Company (a) from purchasing or selling Company securities on the basis of Material Nonpublic Information (as defined below) concerning the Company, and (b) from disclosing Material Nonpublic Information to others who might trade on the basis of that information. The Company hereby amends and restates its 2008 Insider Trading Policy by adopting this 2019 Insider Trading Policy (the “Policy”) to provide guidelines to employees, officers, directors and certain outsiders of the Company with respect to transactions involving the Company’s securities.</w:t>
      </w:r>
    </w:p>
    <w:p>
      <w:pPr>
        <w:spacing w:after="0" w:line="18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Company has adopted this policy to promote compliance with federal and state insider trading laws and to protect the Company and its directors, officers and employees (including employees and officers of subsidiaries of the Company) from the serious liabilities and penalties that can result from trading in Company securities in violation of these laws. </w:t>
      </w:r>
      <w:r>
        <w:rPr>
          <w:rFonts w:ascii="Times New Roman" w:cs="Times New Roman" w:eastAsia="Times New Roman" w:hAnsi="Times New Roman"/>
          <w:sz w:val="22"/>
          <w:szCs w:val="22"/>
          <w:b w:val="1"/>
          <w:bCs w:val="1"/>
          <w:color w:val="auto"/>
        </w:rPr>
        <w:t>You, however,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responsible for ensuring that you do not violate federal or state insider trading laws or this policy.</w:t>
      </w:r>
    </w:p>
    <w:p>
      <w:pPr>
        <w:spacing w:after="0" w:line="177" w:lineRule="exact"/>
        <w:rPr>
          <w:sz w:val="20"/>
          <w:szCs w:val="20"/>
          <w:color w:val="auto"/>
        </w:rPr>
      </w:pPr>
    </w:p>
    <w:p>
      <w:pPr>
        <w:ind w:left="860" w:hanging="651"/>
        <w:spacing w:after="0"/>
        <w:tabs>
          <w:tab w:leader="none" w:pos="8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06"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1"/>
          <w:szCs w:val="21"/>
          <w:b w:val="1"/>
          <w:bCs w:val="1"/>
          <w:color w:val="auto"/>
        </w:rPr>
        <w:t>Persons Covered By this Policy</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33" w:lineRule="auto"/>
        <w:tabs>
          <w:tab w:leader="none" w:pos="2144"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This Policy covers all directors, officers and employees of the Company, their family members and Related Parties, and any outsiders, such as contractors or consultants whom the Company’s Chief Financial Officer (the “Chief Financial Officer”) may designate as Insiders because they have access to Material Nonpublic Information (as defined in Section III below) concerning the Company (collectively referred to as “Insiders”). For the purposes of this Policy, “family member” shall mean any person having a blood, marital or legal relationship, including each such person’s spouse, children and grandchildren (including adopted children and grandchildren), stepchildren, parents, stepparents, grandparents, siblings (including half brothers and sisters), fathers-in-law, mothers-in-law, daughters-in-law, sons-in-law, uncles, aunts, nieces, nephews, brothers-in-law or sisters-in-law living in such person’s household. This Policy also applies to all corporations, partnerships or other entities owned, controlled or managed by any Insider and any trust for which an Insider is the trustee or has a beneficial pecuniary interest (each, a “Related Party”). Directors, officers, employees and other persons designated as subject to this Policy are responsible for ensuring compliance by their family members and Related Parties.</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16 Individuals</w:t>
      </w:r>
      <w:r>
        <w:rPr>
          <w:rFonts w:ascii="Times New Roman" w:cs="Times New Roman" w:eastAsia="Times New Roman" w:hAnsi="Times New Roman"/>
          <w:sz w:val="21"/>
          <w:szCs w:val="21"/>
          <w:color w:val="auto"/>
        </w:rPr>
        <w:t xml:space="preserve">. The Company has designated those persons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“Section 16 Individuals”) as the directors and officers who are subject to the reporting provisions and trading restrictions of Section 16 of the Securities Exchange Act of 1934,</w:t>
      </w:r>
    </w:p>
    <w:p>
      <w:pPr>
        <w:sectPr>
          <w:pgSz w:w="11900" w:h="16838" w:orient="portrait"/>
          <w:cols w:equalWidth="0" w:num="1">
            <w:col w:w="9019"/>
          </w:cols>
          <w:pgMar w:left="1440" w:top="549"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117" w:name="page118"/>
    <w:bookmarkEnd w:id="11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as amended (the “Exchange Act”) and the rules and regulations adopted by the U.S. Securities and Exchange Commission (the “SEC”) pursuant to Section 16 of the Exchange Act. The Company will amend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from time to time as necessary to reflect the addition to or departure of the named individuals.</w:t>
      </w:r>
    </w:p>
    <w:p>
      <w:pPr>
        <w:spacing w:after="0" w:line="180" w:lineRule="exact"/>
        <w:rPr>
          <w:sz w:val="20"/>
          <w:szCs w:val="20"/>
          <w:color w:val="auto"/>
        </w:rPr>
      </w:pPr>
    </w:p>
    <w:p>
      <w:pPr>
        <w:jc w:val="both"/>
        <w:ind w:left="200" w:right="219" w:firstLine="1305"/>
        <w:spacing w:after="0" w:line="236" w:lineRule="auto"/>
        <w:tabs>
          <w:tab w:leader="none" w:pos="214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Designated Employees</w:t>
      </w:r>
      <w:r>
        <w:rPr>
          <w:rFonts w:ascii="Times New Roman" w:cs="Times New Roman" w:eastAsia="Times New Roman" w:hAnsi="Times New Roman"/>
          <w:sz w:val="22"/>
          <w:szCs w:val="22"/>
          <w:color w:val="auto"/>
        </w:rPr>
        <w:t xml:space="preserve">. The Company has designated those persons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as “Designated Employees,” who, because of their position with the Company or their access to Material Nonpublic Information, must obtain the prior approval of all trades in Company securities from the Compliance Committee (as defined below) in accordance with Section V.B below. The Company will amend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from time to time as necessary to reflect the addition to or departure of the named individuals.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Designated Consultants</w:t>
      </w:r>
      <w:r>
        <w:rPr>
          <w:rFonts w:ascii="Times New Roman" w:cs="Times New Roman" w:eastAsia="Times New Roman" w:hAnsi="Times New Roman"/>
          <w:sz w:val="22"/>
          <w:szCs w:val="22"/>
          <w:color w:val="auto"/>
        </w:rPr>
        <w:t xml:space="preserve">. The Company has designated those persons listed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as “Designated Consultants,” who, because of their relationship with the Company or their access to Material Nonpublic Information, must obtain the prior approval of all trades in Company securities from the Compliance Committee in accordance with Section V.B below. The Company will amend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from time to time as necessary to reflect the addition to or departure of the named individuals.</w:t>
      </w:r>
    </w:p>
    <w:p>
      <w:pPr>
        <w:spacing w:after="0" w:line="17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Companies Covered by this Policy</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prohibition on insider trading in this Policy is not limited to trading in the Company’s securities. It includes trading in the securities of other firms, such as customers or suppliers of the Company, and those with which the Company may be negotiating major transactions, such as an acquisition, investment or sale. Insiders should treat Material Nonpublic Information about these firms with the same care required with respect to information related directly to the Company.</w:t>
      </w:r>
    </w:p>
    <w:p>
      <w:pPr>
        <w:spacing w:after="0" w:line="173" w:lineRule="exact"/>
        <w:rPr>
          <w:sz w:val="20"/>
          <w:szCs w:val="20"/>
          <w:color w:val="auto"/>
        </w:rPr>
      </w:pPr>
    </w:p>
    <w:p>
      <w:pPr>
        <w:ind w:left="1500" w:hanging="643"/>
        <w:spacing w:after="0"/>
        <w:tabs>
          <w:tab w:leader="none" w:pos="150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 Covered by this Policy</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This Policy applies to any and all transactions in the Company’s securities, including its common stock and options to purchase common stock, and any other type of equity securities that the Company may issue, such as preferred stock, convertible debentures, warrants and exchange-traded options or other derivative securities. For purposes of this Policy, “trade in” or “trading in” securities includes:</w:t>
      </w:r>
    </w:p>
    <w:p>
      <w:pPr>
        <w:spacing w:after="0" w:line="177" w:lineRule="exact"/>
        <w:rPr>
          <w:sz w:val="20"/>
          <w:szCs w:val="20"/>
          <w:color w:val="auto"/>
        </w:rPr>
      </w:pPr>
    </w:p>
    <w:p>
      <w:pPr>
        <w:ind w:left="2160" w:right="239" w:hanging="655"/>
        <w:spacing w:after="0" w:line="258" w:lineRule="auto"/>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open market purchases or sales of Company common stock and any other class of securities of the Company;</w:t>
      </w:r>
    </w:p>
    <w:p>
      <w:pPr>
        <w:spacing w:after="0" w:line="158" w:lineRule="exact"/>
        <w:rPr>
          <w:rFonts w:ascii="Times New Roman" w:cs="Times New Roman" w:eastAsia="Times New Roman" w:hAnsi="Times New Roman"/>
          <w:sz w:val="22"/>
          <w:szCs w:val="22"/>
          <w:color w:val="auto"/>
        </w:rPr>
      </w:pPr>
    </w:p>
    <w:p>
      <w:pPr>
        <w:jc w:val="both"/>
        <w:ind w:left="2160" w:right="239" w:hanging="655"/>
        <w:spacing w:after="0" w:line="244" w:lineRule="auto"/>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Company common stock acquired upon the vesting of equity-based awards or the exercise of stock options, including by way of broker-assisted cashless exercise; and</w:t>
      </w:r>
    </w:p>
    <w:p>
      <w:pPr>
        <w:spacing w:after="0" w:line="173" w:lineRule="exact"/>
        <w:rPr>
          <w:rFonts w:ascii="Times New Roman" w:cs="Times New Roman" w:eastAsia="Times New Roman" w:hAnsi="Times New Roman"/>
          <w:sz w:val="22"/>
          <w:szCs w:val="22"/>
          <w:color w:val="auto"/>
        </w:rPr>
      </w:pPr>
    </w:p>
    <w:p>
      <w:pPr>
        <w:jc w:val="both"/>
        <w:ind w:left="2160" w:right="239" w:hanging="655"/>
        <w:spacing w:after="0" w:line="244" w:lineRule="auto"/>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derivative securities or any interest or position relating to the future price of Company securities, such as put options, call options and short or forward sales.</w:t>
      </w:r>
    </w:p>
    <w:p>
      <w:pPr>
        <w:spacing w:after="0" w:line="173" w:lineRule="exact"/>
        <w:rPr>
          <w:sz w:val="20"/>
          <w:szCs w:val="20"/>
          <w:color w:val="auto"/>
        </w:rPr>
      </w:pPr>
    </w:p>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Trading includes certain transactions under Company plans but does not include certain other transactions, as set forth below:</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18" w:name="page119"/>
    <w:bookmarkEnd w:id="11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right="219" w:firstLine="1305"/>
        <w:spacing w:after="0" w:line="232" w:lineRule="auto"/>
        <w:tabs>
          <w:tab w:leader="none" w:pos="2144"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 Exercises and Vesting of Equity-Based Awards</w:t>
      </w:r>
      <w:r>
        <w:rPr>
          <w:rFonts w:ascii="Times New Roman" w:cs="Times New Roman" w:eastAsia="Times New Roman" w:hAnsi="Times New Roman"/>
          <w:sz w:val="22"/>
          <w:szCs w:val="22"/>
          <w:color w:val="auto"/>
        </w:rPr>
        <w:t>. The trading restrictions in this Policy generally do not apply to (a) the grant or assumption of an “equity award” (as defined below) by the Company; (b) the vesting of an equity award that has been granted or assumed by the Company; (c) the payment of stock units by the Company in accordance with the terms of the applicable award; (d) the withholding by the Company or one of its subsidiaries of securities to satisfy tax and other withholding obligations arising in connection with the vesting, payment or other applicable withholding event with respect to an equity award pursuant to the established terms of the award or as approved by the Board or the Compensation Committee of the Board; and (e) the exercise of an in-the-money stock option that has been granted or assumed by the Company if the exercise price and applicable withholding obligations are paid in cash or if there is a “net exercise” (as defined below) that has been specifically approved by the Board or the Compensation Committee of the Board. For purposes of this paragraph, a “net exercise” is the use of the shares underlying a stock option to pay the exercise price and/or withholding obligations arising in connection with an exercise of the option. For purposes of this paragraph, “equity awards” include, without limitation, stock options, stock appreciation rights, restricted stock, stock units, and stock bonuses.</w:t>
      </w:r>
    </w:p>
    <w:p>
      <w:pPr>
        <w:spacing w:after="0" w:line="191"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239"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Stock Purchase Plan</w:t>
      </w:r>
      <w:r>
        <w:rPr>
          <w:rFonts w:ascii="Times New Roman" w:cs="Times New Roman" w:eastAsia="Times New Roman" w:hAnsi="Times New Roman"/>
          <w:sz w:val="22"/>
          <w:szCs w:val="22"/>
          <w:color w:val="auto"/>
        </w:rPr>
        <w:t>. The trading restrictions in this Policy generally do not apply to purchases of Company stock in the employee stock purchase plan resulting from the Insider’s periodic payroll contributions to the plan under an election the Insider made at the time of enrollment in the plan. The trading restrictions do, however, apply to the Insider’s sales of Company stock purchased under the Plan.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401(k) Plan</w:t>
      </w:r>
      <w:r>
        <w:rPr>
          <w:rFonts w:ascii="Times New Roman" w:cs="Times New Roman" w:eastAsia="Times New Roman" w:hAnsi="Times New Roman"/>
          <w:sz w:val="22"/>
          <w:szCs w:val="22"/>
          <w:color w:val="auto"/>
        </w:rPr>
        <w:t>. The trading prohibitions and restrictions set forth in this Policy do not apply to periodic contributions by the Company or employees to employee benefit plans (e.g., pension, employee stock purchase or 401(k) plans) which are used to purchase Company securities pursuant to the employees’ advance instructions. However, no officers or employees may alter their instructions regarding the purchase or sale of Company securities in such plans while in the possession of Material Nonpublic Information.</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Gifts</w:t>
      </w:r>
      <w:r>
        <w:rPr>
          <w:rFonts w:ascii="Times New Roman" w:cs="Times New Roman" w:eastAsia="Times New Roman" w:hAnsi="Times New Roman"/>
          <w:sz w:val="22"/>
          <w:szCs w:val="22"/>
          <w:color w:val="auto"/>
        </w:rPr>
        <w:t>. Bona fide gifts of securities also are not transactions subject to this Policy, unless the Insider making the gift has reason to believe that the recipient intends to sell the Company’s securities while the Insider is aware of Material Nonpublic Information, provided, however, that, if the Designated Insider (as defined below) is subject to a “Blackout Period” as specified below at the time the gift is made, the Designated Insider should obtain pre-clearance in accordance with the pre-clearance process in Section V below.</w:t>
      </w:r>
    </w:p>
    <w:p>
      <w:pPr>
        <w:spacing w:after="0" w:line="177" w:lineRule="exact"/>
        <w:rPr>
          <w:rFonts w:ascii="Times New Roman" w:cs="Times New Roman" w:eastAsia="Times New Roman" w:hAnsi="Times New Roman"/>
          <w:sz w:val="22"/>
          <w:szCs w:val="22"/>
          <w:color w:val="auto"/>
        </w:rPr>
      </w:pPr>
    </w:p>
    <w:p>
      <w:pPr>
        <w:ind w:left="860" w:right="3959" w:hanging="651"/>
        <w:spacing w:after="0" w:line="437" w:lineRule="auto"/>
        <w:tabs>
          <w:tab w:leader="none" w:pos="8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 of Material Nonpublic Information A. “Material” Information</w:t>
      </w:r>
    </w:p>
    <w:p>
      <w:pPr>
        <w:spacing w:after="0" w:line="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Information about the Company is “material” if there is a substantial likelihood that a reasonable investor would consider it important in deciding whether to buy, hold or sell Company securities. Any information that could reasonably be expected to affect the price of the security is material. Here are some common examples of material information, although this is by no means an exhaustive list: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19" w:name="page120"/>
    <w:bookmarkEnd w:id="11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Unpublished financial results.</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projections of future earnings or losses and strategic plans.</w:t>
      </w:r>
    </w:p>
    <w:p>
      <w:pPr>
        <w:spacing w:after="0" w:line="206"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mergers and acquisitions or the sale of Company assets or subsidiaries.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actions by regulatory authorities.</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or the loss of such contracts.</w:t>
      </w:r>
    </w:p>
    <w:p>
      <w:pPr>
        <w:spacing w:after="0" w:line="206"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strategic partners, suppliers, customers or financing sources, or the loss thereof.</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changes.</w:t>
      </w:r>
    </w:p>
    <w:p>
      <w:pPr>
        <w:spacing w:after="0" w:line="206"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public or private securities/debt offerings or changes in Company dividend policies or amounts.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labor disputes or negotiations.</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206" w:lineRule="exact"/>
        <w:rPr>
          <w:rFonts w:ascii="Times New Roman" w:cs="Times New Roman" w:eastAsia="Times New Roman" w:hAnsi="Times New Roman"/>
          <w:sz w:val="22"/>
          <w:szCs w:val="22"/>
          <w:color w:val="auto"/>
        </w:rPr>
      </w:pPr>
    </w:p>
    <w:p>
      <w:pPr>
        <w:ind w:left="2160" w:right="219" w:hanging="655"/>
        <w:spacing w:after="0" w:line="258" w:lineRule="auto"/>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Company may no longer rely on an auditor’s audit report.</w:t>
      </w:r>
    </w:p>
    <w:p>
      <w:pPr>
        <w:spacing w:after="0" w:line="158" w:lineRule="exact"/>
        <w:rPr>
          <w:rFonts w:ascii="Times New Roman" w:cs="Times New Roman" w:eastAsia="Times New Roman" w:hAnsi="Times New Roman"/>
          <w:sz w:val="22"/>
          <w:szCs w:val="22"/>
          <w:color w:val="auto"/>
        </w:rPr>
      </w:pPr>
    </w:p>
    <w:p>
      <w:pPr>
        <w:jc w:val="both"/>
        <w:ind w:left="2160" w:right="219" w:hanging="655"/>
        <w:spacing w:after="0" w:line="244" w:lineRule="auto"/>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compliance by the Company with a rule or standard for continued listing of the Company’s common stock on The NADSAQ Stock Market LLC (“NASDAQ”).</w:t>
      </w:r>
    </w:p>
    <w:p>
      <w:pPr>
        <w:spacing w:after="0" w:line="169" w:lineRule="exact"/>
        <w:rPr>
          <w:sz w:val="20"/>
          <w:szCs w:val="20"/>
          <w:color w:val="auto"/>
        </w:rPr>
      </w:pPr>
    </w:p>
    <w:p>
      <w:pPr>
        <w:ind w:left="1500" w:hanging="643"/>
        <w:spacing w:after="0"/>
        <w:tabs>
          <w:tab w:leader="none" w:pos="150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Nonpublic information is information that is not generally known or available to the general public. For information to be considered public, it must be widely disseminated in a manner making it generally available to investors through media like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 xml:space="preserve">Dow Jones </w:t>
      </w:r>
      <w:r>
        <w:rPr>
          <w:rFonts w:ascii="Times New Roman" w:cs="Times New Roman" w:eastAsia="Times New Roman" w:hAnsi="Times New Roman"/>
          <w:sz w:val="22"/>
          <w:szCs w:val="22"/>
          <w:color w:val="auto"/>
        </w:rPr>
        <w:t>or through a public disclosure document filed with the SEC and available on the SEC’s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website. For purposes of this Policy, information is considered nonpublic until the closing of the second full Trading Day after the information is released. For example, if the Company makes an announcement before the commencement of trading on a Monday, the information will be considered public starting on Wednesday of that week—because two full Trading Days (Monday and Tuesday) would have elapsed by that time. (“Trading Day” means a day on which national stock exchanges, including the NASDAQ, are open for trading.) Depending on particular circumstances, the Company may determine that a longer period should apply to the release of specific Material Nonpublic Information.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0" w:name="page121"/>
    <w:bookmarkEnd w:id="120"/>
    <w:p>
      <w:pPr>
        <w:ind w:left="7740"/>
        <w:spacing w:after="0"/>
        <w:rPr>
          <w:sz w:val="20"/>
          <w:szCs w:val="20"/>
          <w:color w:val="auto"/>
        </w:rPr>
      </w:pPr>
      <w:r>
        <w:rPr>
          <w:rFonts w:ascii="Times New Roman" w:cs="Times New Roman" w:eastAsia="Times New Roman" w:hAnsi="Times New Roman"/>
          <w:sz w:val="17"/>
          <w:szCs w:val="17"/>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Consult the Chief Financial Officer for Guidance</w:t>
      </w:r>
    </w:p>
    <w:p>
      <w:pPr>
        <w:spacing w:after="0" w:line="210" w:lineRule="exact"/>
        <w:rPr>
          <w:sz w:val="20"/>
          <w:szCs w:val="20"/>
          <w:color w:val="auto"/>
        </w:rPr>
      </w:pPr>
    </w:p>
    <w:p>
      <w:pPr>
        <w:ind w:left="200" w:right="239" w:firstLine="648"/>
        <w:spacing w:after="0" w:line="282" w:lineRule="auto"/>
        <w:rPr>
          <w:sz w:val="20"/>
          <w:szCs w:val="20"/>
          <w:color w:val="auto"/>
        </w:rPr>
      </w:pPr>
      <w:r>
        <w:rPr>
          <w:rFonts w:ascii="Times New Roman" w:cs="Times New Roman" w:eastAsia="Times New Roman" w:hAnsi="Times New Roman"/>
          <w:sz w:val="21"/>
          <w:szCs w:val="21"/>
          <w:color w:val="auto"/>
        </w:rPr>
        <w:t>Any Insider who is unsure whether information he or she possesses is material or nonpublic must consult the Chief Financial Officer for guidance before trading in any Company securities.</w:t>
      </w:r>
    </w:p>
    <w:p>
      <w:pPr>
        <w:spacing w:after="0" w:line="131" w:lineRule="exact"/>
        <w:rPr>
          <w:sz w:val="20"/>
          <w:szCs w:val="20"/>
          <w:color w:val="auto"/>
        </w:rPr>
      </w:pPr>
    </w:p>
    <w:p>
      <w:pPr>
        <w:ind w:left="1500" w:hanging="643"/>
        <w:spacing w:after="0"/>
        <w:tabs>
          <w:tab w:leader="none" w:pos="15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Compliance Committee</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Company has established an Insider Trading Compliance Committee (the “Compliance Committee”), consisting of the Chairman of the Audit Committee, the Chairman of the Nominating and Corporate Governance Committee, the Chief Financial Officer and the Senior Vice President, Corporate Development. The duties of the Compliance Committee (in cooperation with the Chief Financial Officer) will include the following:</w:t>
      </w:r>
    </w:p>
    <w:p>
      <w:pPr>
        <w:spacing w:after="0" w:line="177" w:lineRule="exact"/>
        <w:rPr>
          <w:sz w:val="20"/>
          <w:szCs w:val="20"/>
          <w:color w:val="auto"/>
        </w:rPr>
      </w:pPr>
    </w:p>
    <w:p>
      <w:pPr>
        <w:ind w:left="2160" w:right="219" w:hanging="655"/>
        <w:spacing w:after="0" w:line="258" w:lineRule="auto"/>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this Policy and enforcing compliance with all Policy provisions;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206"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Revising the Policy as needed to reflect changes in federal and state insider trading laws; </w:t>
      </w:r>
      <w:r>
        <w:rPr>
          <w:rFonts w:ascii="Times New Roman" w:cs="Times New Roman" w:eastAsia="Times New Roman" w:hAnsi="Times New Roman"/>
          <w:sz w:val="22"/>
          <w:szCs w:val="22"/>
          <w:u w:val="single" w:color="auto"/>
          <w:color w:val="auto"/>
        </w:rPr>
        <w:t>and</w:t>
      </w:r>
    </w:p>
    <w:p>
      <w:pPr>
        <w:spacing w:after="0" w:line="158"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Fulfilling other responsibilities described herein as the responsibility of the Compliance Committee.</w:t>
      </w:r>
    </w:p>
    <w:p>
      <w:pPr>
        <w:spacing w:after="0" w:line="15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TRADING RESTRICTIONS UNDER THIS POLICY</w:t>
      </w:r>
    </w:p>
    <w:p>
      <w:pPr>
        <w:spacing w:after="0" w:line="206" w:lineRule="exact"/>
        <w:rPr>
          <w:sz w:val="20"/>
          <w:szCs w:val="20"/>
          <w:color w:val="auto"/>
        </w:rPr>
      </w:pPr>
    </w:p>
    <w:p>
      <w:pPr>
        <w:ind w:left="1500" w:hanging="643"/>
        <w:spacing w:after="0"/>
        <w:tabs>
          <w:tab w:leader="none" w:pos="15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 for Insiders</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addition to the restrictions set forth elsewhere in this Policy, the following restrictions apply to Insiders:</w:t>
      </w:r>
    </w:p>
    <w:p>
      <w:pPr>
        <w:spacing w:after="0" w:line="158" w:lineRule="exact"/>
        <w:rPr>
          <w:sz w:val="20"/>
          <w:szCs w:val="20"/>
          <w:color w:val="auto"/>
        </w:rPr>
      </w:pPr>
    </w:p>
    <w:p>
      <w:pPr>
        <w:ind w:left="200" w:right="219" w:firstLine="1305"/>
        <w:spacing w:after="0" w:line="258"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trade in Company securities while possessing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trade in Company securities in the two full Trading Days following publication of earnings releases and other material announcements.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Insiders from giving trading advice concerning the Company to third parties even when the Insiders do not possess Material Nonpublic Information about the Company.</w:t>
      </w:r>
    </w:p>
    <w:p>
      <w:pPr>
        <w:spacing w:after="0" w:line="168" w:lineRule="exact"/>
        <w:rPr>
          <w:rFonts w:ascii="Times New Roman" w:cs="Times New Roman" w:eastAsia="Times New Roman" w:hAnsi="Times New Roman"/>
          <w:sz w:val="21"/>
          <w:szCs w:val="21"/>
          <w:color w:val="auto"/>
        </w:rPr>
      </w:pPr>
    </w:p>
    <w:p>
      <w:pPr>
        <w:jc w:val="both"/>
        <w:ind w:left="200" w:right="219" w:firstLine="1305"/>
        <w:spacing w:after="0" w:line="251" w:lineRule="auto"/>
        <w:tabs>
          <w:tab w:leader="none" w:pos="214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“tip” or disclose Material Nonpublic Information concerning the Company to any outside person (including family members, Related Parties, analysts, individual investors and members of the investment community and news media). In any instance in which such information is disclosed to outsiders, the Company will take such steps as are necessary to preserve the confidentiality of the information, including requiring the outsider to</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1" w:name="page122"/>
    <w:bookmarkEnd w:id="12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agree in writing to comply with the terms of this Policy and/or to sign a confidentiality agreement. All inquiries from outsiders regarding Material Nonpublic Information about the Company must be forwarded to the Chief Financial Officer.</w:t>
      </w:r>
    </w:p>
    <w:p>
      <w:pPr>
        <w:spacing w:after="0" w:line="173" w:lineRule="exact"/>
        <w:rPr>
          <w:sz w:val="20"/>
          <w:szCs w:val="20"/>
          <w:color w:val="auto"/>
        </w:rPr>
      </w:pPr>
    </w:p>
    <w:p>
      <w:pPr>
        <w:jc w:val="both"/>
        <w:ind w:left="200" w:right="219" w:firstLine="1305"/>
        <w:spacing w:after="0" w:line="238"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(i) trade in the securities of any other public company while possessing Material Nonpublic Information concerning that company, (ii) “tip” or disclose Material Nonpublic Information concerning any other public company to anyone, or (iii) give trading advice of any kind to anyone concerning any other public company while possessing Material Nonpublic Information about that company.</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additional restrictions apply to any trading in Company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by Insiders:</w:t>
      </w:r>
    </w:p>
    <w:p>
      <w:pPr>
        <w:spacing w:after="0" w:line="178" w:lineRule="exact"/>
        <w:rPr>
          <w:sz w:val="20"/>
          <w:szCs w:val="20"/>
          <w:color w:val="auto"/>
        </w:rPr>
      </w:pPr>
    </w:p>
    <w:p>
      <w:pPr>
        <w:jc w:val="both"/>
        <w:ind w:left="2160" w:right="219" w:hanging="655"/>
        <w:spacing w:after="0" w:line="247" w:lineRule="auto"/>
        <w:tabs>
          <w:tab w:leader="none" w:pos="21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Short Sales</w:t>
      </w:r>
      <w:r>
        <w:rPr>
          <w:rFonts w:ascii="Times New Roman" w:cs="Times New Roman" w:eastAsia="Times New Roman" w:hAnsi="Times New Roman"/>
          <w:sz w:val="21"/>
          <w:szCs w:val="21"/>
          <w:color w:val="auto"/>
        </w:rPr>
        <w:t>. Short sales of the Company’s securities (generally, the sale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security that the seller does not own) may evidence an expectation on the part of the seller that the securities will decline in value, and therefore signal to the market that the seller lacks confidence in the Company’s prospects. Additionally, short sales may reduce a seller’s incentive to seek to improve the Company’s performance. For these reasons, Insiders are prohibited from engaging in short sales of Company securities, which are illegal for officers and directors pursuant to Section 16(c) of the Exchange Act.</w:t>
      </w:r>
    </w:p>
    <w:p>
      <w:pPr>
        <w:spacing w:after="0" w:line="171" w:lineRule="exact"/>
        <w:rPr>
          <w:rFonts w:ascii="Times New Roman" w:cs="Times New Roman" w:eastAsia="Times New Roman" w:hAnsi="Times New Roman"/>
          <w:sz w:val="21"/>
          <w:szCs w:val="21"/>
          <w:color w:val="auto"/>
        </w:rPr>
      </w:pPr>
    </w:p>
    <w:p>
      <w:pPr>
        <w:jc w:val="both"/>
        <w:ind w:left="2160" w:right="219" w:hanging="655"/>
        <w:spacing w:after="0" w:line="235" w:lineRule="auto"/>
        <w:tabs>
          <w:tab w:leader="none" w:pos="2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Publicly Traded Options. </w:t>
      </w:r>
      <w:r>
        <w:rPr>
          <w:rFonts w:ascii="Times New Roman" w:cs="Times New Roman" w:eastAsia="Times New Roman" w:hAnsi="Times New Roman"/>
          <w:sz w:val="22"/>
          <w:szCs w:val="22"/>
          <w:color w:val="auto"/>
        </w:rPr>
        <w:t>Trading in “puts” and “calls” (publicly traded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options to buy or sell stock) or other derivative securities may create the appearance that an Insider is trading based on Material Nonpublic Information and focus an Insider’s attention on short-term performance at the expense of the Company’s long-term objectives. Therefore, Insiders are prohibited from engaging in transactions in put options, call options or other derivative securities, on an exchange or in any other organized market, even when they are not aware of Material Nonpublic Information at the time of the transaction.</w:t>
      </w:r>
    </w:p>
    <w:p>
      <w:pPr>
        <w:spacing w:after="0" w:line="173" w:lineRule="exact"/>
        <w:rPr>
          <w:rFonts w:ascii="Times New Roman" w:cs="Times New Roman" w:eastAsia="Times New Roman" w:hAnsi="Times New Roman"/>
          <w:sz w:val="22"/>
          <w:szCs w:val="22"/>
          <w:color w:val="auto"/>
        </w:rPr>
      </w:pPr>
    </w:p>
    <w:p>
      <w:pPr>
        <w:jc w:val="both"/>
        <w:ind w:left="2160" w:right="219" w:hanging="655"/>
        <w:spacing w:after="0" w:line="235" w:lineRule="auto"/>
        <w:tabs>
          <w:tab w:leader="none" w:pos="2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Hedging Transactions. </w:t>
      </w:r>
      <w:r>
        <w:rPr>
          <w:rFonts w:ascii="Times New Roman" w:cs="Times New Roman" w:eastAsia="Times New Roman" w:hAnsi="Times New Roman"/>
          <w:sz w:val="22"/>
          <w:szCs w:val="22"/>
          <w:color w:val="auto"/>
        </w:rPr>
        <w:t>Certain forms of hedging or monetization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transactions (such as prepaid variable forward sale contracts, collars, equity </w:t>
      </w:r>
      <w:r>
        <w:rPr>
          <w:rFonts w:ascii="Times New Roman" w:cs="Times New Roman" w:eastAsia="Times New Roman" w:hAnsi="Times New Roman"/>
          <w:sz w:val="22"/>
          <w:szCs w:val="22"/>
          <w:i w:val="1"/>
          <w:iCs w:val="1"/>
          <w:color w:val="auto"/>
        </w:rPr>
        <w:t>swaps</w:t>
      </w:r>
      <w:r>
        <w:rPr>
          <w:rFonts w:ascii="Times New Roman" w:cs="Times New Roman" w:eastAsia="Times New Roman" w:hAnsi="Times New Roman"/>
          <w:sz w:val="22"/>
          <w:szCs w:val="22"/>
          <w:color w:val="auto"/>
        </w:rPr>
        <w:t>, or exchange funds) are complex transactions that are designed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hedge or offset any decrease in the market value of Company securities without the full risks and rewards of ownership. When that occurs, an Insider entering into such transactions may no longer have the same objectives as the Company’s other stockholders. Therefore, Insiders are prohibited from engaging in such transactions even if they are not aware of Material Nonpublic Information at the time of the transaction.</w:t>
      </w:r>
    </w:p>
    <w:p>
      <w:pPr>
        <w:spacing w:after="0" w:line="173" w:lineRule="exact"/>
        <w:rPr>
          <w:rFonts w:ascii="Times New Roman" w:cs="Times New Roman" w:eastAsia="Times New Roman" w:hAnsi="Times New Roman"/>
          <w:sz w:val="22"/>
          <w:szCs w:val="22"/>
          <w:color w:val="auto"/>
        </w:rPr>
      </w:pPr>
    </w:p>
    <w:p>
      <w:pPr>
        <w:jc w:val="both"/>
        <w:ind w:left="2160" w:right="239" w:hanging="655"/>
        <w:spacing w:after="0" w:line="238" w:lineRule="auto"/>
        <w:tabs>
          <w:tab w:leader="none" w:pos="2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Margin Accounts and Pledged Securities. </w:t>
      </w:r>
      <w:r>
        <w:rPr>
          <w:rFonts w:ascii="Times New Roman" w:cs="Times New Roman" w:eastAsia="Times New Roman" w:hAnsi="Times New Roman"/>
          <w:sz w:val="22"/>
          <w:szCs w:val="22"/>
          <w:color w:val="auto"/>
        </w:rPr>
        <w:t>Securities held by an Insider in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margin account for a margin loan may be sold by the broker without the customer’s consent if the customer fails to meet a margin call. Similarly, securities </w:t>
      </w:r>
      <w:r>
        <w:rPr>
          <w:rFonts w:ascii="Times New Roman" w:cs="Times New Roman" w:eastAsia="Times New Roman" w:hAnsi="Times New Roman"/>
          <w:sz w:val="22"/>
          <w:szCs w:val="22"/>
          <w:i w:val="1"/>
          <w:iCs w:val="1"/>
          <w:color w:val="auto"/>
        </w:rPr>
        <w:t>pledged</w:t>
      </w:r>
      <w:r>
        <w:rPr>
          <w:rFonts w:ascii="Times New Roman" w:cs="Times New Roman" w:eastAsia="Times New Roman" w:hAnsi="Times New Roman"/>
          <w:sz w:val="22"/>
          <w:szCs w:val="22"/>
          <w:color w:val="auto"/>
        </w:rPr>
        <w:t xml:space="preserve"> (or hypothecated) as collateral for a loan may be sold in foreclosure if the borrower defaults on the loan. Because a margin sale 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2" w:name="page123"/>
    <w:bookmarkEnd w:id="12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160" w:right="239"/>
        <w:spacing w:after="0" w:line="255" w:lineRule="auto"/>
        <w:rPr>
          <w:sz w:val="20"/>
          <w:szCs w:val="20"/>
          <w:color w:val="auto"/>
        </w:rPr>
      </w:pPr>
      <w:r>
        <w:rPr>
          <w:rFonts w:ascii="Times New Roman" w:cs="Times New Roman" w:eastAsia="Times New Roman" w:hAnsi="Times New Roman"/>
          <w:sz w:val="21"/>
          <w:szCs w:val="21"/>
          <w:color w:val="auto"/>
        </w:rPr>
        <w:t>foreclosure sale could occur at a time when the Insider is aware of Material Nonpublic Information or otherwise is not permitted to trade in Company securities, Insiders are prohibited from margining the Company securities in a margin account or pledging Company securities as collateral for a loan.</w:t>
      </w:r>
    </w:p>
    <w:p>
      <w:pPr>
        <w:spacing w:after="0" w:line="158" w:lineRule="exact"/>
        <w:rPr>
          <w:sz w:val="20"/>
          <w:szCs w:val="20"/>
          <w:color w:val="auto"/>
        </w:rPr>
      </w:pPr>
    </w:p>
    <w:p>
      <w:pPr>
        <w:ind w:left="200" w:right="239" w:firstLine="657"/>
        <w:spacing w:after="0" w:line="262" w:lineRule="auto"/>
        <w:tabs>
          <w:tab w:leader="none" w:pos="14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 for Section 16 Individuals, Designated Employees and Designated Consultants: Trading Windows and Blackout Periods</w:t>
      </w:r>
    </w:p>
    <w:p>
      <w:pPr>
        <w:spacing w:after="0" w:line="153"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Trading Windows</w:t>
      </w:r>
      <w:r>
        <w:rPr>
          <w:rFonts w:ascii="Times New Roman" w:cs="Times New Roman" w:eastAsia="Times New Roman" w:hAnsi="Times New Roman"/>
          <w:sz w:val="22"/>
          <w:szCs w:val="22"/>
          <w:color w:val="auto"/>
        </w:rPr>
        <w:t>. Subject to the provisions set forth below, Section 16 Individuals, Designated Employees, Designated Consultants and those other employees identified by the Company from time to time and who have been notified that they have been so identified (collectively, “Designated Insiders”), their family members and Related Parties may trade in Company securities only during the period beginning at the close of trading on the second full Trading Day following the Company’s widespread public release of quarterly or year-end earnings and ending at the close of trading on the day ending two weeks prior to the end of the fiscal quarter.</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Trading During Trading Windows While in the Possession of Material Nonpublic Information</w:t>
      </w:r>
      <w:r>
        <w:rPr>
          <w:rFonts w:ascii="Times New Roman" w:cs="Times New Roman" w:eastAsia="Times New Roman" w:hAnsi="Times New Roman"/>
          <w:sz w:val="22"/>
          <w:szCs w:val="22"/>
          <w:color w:val="auto"/>
        </w:rPr>
        <w:t>. Designated Insiders, their family members and Related Parties possessing Material Nonpublic Information concerning the Company may not trade in Company securities even during applicable trading windows, whether or not the Company has recommended a suspension of trading to that person. Persons possessing such information may trade during a trading window only after the close of trading on the second full Trading Day following the Company’s widespread public release of the information.</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Trading During Blackout Periods</w:t>
      </w:r>
      <w:r>
        <w:rPr>
          <w:rFonts w:ascii="Times New Roman" w:cs="Times New Roman" w:eastAsia="Times New Roman" w:hAnsi="Times New Roman"/>
          <w:sz w:val="22"/>
          <w:szCs w:val="22"/>
          <w:color w:val="auto"/>
        </w:rPr>
        <w:t>. Designated Insiders, their family members and Related Parties may not trade in Company securities outside of the applicable trading windows or during any special “blackout periods” that the Chief Financial Officer may designate from time to time because of developments known to the Company and not yet disclosed to the public. No Designated Insider may disclose to any outside third party that a special “blackout period” has been designated.</w:t>
      </w:r>
    </w:p>
    <w:p>
      <w:pPr>
        <w:spacing w:after="0" w:line="17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for Approved 10b5-1 Plans</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Trades by Insiders in the Company’s securities that are executed pursuant to a 10b5-1 plan that has been approved in advance by the Chief Financial Officer are not subject to the prohibition on trading on the basis of Material Nonpublic Information contained in this Policy or the pre-clearance procedure set forth in Section V below. In the event that the Chief Financial Officer desires to trade in Company securities pursuant to a 10b5-1 plan, pre-approval of such plan by the other members of the Compliance Committee, and either the Chairman of the Audit Committee or the Chairman of the Nominating and Corporate Governance Committee is required. Rule 10b5-1 under the Exchange Act provides an affirmative defense from insider trading liability under the federal securities law for trading plans that meet certain requirements. In general, an Insider must enter into a 10b5-1 plan before he or she is aware of Material Nonpublic Information. Once the plan is adopted, the Insider must not exercise any influence over the amount of securities to be traded, the price at which they are to be traded or the date of the trade. The plan must either specify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3" w:name="page124"/>
    <w:bookmarkEnd w:id="12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(including by formula) the amount, pricing and timing of transactions in advance or delegate discretion on those matters to an independent third party.</w:t>
      </w:r>
    </w:p>
    <w:p>
      <w:pPr>
        <w:spacing w:after="0" w:line="154" w:lineRule="exact"/>
        <w:rPr>
          <w:sz w:val="20"/>
          <w:szCs w:val="20"/>
          <w:color w:val="auto"/>
        </w:rPr>
      </w:pPr>
    </w:p>
    <w:p>
      <w:pPr>
        <w:ind w:left="860" w:right="219" w:hanging="651"/>
        <w:spacing w:after="0" w:line="262" w:lineRule="auto"/>
        <w:tabs>
          <w:tab w:leader="none" w:pos="8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ON TRADES BY SECTION 16 INDIVIDUALS, DESIGNATED EMPLOYEES AND DESIGNATED CONSULTANTS</w:t>
      </w:r>
    </w:p>
    <w:p>
      <w:pPr>
        <w:spacing w:after="0" w:line="149" w:lineRule="exact"/>
        <w:rPr>
          <w:rFonts w:ascii="Times New Roman" w:cs="Times New Roman" w:eastAsia="Times New Roman" w:hAnsi="Times New Roman"/>
          <w:sz w:val="22"/>
          <w:szCs w:val="22"/>
          <w:b w:val="1"/>
          <w:bCs w:val="1"/>
          <w:color w:val="auto"/>
        </w:rPr>
      </w:pPr>
    </w:p>
    <w:p>
      <w:pPr>
        <w:ind w:left="200" w:right="239" w:firstLine="648"/>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 No Trading by Section 16 Individuals, Designated Employees or Designated Consultants without Pre-Clearance</w:t>
      </w:r>
    </w:p>
    <w:p>
      <w:pPr>
        <w:spacing w:after="0" w:line="154"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No Designated Insider may trade, including during an applicable trading window, in Company equity securities unless the trade(s) have been approved by the Chief Financial Officer or any other person designated by the Chief Financial Officer, in accordance with the procedures set forth below. Designated Insiders who wish to sell Company securities in order to diversify their investment portfolio are encouraged to sell their securities pursuant to a predetermined written plan in accordance with Section IV.C of this Policy, adopted prior to each fiscal or calendar year, which is approved by the Chief Financial Officer, specifies the dates and amounts of securities to be sold, and generally cannot be modified during the year. To the extent possible, Designated Insiders should retain all records and documents that support their reasons for making each trade.</w:t>
      </w:r>
    </w:p>
    <w:p>
      <w:pPr>
        <w:spacing w:after="0" w:line="175" w:lineRule="exact"/>
        <w:rPr>
          <w:sz w:val="20"/>
          <w:szCs w:val="20"/>
          <w:color w:val="auto"/>
        </w:rPr>
      </w:pPr>
    </w:p>
    <w:p>
      <w:pPr>
        <w:ind w:left="200" w:right="219" w:firstLine="657"/>
        <w:spacing w:after="0" w:line="262" w:lineRule="auto"/>
        <w:tabs>
          <w:tab w:leader="none" w:pos="1496"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of Section 16 Individual, Designated Employee and Designated Consultant Trades</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 Designated Insider may trade in Company securities until:</w:t>
      </w:r>
    </w:p>
    <w:p>
      <w:pPr>
        <w:spacing w:after="0" w:line="206" w:lineRule="exact"/>
        <w:rPr>
          <w:sz w:val="20"/>
          <w:szCs w:val="20"/>
          <w:color w:val="auto"/>
        </w:rPr>
      </w:pPr>
    </w:p>
    <w:p>
      <w:pPr>
        <w:jc w:val="both"/>
        <w:ind w:left="200" w:right="219" w:firstLine="1305"/>
        <w:spacing w:after="0" w:line="244"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trading has notified the Chief Financial Officer or the Chief Financial Officer’s designee, in writing at least two business days in advance of the proposed transaction of the amount and nature of the proposed trade(s);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person trading has certified to the Chief Financial Officer or the Chief Financial Officer’s designee in writing no earlier than two business days prior to the proposed trade(s) that (i) he or she is not in possession of Material Nonpublic Information concerning the Company and (ii) to the best of such person’s knowledge, the proposed trade(s) do not violate the trading restrictions of Section 16 of the Exchange Act and, if relied upon, Rule 144 of the Securities Act of 1933, as amended (the “Securities Act”); </w:t>
      </w:r>
      <w:r>
        <w:rPr>
          <w:rFonts w:ascii="Times New Roman" w:cs="Times New Roman" w:eastAsia="Times New Roman" w:hAnsi="Times New Roman"/>
          <w:sz w:val="22"/>
          <w:szCs w:val="22"/>
          <w:u w:val="single" w:color="auto"/>
          <w:color w:val="auto"/>
        </w:rPr>
        <w:t>and</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Committee has approved the trade(s), and the Chief Financial Officer has certified the Committee’s approval in writing.</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In the event that the Chief Financial Officer desires to trade in Company securities and obtain written clearance of the proposed transaction, the Chief Financial Officer should notify the other members of the Compliance Committee, and the other members of the Compliance Committee must certify their approval in writing.</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Designated Insider must complete the proposed trade within two business days after the approval is granted.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4" w:name="page125"/>
    <w:bookmarkEnd w:id="12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500" w:hanging="643"/>
        <w:spacing w:after="0"/>
        <w:tabs>
          <w:tab w:leader="none" w:pos="15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The existence of the foregoing approval procedure does not in any way obligate the Chief Financial Officer or Compliance Committee to approve any trades requested by Designated Insiders. The Chief Financial Officer or Compliance Committee may reject any trading requests in their sole reasonable discretion. If a Designated Insider seeks pre-clearance and permission to engage in the trade is denied, then such Designated Insider should refrain from initiating any trade in Company securities and should not inform any other person of the restrictions.</w:t>
      </w:r>
    </w:p>
    <w:p>
      <w:pPr>
        <w:spacing w:after="0" w:line="17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HARDSHIP TRADES</w:t>
      </w:r>
    </w:p>
    <w:p>
      <w:pPr>
        <w:spacing w:after="0" w:line="206" w:lineRule="exact"/>
        <w:rPr>
          <w:sz w:val="20"/>
          <w:szCs w:val="20"/>
          <w:color w:val="auto"/>
        </w:rPr>
      </w:pPr>
    </w:p>
    <w:p>
      <w:pPr>
        <w:ind w:left="1500" w:hanging="643"/>
        <w:spacing w:after="0"/>
        <w:tabs>
          <w:tab w:leader="none" w:pos="15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Authorization of Certain Trades Based on Financial or Other Hardship</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Chief Financial Officer may, on a case-by-case basis, authorize trading in Company securities outside of the applicable trading windows due to financial hardship or other hardships only after:</w:t>
      </w:r>
    </w:p>
    <w:p>
      <w:pPr>
        <w:spacing w:after="0" w:line="173" w:lineRule="exact"/>
        <w:rPr>
          <w:sz w:val="20"/>
          <w:szCs w:val="20"/>
          <w:color w:val="auto"/>
        </w:rPr>
      </w:pPr>
    </w:p>
    <w:p>
      <w:pPr>
        <w:jc w:val="both"/>
        <w:ind w:left="200" w:right="219" w:firstLine="1305"/>
        <w:spacing w:after="0" w:line="244"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trading has notified the Chief Financial Officer in writing at least two business days in advance of the proposed transaction of the circumstances of the hardship and the amount and nature of the proposed trade(s);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person trading has certified to the Chief Financial Officer in writing no earlier than two business days prior to the proposed trade(s) that he or she is not in possession of Material Nonpublic Information concerning the Company; </w:t>
      </w:r>
      <w:r>
        <w:rPr>
          <w:rFonts w:ascii="Times New Roman" w:cs="Times New Roman" w:eastAsia="Times New Roman" w:hAnsi="Times New Roman"/>
          <w:sz w:val="22"/>
          <w:szCs w:val="22"/>
          <w:u w:val="single" w:color="auto"/>
          <w:color w:val="auto"/>
        </w:rPr>
        <w:t>and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Committee has approved the trade(s), and the Chief Financial Officer has certified the Committee approval in writing. Only the Chief Financial Officer’s approval is necessary for hardship trades by Insiders who are not Designated Insiders.</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In the event that the Chief Financial Officer desires to request authorization due to a hardship, the Chief Financial Officer should notify the other members of the Compliance Committee, and the other members of the Compliance Committee must certify their approval in writing.</w:t>
      </w:r>
    </w:p>
    <w:p>
      <w:pPr>
        <w:spacing w:after="0" w:line="176" w:lineRule="exact"/>
        <w:rPr>
          <w:sz w:val="20"/>
          <w:szCs w:val="20"/>
          <w:color w:val="auto"/>
        </w:rPr>
      </w:pPr>
    </w:p>
    <w:p>
      <w:pPr>
        <w:ind w:left="1500" w:hanging="643"/>
        <w:spacing w:after="0"/>
        <w:tabs>
          <w:tab w:leader="none" w:pos="15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The existence of the foregoing approval procedure does not in any way obligate the Chief Financial Officer or Compliance Committee to approve any trades requested by hardship applicants. The Chief Financial Officer or Compliance Committee may reject any trading requests in their sole reasonable discretion. If a Designated Insider seeks authorization due to a hardship and permission is denied, then such Designated Insider should refrain from initiating any trade in Company securities and should not inform any other person of the restrictions.</w:t>
      </w:r>
    </w:p>
    <w:p>
      <w:pPr>
        <w:spacing w:after="0" w:line="17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VII.</w:t>
        <w:tab/>
        <w:t>PRIORITY OF STATUTORY OR REGULATORY TRADING RESTRICTIONS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trading prohibitions and restrictions set forth in this Policy will be superseded by any greater prohibitions or restrictions prescribed by federal or state securities laws and regulations, e.g., short-swing trading by Section 16 Individuals or restrictions on the sale of securities subject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5" w:name="page126"/>
    <w:bookmarkEnd w:id="12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to Rule 144 under the Securities Act. Any Insider who is uncertain whether other prohibitions or restrictions apply should ask the Chief Financial Officer.</w:t>
      </w:r>
    </w:p>
    <w:p>
      <w:pPr>
        <w:spacing w:after="0" w:line="15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POLICY CONTINUES TO APPLY AFTER TERMINATION</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This Policy continues to apply to the Insider’s transactions in Company securities even after an Insider has terminated employment with the Company. If an Insider is in possession of Material Nonpublic Information when employment terminates, the Insider may not trade in Company securities until that information has become public or is no longer material.</w:t>
      </w:r>
    </w:p>
    <w:p>
      <w:pPr>
        <w:spacing w:after="0" w:line="17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POTENTIAL CIVIL, CRIMINAL AND DISCIPLINARY SANCTIONS</w:t>
      </w:r>
    </w:p>
    <w:p>
      <w:pPr>
        <w:spacing w:after="0" w:line="206" w:lineRule="exact"/>
        <w:rPr>
          <w:sz w:val="20"/>
          <w:szCs w:val="20"/>
          <w:color w:val="auto"/>
        </w:rPr>
      </w:pPr>
    </w:p>
    <w:p>
      <w:pPr>
        <w:ind w:left="1500" w:hanging="643"/>
        <w:spacing w:after="0"/>
        <w:tabs>
          <w:tab w:leader="none" w:pos="15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Civil and Criminal Penalties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39" w:lineRule="auto"/>
        <w:tabs>
          <w:tab w:leader="none" w:pos="21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Civil and Criminal Penalties</w:t>
      </w:r>
      <w:r>
        <w:rPr>
          <w:rFonts w:ascii="Times New Roman" w:cs="Times New Roman" w:eastAsia="Times New Roman" w:hAnsi="Times New Roman"/>
          <w:sz w:val="22"/>
          <w:szCs w:val="22"/>
          <w:color w:val="auto"/>
        </w:rPr>
        <w:t>. Potential penalties for insider trading violations include (i) imprisonment for up to 20 years, (ii) criminal fines of up to $5 million for individuals and $25 million for business entities, and (iii) civil fines of up to three times the profit gained or loss avoided.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Controlling Person Liability</w:t>
      </w:r>
      <w:r>
        <w:rPr>
          <w:rFonts w:ascii="Times New Roman" w:cs="Times New Roman" w:eastAsia="Times New Roman" w:hAnsi="Times New Roman"/>
          <w:sz w:val="22"/>
          <w:szCs w:val="22"/>
          <w:color w:val="auto"/>
        </w:rPr>
        <w:t>. If the Company fails to take appropriate steps to prevent illegal insider trading, the Company may have “controlling person” liability for a trading violation, with civil penalties of up to the greater of $1 million and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Sanctions</w:t>
      </w:r>
      <w:r>
        <w:rPr>
          <w:rFonts w:ascii="Times New Roman" w:cs="Times New Roman" w:eastAsia="Times New Roman" w:hAnsi="Times New Roman"/>
          <w:sz w:val="22"/>
          <w:szCs w:val="22"/>
          <w:color w:val="auto"/>
        </w:rPr>
        <w:t>. Failure to comply with this Policy may result in Company-imposed sanctions to the Insider, including dismissal for cause, or termination of other relationships with the Company, whether or not the Insider’s failure to comply with this Policy results in a violation of law.</w:t>
      </w:r>
    </w:p>
    <w:p>
      <w:pPr>
        <w:spacing w:after="0" w:line="17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of Violations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Any Insider who violates this Policy or any federal or state laws governing insider trading or tipping, or knows of any such violation by any other Insiders, must report the violation immediately to the Chief Financial Officer. Upon learning of any such violation, the Chief Financial Officer, in consultation with other Compliance Committee members and the Company’s legal counsel, will determine whether the Company should release any Material Nonpublic Information, or whether the Company should report the violation to the SEC or other appropriate governmental authority.</w:t>
      </w:r>
    </w:p>
    <w:p>
      <w:pPr>
        <w:spacing w:after="0" w:line="179" w:lineRule="exact"/>
        <w:rPr>
          <w:sz w:val="20"/>
          <w:szCs w:val="20"/>
          <w:color w:val="auto"/>
        </w:rPr>
      </w:pPr>
    </w:p>
    <w:p>
      <w:pPr>
        <w:ind w:left="860" w:hanging="651"/>
        <w:spacing w:after="0"/>
        <w:tabs>
          <w:tab w:leader="none" w:pos="8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INQUIRIES</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Please direct all inquiries regarding any of the provisions or procedures of this Policy to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6" w:name="page127"/>
    <w:bookmarkEnd w:id="12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WILLDAN GROUP,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RECEIPT AND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176530</wp:posOffset>
            </wp:positionV>
            <wp:extent cx="54521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 _________________________________, hereby acknowledge that I have received and read a</w:t>
      </w:r>
    </w:p>
    <w:p>
      <w:pPr>
        <w:spacing w:after="0" w:line="14"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copy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Willdan Group, Inc. Insider Trading Policy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agree to comply with its terms. I understand that violations of insider trading or tipping laws or regulations may subject me to severe civil and/or criminal penalties, and that violation of the terms of the above-titled Policy may subject me to discipline by the Company up to and including termination for cause.</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Dated this _____ day of _______________</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784225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7" w:name="page128"/>
    <w:bookmarkEnd w:id="12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16 INDIVIDUALS</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WILLDAN GROUP, INC. DIRECTORS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[REDACTED]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WILLDAN GROUP, INC. EXECUTIVE OFFICERS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799465</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8" w:name="page129"/>
    <w:bookmarkEnd w:id="12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DESIGNATED EMPLOYEES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DESIGNATED CONSULTANTS</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76" w:right="1440" w:bottom="1440" w:gutter="0" w:footer="0" w:header="0"/>
        </w:sectPr>
      </w:pPr>
    </w:p>
    <w:bookmarkStart w:id="130" w:name="page131"/>
    <w:bookmarkEnd w:id="13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APPLICATION AND APPROVAL FORM</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FOR TRADING BY SECTION 16 INDIVIDUALS, DESIGNATED EMPLOYEES AND</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DESIGNATED CONSULTANTS</w:t>
      </w:r>
    </w:p>
    <w:p>
      <w:pPr>
        <w:ind w:left="30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311785</wp:posOffset>
            </wp:positionV>
            <wp:extent cx="5383530" cy="10204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5383530" cy="10204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Proposed Trade Date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Type of Security to be Traded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Type of Trade (Purchase/Sale)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Number of Shares to be Traded</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 ____________________________, hereby certify that (i) I am not in possession of any Material</w:t>
      </w:r>
    </w:p>
    <w:p>
      <w:pPr>
        <w:spacing w:after="0" w:line="26"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Nonpublic Information concerning the Company (as defined in the Company’s “Insider Trading Policy”) and (ii) to the best of my knowledge, the proposed trade(s) listed above do not violate the trading restrictions of Section 16 of the Securities Exchange Act of 1934 and, if relied upon, Rule 144 under the Securities Act of 1933. I understand that if I trade while possessing such information or in violation of such trading restrictions, I may be subject to severe civil and/or criminal penalties and may be subject to discipline by the Company up to and including termination for cause.</w:t>
      </w:r>
    </w:p>
    <w:p>
      <w:pPr>
        <w:sectPr>
          <w:pgSz w:w="11900" w:h="16838" w:orient="portrait"/>
          <w:cols w:equalWidth="0" w:num="1">
            <w:col w:w="9019"/>
          </w:cols>
          <w:pgMar w:left="1440" w:top="108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____________________________</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ectPr>
          <w:pgSz w:w="11900" w:h="16838" w:orient="portrait"/>
          <w:cols w:equalWidth="0" w:num="2">
            <w:col w:w="3380" w:space="720"/>
            <w:col w:w="4919"/>
          </w:cols>
          <w:pgMar w:left="1440" w:top="1089" w:right="1440"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Review and Decision</w:t>
      </w:r>
    </w:p>
    <w:p>
      <w:pPr>
        <w:spacing w:after="0" w:line="237"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undersigned hereby certifies that the Insider Trading Compliance Committee has reviewed the foregoing application and</w:t>
      </w:r>
    </w:p>
    <w:p>
      <w:pPr>
        <w:spacing w:after="0" w:line="179" w:lineRule="exact"/>
        <w:rPr>
          <w:sz w:val="20"/>
          <w:szCs w:val="20"/>
          <w:color w:val="auto"/>
        </w:rPr>
      </w:pPr>
    </w:p>
    <w:p>
      <w:pPr>
        <w:ind w:left="860"/>
        <w:spacing w:after="0"/>
        <w:tabs>
          <w:tab w:leader="none" w:pos="3420" w:val="left"/>
        </w:tabs>
        <w:rPr>
          <w:sz w:val="20"/>
          <w:szCs w:val="20"/>
          <w:color w:val="auto"/>
        </w:rPr>
      </w:pPr>
      <w:r>
        <w:rPr>
          <w:rFonts w:ascii="Times New Roman" w:cs="Times New Roman" w:eastAsia="Times New Roman" w:hAnsi="Times New Roman"/>
          <w:sz w:val="22"/>
          <w:szCs w:val="22"/>
          <w:color w:val="auto"/>
        </w:rPr>
        <w:t xml:space="preserve">___ </w:t>
      </w:r>
      <w:r>
        <w:rPr>
          <w:rFonts w:ascii="Times New Roman" w:cs="Times New Roman" w:eastAsia="Times New Roman" w:hAnsi="Times New Roman"/>
          <w:sz w:val="22"/>
          <w:szCs w:val="22"/>
          <w:b w:val="1"/>
          <w:bCs w:val="1"/>
          <w:i w:val="1"/>
          <w:iCs w:val="1"/>
          <w:color w:val="auto"/>
        </w:rPr>
        <w:t>Approves</w:t>
      </w:r>
      <w:r>
        <w:rPr>
          <w:sz w:val="20"/>
          <w:szCs w:val="20"/>
          <w:color w:val="auto"/>
        </w:rPr>
        <w:tab/>
      </w:r>
      <w:r>
        <w:rPr>
          <w:rFonts w:ascii="Times New Roman" w:cs="Times New Roman" w:eastAsia="Times New Roman" w:hAnsi="Times New Roman"/>
          <w:sz w:val="21"/>
          <w:szCs w:val="21"/>
          <w:color w:val="auto"/>
        </w:rPr>
        <w:t xml:space="preserve">__ </w:t>
      </w:r>
      <w:r>
        <w:rPr>
          <w:rFonts w:ascii="Times New Roman" w:cs="Times New Roman" w:eastAsia="Times New Roman" w:hAnsi="Times New Roman"/>
          <w:sz w:val="21"/>
          <w:szCs w:val="21"/>
          <w:b w:val="1"/>
          <w:bCs w:val="1"/>
          <w:i w:val="1"/>
          <w:iCs w:val="1"/>
          <w:color w:val="auto"/>
        </w:rPr>
        <w:t>Prohibits</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proposed trade(s).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328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auto"/>
              </w:rPr>
              <w:t>Chief Financial Officer</w:t>
            </w:r>
          </w:p>
        </w:tc>
        <w:tc>
          <w:tcPr>
            <w:tcW w:w="3700" w:type="dxa"/>
            <w:vAlign w:val="bottom"/>
            <w:tcBorders>
              <w:top w:val="single" w:sz="8" w:color="auto"/>
            </w:tcBorders>
          </w:tcPr>
          <w:p>
            <w:pPr>
              <w:ind w:left="1260"/>
              <w:spacing w:after="0" w:line="229" w:lineRule="exact"/>
              <w:rPr>
                <w:sz w:val="20"/>
                <w:szCs w:val="20"/>
                <w:color w:val="auto"/>
              </w:rPr>
            </w:pPr>
            <w:r>
              <w:rPr>
                <w:rFonts w:ascii="Times New Roman" w:cs="Times New Roman" w:eastAsia="Times New Roman" w:hAnsi="Times New Roman"/>
                <w:sz w:val="22"/>
                <w:szCs w:val="22"/>
                <w:color w:val="auto"/>
              </w:rPr>
              <w:t>Date</w:t>
            </w:r>
          </w:p>
        </w:tc>
        <w:tc>
          <w:tcPr>
            <w:tcW w:w="1620" w:type="dxa"/>
            <w:vAlign w:val="bottom"/>
          </w:tcPr>
          <w:p>
            <w:pPr>
              <w:spacing w:after="0"/>
              <w:rPr>
                <w:sz w:val="19"/>
                <w:szCs w:val="19"/>
                <w:color w:val="auto"/>
              </w:rPr>
            </w:pPr>
          </w:p>
        </w:tc>
      </w:t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(or Designee)</w:t>
            </w:r>
          </w:p>
        </w:tc>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24"/>
        </w:trPr>
        <w:tc>
          <w:tcPr>
            <w:tcW w:w="3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9" w:right="1440" w:bottom="1440" w:gutter="0" w:footer="0" w:header="0"/>
          <w:type w:val="continuous"/>
        </w:sectPr>
      </w:pPr>
    </w:p>
    <w:bookmarkStart w:id="131" w:name="page132"/>
    <w:bookmarkEnd w:id="13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EXHIBT 19.1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APPLICATION AND APPROVAL FORM</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FOR TRADING IN HARDSHIP SITUATIONS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304165</wp:posOffset>
            </wp:positionV>
            <wp:extent cx="5383530" cy="1183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5383530" cy="1183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Proposed Trade Date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Type of Security to be Traded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Type of Trade (Purchase/Sale)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Number of Shares to be Traded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Reason(s) for Trading: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 ____________________________, hereby certify that (i) I am not in possession of any Material</w:t>
      </w:r>
    </w:p>
    <w:p>
      <w:pPr>
        <w:spacing w:after="0" w:line="26"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Nonpublic Information concerning the Company (as defined in the Company’s “Insider Trading Policy”) and (ii) to the best of my knowledge, the proposed trade(s) listed above do not violate the trading restrictions of Section 16 of the Securities Exchange Act of 1934 and, if relied upon, Rule 144 under the Securities Act of 1933. I understand that if I trade while possessing such information or in violation of such trading restrictions, I may be subject to severe civil and/or criminal penalties and may be subject to discipline by the Company up to and including termination for cause.</w:t>
      </w:r>
    </w:p>
    <w:p>
      <w:pPr>
        <w:spacing w:after="0" w:line="200" w:lineRule="exact"/>
        <w:rPr>
          <w:sz w:val="20"/>
          <w:szCs w:val="20"/>
          <w:color w:val="auto"/>
        </w:rPr>
      </w:pPr>
    </w:p>
    <w:p>
      <w:pPr>
        <w:spacing w:after="0" w:line="278"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44234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Review and Decision</w:t>
      </w:r>
    </w:p>
    <w:p>
      <w:pPr>
        <w:spacing w:after="0" w:line="237"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 undersigned hereby certifies that the Insider Trading Compliance Committee or the Chief Financial Officer (as applicable pursuant to the Company’s Insider Trading Policy) has reviewed the foregoing application and</w:t>
      </w:r>
    </w:p>
    <w:p>
      <w:pPr>
        <w:spacing w:after="0" w:line="194" w:lineRule="exact"/>
        <w:rPr>
          <w:sz w:val="20"/>
          <w:szCs w:val="20"/>
          <w:color w:val="auto"/>
        </w:rPr>
      </w:pPr>
    </w:p>
    <w:p>
      <w:pPr>
        <w:ind w:left="860"/>
        <w:spacing w:after="0"/>
        <w:tabs>
          <w:tab w:leader="none" w:pos="3420" w:val="left"/>
        </w:tabs>
        <w:rPr>
          <w:sz w:val="20"/>
          <w:szCs w:val="20"/>
          <w:color w:val="auto"/>
        </w:rPr>
      </w:pPr>
      <w:r>
        <w:rPr>
          <w:rFonts w:ascii="Times New Roman" w:cs="Times New Roman" w:eastAsia="Times New Roman" w:hAnsi="Times New Roman"/>
          <w:sz w:val="22"/>
          <w:szCs w:val="22"/>
          <w:color w:val="auto"/>
        </w:rPr>
        <w:t xml:space="preserve">_ </w:t>
      </w:r>
      <w:r>
        <w:rPr>
          <w:rFonts w:ascii="Times New Roman" w:cs="Times New Roman" w:eastAsia="Times New Roman" w:hAnsi="Times New Roman"/>
          <w:sz w:val="22"/>
          <w:szCs w:val="22"/>
          <w:b w:val="1"/>
          <w:bCs w:val="1"/>
          <w:i w:val="1"/>
          <w:iCs w:val="1"/>
          <w:color w:val="auto"/>
        </w:rPr>
        <w:t>Approves</w:t>
      </w:r>
      <w:r>
        <w:rPr>
          <w:sz w:val="20"/>
          <w:szCs w:val="20"/>
          <w:color w:val="auto"/>
        </w:rPr>
        <w:tab/>
      </w:r>
      <w:r>
        <w:rPr>
          <w:rFonts w:ascii="Times New Roman" w:cs="Times New Roman" w:eastAsia="Times New Roman" w:hAnsi="Times New Roman"/>
          <w:sz w:val="21"/>
          <w:szCs w:val="21"/>
          <w:color w:val="auto"/>
        </w:rPr>
        <w:t xml:space="preserve">_ </w:t>
      </w:r>
      <w:r>
        <w:rPr>
          <w:rFonts w:ascii="Times New Roman" w:cs="Times New Roman" w:eastAsia="Times New Roman" w:hAnsi="Times New Roman"/>
          <w:sz w:val="21"/>
          <w:szCs w:val="21"/>
          <w:b w:val="1"/>
          <w:bCs w:val="1"/>
          <w:i w:val="1"/>
          <w:iCs w:val="1"/>
          <w:color w:val="auto"/>
        </w:rPr>
        <w:t>Prohibits</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proposed trade(s).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328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auto"/>
              </w:rPr>
              <w:t>Chief Financial Officer</w:t>
            </w:r>
          </w:p>
        </w:tc>
        <w:tc>
          <w:tcPr>
            <w:tcW w:w="3700" w:type="dxa"/>
            <w:vAlign w:val="bottom"/>
            <w:tcBorders>
              <w:top w:val="single" w:sz="8" w:color="auto"/>
            </w:tcBorders>
          </w:tcPr>
          <w:p>
            <w:pPr>
              <w:ind w:left="1260"/>
              <w:spacing w:after="0" w:line="229" w:lineRule="exact"/>
              <w:rPr>
                <w:sz w:val="20"/>
                <w:szCs w:val="20"/>
                <w:color w:val="auto"/>
              </w:rPr>
            </w:pPr>
            <w:r>
              <w:rPr>
                <w:rFonts w:ascii="Times New Roman" w:cs="Times New Roman" w:eastAsia="Times New Roman" w:hAnsi="Times New Roman"/>
                <w:sz w:val="22"/>
                <w:szCs w:val="22"/>
                <w:color w:val="auto"/>
              </w:rPr>
              <w:t>Date</w:t>
            </w:r>
          </w:p>
        </w:tc>
        <w:tc>
          <w:tcPr>
            <w:tcW w:w="1620" w:type="dxa"/>
            <w:vAlign w:val="bottom"/>
          </w:tcPr>
          <w:p>
            <w:pPr>
              <w:spacing w:after="0"/>
              <w:rPr>
                <w:sz w:val="19"/>
                <w:szCs w:val="19"/>
                <w:color w:val="auto"/>
              </w:rPr>
            </w:pPr>
          </w:p>
        </w:tc>
      </w:t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(or Designee)</w:t>
            </w:r>
          </w:p>
        </w:tc>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24"/>
        </w:trPr>
        <w:tc>
          <w:tcPr>
            <w:tcW w:w="3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9" w:right="1440" w:bottom="1440" w:gutter="0" w:footer="0" w:header="0"/>
        </w:sectPr>
      </w:pPr>
    </w:p>
    <w:bookmarkStart w:id="132" w:name="page133"/>
    <w:bookmarkEnd w:id="1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27,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430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4"/>
        </w:trPr>
        <w:tc>
          <w:tcPr>
            <w:tcW w:w="188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1.</w:t>
            </w:r>
          </w:p>
        </w:tc>
        <w:tc>
          <w:tcPr>
            <w:tcW w:w="4300" w:type="dxa"/>
            <w:vAlign w:val="bottom"/>
            <w:gridSpan w:val="2"/>
            <w:vMerge w:val="continue"/>
          </w:tcPr>
          <w:p>
            <w:pPr>
              <w:spacing w:after="0"/>
              <w:rPr>
                <w:sz w:val="16"/>
                <w:szCs w:val="16"/>
                <w:color w:val="auto"/>
              </w:rPr>
            </w:pPr>
          </w:p>
        </w:tc>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11"/>
        </w:trPr>
        <w:tc>
          <w:tcPr>
            <w:tcW w:w="1880" w:type="dxa"/>
            <w:vAlign w:val="bottom"/>
            <w:vMerge w:val="continue"/>
          </w:tcPr>
          <w:p>
            <w:pPr>
              <w:spacing w:after="0"/>
              <w:rPr>
                <w:sz w:val="18"/>
                <w:szCs w:val="18"/>
                <w:color w:val="auto"/>
              </w:rPr>
            </w:pPr>
          </w:p>
        </w:tc>
        <w:tc>
          <w:tcPr>
            <w:tcW w:w="40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Willdan Electrical of NY, Inc.</w:t>
            </w:r>
          </w:p>
        </w:tc>
        <w:tc>
          <w:tcPr>
            <w:tcW w:w="240" w:type="dxa"/>
            <w:vAlign w:val="bottom"/>
          </w:tcPr>
          <w:p>
            <w:pPr>
              <w:spacing w:after="0"/>
              <w:rPr>
                <w:sz w:val="18"/>
                <w:szCs w:val="18"/>
                <w:color w:val="auto"/>
              </w:rPr>
            </w:pPr>
          </w:p>
        </w:tc>
        <w:tc>
          <w:tcPr>
            <w:tcW w:w="1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York</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Willdan Engineering</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29"/>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Willdan Energy Solutions</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0"/>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4.</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Willdan Financial Services</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29"/>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Willdan Lighting &amp; Electric, Inc.</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6.</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Electrotec of NY Electrical Inc.</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7.</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Public Agency Resources</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29"/>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8.</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Integral Analytics, Inc.</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0"/>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9.</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Willdan Energy Co.</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8"/>
        </w:trPr>
        <w:tc>
          <w:tcPr>
            <w:tcW w:w="18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10.</w:t>
            </w: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Energy and Environmental Economics, Inc.</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777"/>
        </w:trPr>
        <w:tc>
          <w:tcPr>
            <w:tcW w:w="18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33" w:name="page134"/>
    <w:bookmarkEnd w:id="133"/>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Willdan Group, Inc.:</w:t>
      </w:r>
    </w:p>
    <w:p>
      <w:pPr>
        <w:spacing w:after="0" w:line="194"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on Form S-8 (Nos. 333-273079, 333-265833, 333-232438, 333-219133, 333-219129, 333-212907, 333-184823, 333-168787, 333-152951, 333-139127, and 333-280582) and Form S-3 (No. 333-277798) of Willdan Group, Inc. of our report dated March 6, 2025 relating to the consolidated financial statements, and the related notes thereto, and the effectiveness of internal control over financial reporting, appearing in this Annual Report on Form 10-K.</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/s/ Crowe LLP</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4" w:name="page135"/>
    <w:bookmarkEnd w:id="1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Michael A. Bieber, certify that:</w:t>
      </w:r>
    </w:p>
    <w:p>
      <w:pPr>
        <w:spacing w:after="0" w:line="212" w:lineRule="exact"/>
        <w:rPr>
          <w:sz w:val="20"/>
          <w:szCs w:val="20"/>
          <w:color w:val="auto"/>
        </w:rPr>
      </w:pPr>
    </w:p>
    <w:p>
      <w:pPr>
        <w:ind w:left="720" w:hanging="676"/>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Willdan Group, Inc.;</w:t>
      </w:r>
    </w:p>
    <w:p>
      <w:pPr>
        <w:spacing w:after="0" w:line="198"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2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7"/>
          <w:szCs w:val="17"/>
          <w:color w:val="auto"/>
        </w:rPr>
      </w:pPr>
    </w:p>
    <w:p>
      <w:pPr>
        <w:ind w:left="1340" w:right="79" w:hanging="648"/>
        <w:spacing w:after="0" w:line="261" w:lineRule="auto"/>
        <w:tabs>
          <w:tab w:leader="none" w:pos="137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7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Times New Roman" w:cs="Times New Roman" w:eastAsia="Times New Roman" w:hAnsi="Times New Roman"/>
          <w:sz w:val="18"/>
          <w:szCs w:val="18"/>
          <w:color w:val="auto"/>
        </w:rPr>
      </w:pPr>
    </w:p>
    <w:p>
      <w:pPr>
        <w:jc w:val="both"/>
        <w:ind w:left="700" w:right="319" w:hanging="656"/>
        <w:spacing w:after="0" w:line="258" w:lineRule="auto"/>
        <w:tabs>
          <w:tab w:leader="none" w:pos="7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340" w:right="299" w:hanging="648"/>
        <w:spacing w:after="0" w:line="266" w:lineRule="auto"/>
        <w:tabs>
          <w:tab w:leader="none" w:pos="136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40" w:right="119" w:hanging="648"/>
        <w:spacing w:after="0" w:line="282" w:lineRule="auto"/>
        <w:tabs>
          <w:tab w:leader="none" w:pos="13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MICHAEL A. BIEBER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524510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60" w:right="1799" w:firstLine="1729"/>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SECTION 302 CERTIFICATION OF CHIEF FINANCIAL OFFICER </w:t>
      </w:r>
      <w:r>
        <w:rPr>
          <w:rFonts w:ascii="Times New Roman" w:cs="Times New Roman" w:eastAsia="Times New Roman" w:hAnsi="Times New Roman"/>
          <w:sz w:val="18"/>
          <w:szCs w:val="18"/>
          <w:color w:val="auto"/>
        </w:rPr>
        <w:t>I, Creighton K. Early, certify that:</w:t>
      </w:r>
    </w:p>
    <w:p>
      <w:pPr>
        <w:ind w:left="700" w:hanging="650"/>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Willdan Group,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379" w:hanging="650"/>
        <w:spacing w:after="0" w:line="289" w:lineRule="auto"/>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7"/>
          <w:szCs w:val="17"/>
          <w:color w:val="auto"/>
        </w:rPr>
      </w:pPr>
    </w:p>
    <w:p>
      <w:pPr>
        <w:ind w:left="1340" w:right="79" w:hanging="642"/>
        <w:spacing w:after="0" w:line="261"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700" w:right="339" w:hanging="650"/>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25" w:lineRule="exact"/>
        <w:rPr>
          <w:sz w:val="20"/>
          <w:szCs w:val="20"/>
          <w:color w:val="auto"/>
        </w:rPr>
      </w:pPr>
    </w:p>
    <w:p>
      <w:pPr>
        <w:ind w:left="426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C</w:t>
      </w:r>
      <w:r>
        <w:rPr>
          <w:rFonts w:ascii="Times New Roman" w:cs="Times New Roman" w:eastAsia="Times New Roman" w:hAnsi="Times New Roman"/>
          <w:sz w:val="12"/>
          <w:szCs w:val="12"/>
          <w:color w:val="auto"/>
        </w:rPr>
        <w:t>reighton</w:t>
      </w:r>
      <w:r>
        <w:rPr>
          <w:rFonts w:ascii="Times New Roman" w:cs="Times New Roman" w:eastAsia="Times New Roman" w:hAnsi="Times New Roman"/>
          <w:sz w:val="18"/>
          <w:szCs w:val="18"/>
          <w:color w:val="auto"/>
        </w:rPr>
        <w:t xml:space="preserve"> K. </w:t>
      </w:r>
      <w:r>
        <w:rPr>
          <w:rFonts w:ascii="Times New Roman" w:cs="Times New Roman" w:eastAsia="Times New Roman" w:hAnsi="Times New Roman"/>
          <w:sz w:val="12"/>
          <w:szCs w:val="12"/>
          <w:color w:val="auto"/>
        </w:rPr>
        <w:t>early</w:t>
      </w:r>
    </w:p>
    <w:p>
      <w:pPr>
        <w:spacing w:after="0" w:line="5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-127635</wp:posOffset>
            </wp:positionV>
            <wp:extent cx="26828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6" w:name="page137"/>
    <w:bookmarkEnd w:id="136"/>
    <w:p>
      <w:pPr>
        <w:ind w:left="80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1350, as Adopted Pursuant to § 906 of the Sarbanes-Oxley Act of 2002</w:t>
      </w:r>
    </w:p>
    <w:p>
      <w:pPr>
        <w:spacing w:after="0" w:line="159" w:lineRule="exact"/>
        <w:rPr>
          <w:sz w:val="20"/>
          <w:szCs w:val="20"/>
          <w:color w:val="auto"/>
        </w:rPr>
      </w:pPr>
    </w:p>
    <w:p>
      <w:pPr>
        <w:ind w:left="40" w:right="2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Annual Report on Form 10-K of Willdan Group, Inc. (the “Company”) for the fiscal year ended December 27, 2024,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p>
      <w:pPr>
        <w:spacing w:after="0" w:line="187" w:lineRule="exact"/>
        <w:rPr>
          <w:sz w:val="20"/>
          <w:szCs w:val="20"/>
          <w:color w:val="auto"/>
        </w:rPr>
      </w:pPr>
    </w:p>
    <w:p>
      <w:pPr>
        <w:ind w:left="1340" w:right="379" w:hanging="648"/>
        <w:spacing w:after="0" w:line="28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MICHAEL A. BIEBER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March 6, 2025</w:t>
      </w:r>
    </w:p>
    <w:p>
      <w:pPr>
        <w:spacing w:after="0" w:line="2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CREIGHTON K. EARLY</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March 6, 2025</w:t>
      </w:r>
    </w:p>
    <w:p>
      <w:pPr>
        <w:spacing w:after="0" w:line="252"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2"/>
    </w:lvl>
  </w:abstractNum>
  <w:abstractNum w:abstractNumId="13">
    <w:nsid w:val="51EAD36B"/>
    <w:multiLevelType w:val="hybridMultilevel"/>
    <w:lvl w:ilvl="0">
      <w:lvlJc w:val="left"/>
      <w:lvlText w:val="%1."/>
      <w:numFmt w:val="decimal"/>
      <w:start w:val="3"/>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lowerLetter"/>
      <w:start w:val="3"/>
    </w:lvl>
  </w:abstractNum>
  <w:abstractNum w:abstractNumId="16">
    <w:nsid w:val="153EA438"/>
    <w:multiLevelType w:val="hybridMultilevel"/>
    <w:lvl w:ilvl="0">
      <w:lvlJc w:val="left"/>
      <w:lvlText w:val="%1."/>
      <w:numFmt w:val="decimal"/>
      <w:start w:val="9"/>
    </w:lvl>
  </w:abstractNum>
  <w:abstractNum w:abstractNumId="17">
    <w:nsid w:val="3855585C"/>
    <w:multiLevelType w:val="hybridMultilevel"/>
    <w:lvl w:ilvl="0">
      <w:lvlJc w:val="left"/>
      <w:lvlText w:val="%1."/>
      <w:numFmt w:val="decimal"/>
      <w:start w:val="7"/>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0"/>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4"/>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2"/>
    </w:lvl>
  </w:abstractNum>
  <w:abstractNum w:abstractNumId="28">
    <w:nsid w:val="6DE91B18"/>
    <w:multiLevelType w:val="hybridMultilevel"/>
    <w:lvl w:ilvl="0">
      <w:lvlJc w:val="left"/>
      <w:lvlText w:val="%1."/>
      <w:numFmt w:val="decimal"/>
      <w:start w:val="3"/>
    </w:lvl>
  </w:abstractNum>
  <w:abstractNum w:abstractNumId="29">
    <w:nsid w:val="38437FDB"/>
    <w:multiLevelType w:val="hybridMultilevel"/>
    <w:lvl w:ilvl="0">
      <w:lvlJc w:val="left"/>
      <w:lvlText w:val="%1"/>
      <w:numFmt w:val="decimal"/>
      <w:start w:val="97"/>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upperLetter"/>
      <w:start w:val="9"/>
    </w:lvl>
  </w:abstractNum>
  <w:abstractNum w:abstractNumId="36">
    <w:nsid w:val="1BA026F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37">
    <w:nsid w:val="79A1DEAA"/>
    <w:multiLevelType w:val="hybridMultilevel"/>
    <w:lvl w:ilvl="0">
      <w:lvlJc w:val="left"/>
      <w:lvlText w:val="%1"/>
      <w:numFmt w:val="upperLetter"/>
      <w:start w:val="1"/>
    </w:lvl>
    <w:lvl w:ilvl="1">
      <w:lvlJc w:val="left"/>
      <w:lvlText w:val="%2."/>
      <w:numFmt w:val="decimal"/>
      <w:start w:val="3"/>
    </w:lvl>
  </w:abstractNum>
  <w:abstractNum w:abstractNumId="38">
    <w:nsid w:val="75C6C33A"/>
    <w:multiLevelType w:val="hybridMultilevel"/>
    <w:lvl w:ilvl="0">
      <w:lvlJc w:val="left"/>
      <w:lvlText w:val="%1."/>
      <w:numFmt w:val="upperLetter"/>
      <w:start w:val="2"/>
    </w:lvl>
    <w:lvl w:ilvl="1">
      <w:lvlJc w:val="left"/>
      <w:lvlText w:val="%2"/>
      <w:numFmt w:val="decimal"/>
      <w:start w:val="1"/>
    </w:lvl>
  </w:abstractNum>
  <w:abstractNum w:abstractNumId="39">
    <w:nsid w:val="12E685FB"/>
    <w:multiLevelType w:val="hybridMultilevel"/>
    <w:lvl w:ilvl="0">
      <w:lvlJc w:val="left"/>
      <w:lvlText w:val="%1."/>
      <w:numFmt w:val="upperLetter"/>
      <w:start w:val="3"/>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42">
    <w:nsid w:val="374A3FE6"/>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upperLetter"/>
      <w:start w:val="2"/>
    </w:lvl>
  </w:abstractNum>
  <w:abstractNum w:abstractNumId="45">
    <w:nsid w:val="649BB77C"/>
    <w:multiLevelType w:val="hybridMultilevel"/>
    <w:lvl w:ilvl="0">
      <w:lvlJc w:val="left"/>
      <w:lvlText w:val="%1."/>
      <w:numFmt w:val="upperLetter"/>
      <w:start w:val="3"/>
    </w:lvl>
  </w:abstractNum>
  <w:abstractNum w:abstractNumId="46">
    <w:nsid w:val="275AC794"/>
    <w:multiLevelType w:val="hybridMultilevel"/>
    <w:lvl w:ilvl="0">
      <w:lvlJc w:val="left"/>
      <w:lvlText w:val="%1."/>
      <w:numFmt w:val="upperLetter"/>
      <w:start w:val="4"/>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upperLetter"/>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5"/>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upperLetter"/>
      <w:start w:val="2"/>
    </w:lvl>
    <w:lvl w:ilvl="1">
      <w:lvlJc w:val="left"/>
      <w:lvlText w:val="%2."/>
      <w:numFmt w:val="decimal"/>
      <w:start w:val="1"/>
    </w:lvl>
  </w:abstractNum>
  <w:abstractNum w:abstractNumId="53">
    <w:nsid w:val="15B5AF5C"/>
    <w:multiLevelType w:val="hybridMultilevel"/>
    <w:lvl w:ilvl="0">
      <w:lvlJc w:val="left"/>
      <w:lvlText w:val="%1."/>
      <w:numFmt w:val="upperLetter"/>
      <w:start w:val="22"/>
    </w:lvl>
    <w:lvl w:ilvl="1">
      <w:lvlJc w:val="left"/>
      <w:lvlText w:val="%2"/>
      <w:numFmt w:val="upperLetter"/>
      <w:start w:val="1"/>
    </w:lvl>
  </w:abstractNum>
  <w:abstractNum w:abstractNumId="54">
    <w:nsid w:val="741226BB"/>
    <w:multiLevelType w:val="hybridMultilevel"/>
    <w:lvl w:ilvl="0">
      <w:lvlJc w:val="left"/>
      <w:lvlText w:val="%1."/>
      <w:numFmt w:val="upperLetter"/>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upperLetter"/>
      <w:start w:val="3"/>
    </w:lvl>
  </w:abstractNum>
  <w:abstractNum w:abstractNumId="57">
    <w:nsid w:val="3F6AB60F"/>
    <w:multiLevelType w:val="hybridMultilevel"/>
    <w:lvl w:ilvl="0">
      <w:lvlJc w:val="left"/>
      <w:lvlText w:val="%1."/>
      <w:numFmt w:val="upperLetter"/>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upperLetter"/>
      <w:start w:val="2"/>
    </w:lvl>
  </w:abstractNum>
  <w:abstractNum w:abstractNumId="60">
    <w:nsid w:val="77AE35EB"/>
    <w:multiLevelType w:val="hybridMultilevel"/>
    <w:lvl w:ilvl="0">
      <w:lvlJc w:val="left"/>
      <w:lvlText w:val="%1."/>
      <w:numFmt w:val="upperLetter"/>
      <w:start w:val="1"/>
    </w:lvl>
    <w:lvl w:ilvl="1">
      <w:lvlJc w:val="left"/>
      <w:lvlText w:val="%2."/>
      <w:numFmt w:val="decimal"/>
      <w:start w:val="1"/>
    </w:lvl>
  </w:abstractNum>
  <w:abstractNum w:abstractNumId="61">
    <w:nsid w:val="579BE4F1"/>
    <w:multiLevelType w:val="hybridMultilevel"/>
    <w:lvl w:ilvl="0">
      <w:lvlJc w:val="left"/>
      <w:lvlText w:val="%1."/>
      <w:numFmt w:val="upperLetter"/>
      <w:start w:val="24"/>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17" Type="http://schemas.openxmlformats.org/officeDocument/2006/relationships/hyperlink" Target="http://www.sec.gov/Archives/edgar/data/1370450/000104746906010648/a2172308zex-3_1.htm" TargetMode="External"/><Relationship Id="rId118" Type="http://schemas.openxmlformats.org/officeDocument/2006/relationships/hyperlink" Target="https://www.sec.gov/Archives/edgar/data/1370450/000155837023011834/wldn-20230707xex3d1.htm" TargetMode="External"/><Relationship Id="rId119" Type="http://schemas.openxmlformats.org/officeDocument/2006/relationships/hyperlink" Target="http://www.sec.gov/Archives/edgar/data/1370450/000104746906011904/a2173104zex-4_1.htm" TargetMode="External"/><Relationship Id="rId120" Type="http://schemas.openxmlformats.org/officeDocument/2006/relationships/hyperlink" Target="https://www.sec.gov/Archives/edgar/data/1370450/000155837023016247/wldn-20230929xex10d1.htm" TargetMode="External"/><Relationship Id="rId121" Type="http://schemas.openxmlformats.org/officeDocument/2006/relationships/hyperlink" Target="https://www.sec.gov/Archives/edgar/data/1370450/000155837023016247/wldn-20230929xex10d2.htm" TargetMode="External"/><Relationship Id="rId122" Type="http://schemas.openxmlformats.org/officeDocument/2006/relationships/hyperlink" Target="https://www.sec.gov/Archives/edgar/data/1370450/000155837023003367/wldn-20221230xex10d15.htm" TargetMode="External"/><Relationship Id="rId125" Type="http://schemas.openxmlformats.org/officeDocument/2006/relationships/hyperlink" Target="https://www.sec.gov/Archives/edgar/data/1370450/000155837023003367/wldn-20221230xex10d16.htm" TargetMode="External"/><Relationship Id="rId126" Type="http://schemas.openxmlformats.org/officeDocument/2006/relationships/hyperlink" Target="https://www.sec.gov/Archives/edgar/data/1370450/000155837024002758/wldn-20231229xex10d18.htm" TargetMode="External"/><Relationship Id="rId127" Type="http://schemas.openxmlformats.org/officeDocument/2006/relationships/hyperlink" Target="https://www.sec.gov/Archives/edgar/data/1370450/000155837024002758/wldn-20231229xex10d19.htm" TargetMode="External"/><Relationship Id="rId128" Type="http://schemas.openxmlformats.org/officeDocument/2006/relationships/hyperlink" Target="https://www.sec.gov/Archives/edgar/data/1370450/000155837022009942/wldn-20220609xex10d1.htm" TargetMode="External"/><Relationship Id="rId129" Type="http://schemas.openxmlformats.org/officeDocument/2006/relationships/hyperlink" Target="http://www.sec.gov/Archives/edgar/data/1370450/000155837017004740/ex-10d2.htm" TargetMode="External"/><Relationship Id="rId130" Type="http://schemas.openxmlformats.org/officeDocument/2006/relationships/hyperlink" Target="http://www.sec.gov/Archives/edgar/data/1370450/000155837016006383/wldn-20160609ex101ca32fd.htm" TargetMode="External"/><Relationship Id="rId131" Type="http://schemas.openxmlformats.org/officeDocument/2006/relationships/hyperlink" Target="https://www.sec.gov/Archives/edgar/data/1370450/000155837024002215/wldn-20240228xex10d1.htm" TargetMode="External"/><Relationship Id="rId132" Type="http://schemas.openxmlformats.org/officeDocument/2006/relationships/hyperlink" Target="https://www.sec.gov/Archives/edgar/data/1370450/000155837024015826/wldn-20241113xex10d1.htm" TargetMode="External"/><Relationship Id="rId133" Type="http://schemas.openxmlformats.org/officeDocument/2006/relationships/hyperlink" Target="https://www.sec.gov/Archives/edgar/data/1370450/000155837024015826/wldn-20241113xex10d2.htm" TargetMode="External"/><Relationship Id="rId134" Type="http://schemas.openxmlformats.org/officeDocument/2006/relationships/hyperlink" Target="https://www.sec.gov/Archives/edgar/data/1370450/000155837024015826/wldn-20241113xex10d3.htm" TargetMode="External"/><Relationship Id="rId135" Type="http://schemas.openxmlformats.org/officeDocument/2006/relationships/hyperlink" Target="https://www.sec.gov/Archives/edgar/data/1370450/000155837024002758/wldn-20231229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2025-03-07T05:10:05Z</dcterms:created>
  <dcterms:modified xsi:type="dcterms:W3CDTF">2025-03-07T05:10:05Z</dcterms:modified>
</cp:coreProperties>
</file>