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42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2429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BIEBER MICHAEL 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80"/>
        <w:spacing w:after="0" w:line="322"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59"/>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6" w:lineRule="exact"/>
        <w:rPr>
          <w:sz w:val="24"/>
          <w:szCs w:val="24"/>
          <w:color w:val="auto"/>
        </w:rPr>
      </w:pPr>
    </w:p>
    <w:p>
      <w:pPr>
        <w:sectPr>
          <w:pgSz w:w="11900" w:h="16838" w:orient="portrait"/>
          <w:cols w:equalWidth="0" w:num="3">
            <w:col w:w="3180" w:space="720"/>
            <w:col w:w="3101" w:space="720"/>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ANAHEIM</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92806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6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40,009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16.27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289,534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16,667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28.19</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306,201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25,429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90.88</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280,772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8"/>
              </w:rPr>
              <w:t>23,015</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91.95</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257,757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9"/>
              </w:rPr>
              <w:t>7,956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92.65</w:t>
            </w:r>
            <w:r>
              <w:rPr>
                <w:rFonts w:ascii="Times New Roman" w:cs="Times New Roman" w:eastAsia="Times New Roman" w:hAnsi="Times New Roman"/>
                <w:sz w:val="21"/>
                <w:szCs w:val="21"/>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249,801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276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93.74</w:t>
            </w:r>
            <w:r>
              <w:rPr>
                <w:rFonts w:ascii="Times New Roman" w:cs="Times New Roman" w:eastAsia="Times New Roman" w:hAnsi="Times New Roman"/>
                <w:sz w:val="21"/>
                <w:szCs w:val="21"/>
                <w:color w:val="008000"/>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249,525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16.27</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05/14/2026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40,009</w:t>
            </w:r>
          </w:p>
        </w:tc>
        <w:tc>
          <w:tcPr>
            <w:tcW w:w="8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11/03/2017</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11/03/2026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40,009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28.19</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05/14/2026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16,667</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03/08/2018</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03/08/2027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16,667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18,000 shares of restricted stock units that vest in three substantially equal installments on each of March 3, 2027, March 3, 2028 and March 3, 2029, (ii) 12,834 shares of restricted stock units that vest in two substantially equal installments on each of March 17, 2027 and March 17, 2028, and (iii) 5,834 shares of restricted stock units that vest on March 20, 2027, subject to the Reporting Person's continued service to the Issuer through the applicable vesting date.</w:t>
      </w:r>
    </w:p>
    <w:p>
      <w:pPr>
        <w:spacing w:after="0" w:line="27" w:lineRule="exact"/>
        <w:rPr>
          <w:rFonts w:ascii="Times New Roman" w:cs="Times New Roman" w:eastAsia="Times New Roman" w:hAnsi="Times New Roman"/>
          <w:sz w:val="13"/>
          <w:szCs w:val="13"/>
          <w:color w:val="008000"/>
        </w:rPr>
      </w:pPr>
    </w:p>
    <w:p>
      <w:pPr>
        <w:jc w:val="both"/>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$90.50 to $91.46, inclusive. The Reporting Person undertakes to provide to Willdan Group, Inc., any security holder of Willdan Group, Inc., or the staff of the Securities and Exchange Commission, upon request, full information regarding the number of shares sold at each separate price within the ranges set forth in this footnote (2), footnote (3), footnote (4), and footnote (5).</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$91.50 to $92.49,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$92.50 to $93.41, inclusive.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$93.62 to $93.99, inclusive.</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under the Willdan Group, Inc. Amended and Restated 2008 Performance Incentive Plan, which vested in three equal installments on each of November 3, 2017, November 3, 2018, and November 3, 2019.</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under the Willdan Group, Inc. Amended and Restated 2008 Performance Incentive Plan, which vested in three equal installments on each of March 8, 2018, March 8, 2019, and March 8, 2020.</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-9525</wp:posOffset>
            </wp:positionV>
            <wp:extent cx="954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Michael A. 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882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281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0606"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2026-05-15T17:09:47Z</dcterms:created>
  <dcterms:modified xsi:type="dcterms:W3CDTF">2026-05-15T17:09:47Z</dcterms:modified>
</cp:coreProperties>
</file>