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EARLY CREIGHTON K</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2401 E. KATELLA AVE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Willdan Group,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WLDN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03/20/2026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565"/>
        <w:spacing w:after="0"/>
        <w:rPr>
          <w:sz w:val="20"/>
          <w:szCs w:val="20"/>
          <w:color w:val="auto"/>
        </w:rPr>
      </w:pPr>
      <w:r>
        <w:rPr>
          <w:rFonts w:ascii="Times New Roman" w:cs="Times New Roman" w:eastAsia="Times New Roman" w:hAnsi="Times New Roman"/>
          <w:sz w:val="17"/>
          <w:szCs w:val="17"/>
          <w:color w:val="0000FF"/>
        </w:rPr>
        <w:t>EXECUTIVE VP AND CFO</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540" w:type="dxa"/>
            <w:vAlign w:val="bottom"/>
            <w:gridSpan w:val="6"/>
          </w:tcPr>
          <w:p>
            <w:pPr>
              <w:jc w:val="right"/>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14"/>
                <w:szCs w:val="14"/>
                <w:color w:val="auto"/>
              </w:rPr>
            </w:pPr>
          </w:p>
        </w:tc>
        <w:tc>
          <w:tcPr>
            <w:tcW w:w="3560" w:type="dxa"/>
            <w:vAlign w:val="bottom"/>
            <w:gridSpan w:val="9"/>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gridSpan w:val="3"/>
          </w:tcPr>
          <w:p>
            <w:pPr>
              <w:jc w:val="right"/>
              <w:ind w:right="2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ANAHEIM</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92806</w:t>
            </w: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03/20/2026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20" w:type="dxa"/>
            <w:vAlign w:val="bottom"/>
            <w:tcBorders>
              <w:bottom w:val="single" w:sz="8" w:color="2C2C2C"/>
            </w:tcBorders>
          </w:tcPr>
          <w:p>
            <w:pPr>
              <w:ind w:left="220"/>
              <w:spacing w:after="0" w:line="320" w:lineRule="exact"/>
              <w:rPr>
                <w:sz w:val="20"/>
                <w:szCs w:val="20"/>
                <w:color w:val="auto"/>
              </w:rPr>
            </w:pPr>
            <w:r>
              <w:rPr>
                <w:rFonts w:ascii="Times New Roman" w:cs="Times New Roman" w:eastAsia="Times New Roman" w:hAnsi="Times New Roman"/>
                <w:sz w:val="34"/>
                <w:szCs w:val="34"/>
                <w:color w:val="0000FF"/>
                <w:vertAlign w:val="subscript"/>
              </w:rPr>
              <w:t>794</w:t>
            </w:r>
            <w:r>
              <w:rPr>
                <w:rFonts w:ascii="Times New Roman" w:cs="Times New Roman" w:eastAsia="Times New Roman" w:hAnsi="Times New Roman"/>
                <w:sz w:val="11"/>
                <w:szCs w:val="11"/>
                <w:color w:val="008000"/>
              </w:rPr>
              <w:t>(1)</w:t>
            </w:r>
          </w:p>
        </w:tc>
        <w:tc>
          <w:tcPr>
            <w:tcW w:w="4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75.52</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77,026</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the Issuer's Common Stock withheld to satisfy tax withholding obligations in connection with the vesting of restricted stock units on March 20, 2026, which restricted stock was granted on March 20, 2024.</w:t>
      </w:r>
    </w:p>
    <w:p>
      <w:pPr>
        <w:spacing w:after="0" w:line="7"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(i) 5,625 shares of restricted stock units that vest in three substantially equal installments on each of March 3, 2027, March 3, 2028 and March 3, 2029, (ii) 3,080 shares of restricted stock units that vest in two substantially equal installments on each of March 17, 2027 and March 17, 2028, and (iii) 1,400 shares of restricted stock units that vest on March 20, 2027, subject to the Reporting Person's continued service to the Issuer through the applicable vesting date.</w:t>
      </w:r>
    </w:p>
    <w:p>
      <w:pPr>
        <w:spacing w:after="0" w:line="37"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Creighton K. Early</w:t>
            </w: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03/23/2026</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0904702" TargetMode="External"/><Relationship Id="rId14" Type="http://schemas.openxmlformats.org/officeDocument/2006/relationships/hyperlink" Target="http://www.sec.gov/cgi-bin/browse-edgar?action=getcompany&amp;CIK=000137045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2026-03-23T16:33:01Z</dcterms:created>
  <dcterms:modified xsi:type="dcterms:W3CDTF">2026-03-23T16:33:01Z</dcterms:modified>
</cp:coreProperties>
</file>