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wldn-20260102x10k.htm"/>
        <w:bookmarkStart w:id="1" w:name="kswldn20260102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r>
        <w:rPr>
          <w:bdr w:val="single" w:sz="24" w:space="1" w:color="000000"/>
        </w:rPr>
        <w:t>“</w:t>
      </w:r>
      <w:r>
        <w:rPr>
          <w:rFonts w:ascii="Times New Roman;Times;serif" w:hAnsi="Times New Roman;Times;serif"/>
          <w:sz w:val="2"/>
          <w:bdr w:val="single" w:sz="24" w:space="1" w:color="000000"/>
        </w:rPr>
        <w:t>C/l</w:t>
      </w:r>
    </w:p>
    <w:p>
      <w:pPr>
        <w:pStyle w:val="TextBody"/>
        <w:pBdr/>
        <w:bidi w:val="0"/>
        <w:spacing w:before="0" w:after="0"/>
        <w:ind w:left="0" w:right="0" w:hanging="0"/>
        <w:jc w:val="left"/>
        <w:rPr/>
      </w:pPr>
      <w:bookmarkStart w:id="2" w:name="_8b41274e_18f9_4843_a033_43a5568a2bf5"/>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Normal"/>
        <w:bidi w:val="0"/>
        <w:spacing w:before="0" w:after="0"/>
        <w:jc w:val="left"/>
        <w:rPr>
          <w:sz w:val="4"/>
          <w:szCs w:val="4"/>
        </w:rPr>
      </w:pPr>
      <w:r>
        <w:rPr>
          <w:sz w:val="4"/>
          <w:szCs w:val="4"/>
        </w:rPr>
      </w:r>
      <w:bookmarkStart w:id="3" w:name="Tc_3P2yUQF8Skuxz37NhYZRFQ_6_0"/>
      <w:bookmarkStart w:id="4" w:name="Tc_WZPaFyr9eE2mB2wt6CLIGQ_5_1"/>
      <w:bookmarkStart w:id="5" w:name="Tc_3AmlF7MQB0SY1b54XjMrJw_4_0"/>
      <w:bookmarkStart w:id="6" w:name="Tc_zo9donXYNkGMuocWZfeGtA_3_0"/>
      <w:bookmarkStart w:id="7" w:name="Tc_jmzh9qyvo0O6J1KeklHltA_2_1"/>
      <w:bookmarkStart w:id="8" w:name="Tc_-K9_421tokKotQUYcyQL7g_1_0"/>
      <w:bookmarkStart w:id="9" w:name="_e1741a25_cd01_4ceb_b873_eede42d577cc"/>
      <w:bookmarkStart w:id="10" w:name="Tc_3P2yUQF8Skuxz37NhYZRFQ_6_0"/>
      <w:bookmarkStart w:id="11" w:name="Tc_WZPaFyr9eE2mB2wt6CLIGQ_5_1"/>
      <w:bookmarkStart w:id="12" w:name="Tc_3AmlF7MQB0SY1b54XjMrJw_4_0"/>
      <w:bookmarkStart w:id="13" w:name="Tc_zo9donXYNkGMuocWZfeGtA_3_0"/>
      <w:bookmarkStart w:id="14" w:name="Tc_jmzh9qyvo0O6J1KeklHltA_2_1"/>
      <w:bookmarkStart w:id="15" w:name="Tc_-K9_421tokKotQUYcyQL7g_1_0"/>
      <w:bookmarkStart w:id="16" w:name="_e1741a25_cd01_4ceb_b873_eede42d577cc"/>
      <w:bookmarkEnd w:id="10"/>
      <w:bookmarkEnd w:id="11"/>
      <w:bookmarkEnd w:id="12"/>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789"/>
        <w:gridCol w:w="9416"/>
      </w:tblGrid>
      <w:tr>
        <w:trPr/>
        <w:tc>
          <w:tcPr>
            <w:tcW w:w="789" w:type="dxa"/>
            <w:tcBorders/>
            <w:vAlign w:val="center"/>
          </w:tcPr>
          <w:p>
            <w:pPr>
              <w:pStyle w:val="TableContents"/>
              <w:bidi w:val="0"/>
              <w:spacing w:before="0" w:after="0"/>
              <w:ind w:left="0" w:right="0" w:hanging="0"/>
              <w:jc w:val="left"/>
              <w:rPr/>
            </w:pPr>
            <w:r>
              <w:rPr/>
              <w:t>​</w:t>
            </w:r>
          </w:p>
        </w:tc>
        <w:tc>
          <w:tcPr>
            <w:tcW w:w="9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79160" cy="175260"/>
                      <wp:effectExtent l="0" t="0" r="0" b="0"/>
                      <wp:wrapNone/>
                      <wp:docPr id="1" name="Frame1"/>
                      <a:graphic xmlns:a="http://schemas.openxmlformats.org/drawingml/2006/main">
                        <a:graphicData uri="http://schemas.microsoft.com/office/word/2010/wordprocessingShape">
                          <wps:wsp>
                            <wps:cNvSpPr txBox="1"/>
                            <wps:spPr>
                              <a:xfrm>
                                <a:off x="0" y="0"/>
                                <a:ext cx="5979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9"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(Mark One)</w:t>
            </w:r>
          </w:p>
        </w:tc>
        <w:tc>
          <w:tcPr>
            <w:tcW w:w="9416" w:type="dxa"/>
            <w:tcBorders/>
            <w:vAlign w:val="center"/>
          </w:tcPr>
          <w:p>
            <w:pPr>
              <w:pStyle w:val="TableContents"/>
              <w:bidi w:val="0"/>
              <w:spacing w:before="0" w:after="0"/>
              <w:ind w:left="0" w:right="0" w:hanging="0"/>
              <w:jc w:val="left"/>
              <w:rPr/>
            </w:pPr>
            <w:r>
              <w:rPr/>
              <w:t>​</w:t>
            </w:r>
          </w:p>
        </w:tc>
      </w:tr>
      <w:tr>
        <w:trPr/>
        <w:tc>
          <w:tcPr>
            <w:tcW w:w="789" w:type="dxa"/>
            <w:tcBorders/>
            <w:vAlign w:val="center"/>
          </w:tcPr>
          <w:p>
            <w:pPr>
              <w:pStyle w:val="TableContents"/>
              <w:pBdr/>
              <w:bidi w:val="0"/>
              <w:spacing w:before="0" w:after="0"/>
              <w:ind w:left="0" w:right="0" w:hanging="0"/>
              <w:jc w:val="center"/>
              <w:rPr/>
            </w:pPr>
            <w:r>
              <w:rPr/>
              <w:t>☒</w:t>
            </w:r>
          </w:p>
        </w:tc>
        <w:tc>
          <w:tcPr>
            <w:tcW w:w="9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January 2, 2026.</w:t>
            </w:r>
          </w:p>
        </w:tc>
      </w:tr>
      <w:tr>
        <w:trPr/>
        <w:tc>
          <w:tcPr>
            <w:tcW w:w="10205" w:type="dxa"/>
            <w:gridSpan w:val="2"/>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789" w:type="dxa"/>
            <w:tcBorders/>
            <w:vAlign w:val="center"/>
          </w:tcPr>
          <w:p>
            <w:pPr>
              <w:pStyle w:val="TableContents"/>
              <w:pBdr/>
              <w:bidi w:val="0"/>
              <w:spacing w:before="0" w:after="0"/>
              <w:ind w:left="0" w:right="0" w:hanging="0"/>
              <w:jc w:val="center"/>
              <w:rPr/>
            </w:pPr>
            <w:r>
              <w:rPr/>
              <w:t>☐</w:t>
            </w:r>
          </w:p>
        </w:tc>
        <w:tc>
          <w:tcPr>
            <w:tcW w:w="9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14"/>
              </w:rPr>
            </w:pPr>
            <w:r>
              <w:rPr>
                <w:rFonts w:ascii="Times New Roman;Times;serif" w:hAnsi="Times New Roman;Times;serif"/>
                <w:b/>
                <w:sz w:val="14"/>
              </w:rPr>
              <w:t>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001-33076</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WILLDAN GROUP,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tbl>
      <w:tblPr>
        <w:tblW w:w="3092" w:type="dxa"/>
        <w:jc w:val="left"/>
        <w:tblInd w:w="0" w:type="dxa"/>
        <w:tblLayout w:type="fixed"/>
        <w:tblCellMar>
          <w:top w:w="0" w:type="dxa"/>
          <w:left w:w="0" w:type="dxa"/>
          <w:bottom w:w="0" w:type="dxa"/>
          <w:right w:w="0" w:type="dxa"/>
        </w:tblCellMar>
      </w:tblPr>
      <w:tblGrid>
        <w:gridCol w:w="1876"/>
        <w:gridCol w:w="1216"/>
      </w:tblGrid>
      <w:tr>
        <w:trPr/>
        <w:tc>
          <w:tcPr>
            <w:tcW w:w="187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Delaware</w:t>
            </w:r>
            <w:r>
              <w:rPr>
                <w:rFonts w:ascii="Times New Roman;Times;serif" w:hAnsi="Times New Roman;Times;serif"/>
                <w:sz w:val="14"/>
              </w:rPr>
              <w:br/>
              <w:t>(State or other jurisdiction of</w:t>
              <w:b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14-1951112</w:t>
            </w:r>
            <w:r>
              <w:rPr>
                <w:rFonts w:ascii="Times New Roman;Times;serif" w:hAnsi="Times New Roman;Times;serif"/>
                <w:sz w:val="14"/>
              </w:rPr>
              <w:br/>
              <w:t>(I.R.S. Employer</w:t>
              <w:br/>
              <w:t>Identification No.)</w:t>
            </w:r>
          </w:p>
        </w:tc>
      </w:tr>
    </w:tbl>
    <w:p>
      <w:pPr>
        <w:pStyle w:val="TextBody"/>
        <w:bidi w:val="0"/>
        <w:spacing w:before="0" w:after="0"/>
        <w:ind w:left="0" w:right="0" w:hanging="0"/>
        <w:jc w:val="left"/>
        <w:rPr/>
      </w:pPr>
      <w:r>
        <w:rPr/>
        <w:t>​</w:t>
      </w:r>
    </w:p>
    <w:p>
      <w:pPr>
        <w:pStyle w:val="TextBody"/>
        <w:bidi w:val="0"/>
        <w:spacing w:before="60" w:after="0"/>
        <w:ind w:left="0" w:right="0" w:hanging="0"/>
        <w:jc w:val="center"/>
        <w:rPr>
          <w:rFonts w:ascii="Times New Roman;Times;serif" w:hAnsi="Times New Roman;Times;serif"/>
          <w:sz w:val="20"/>
        </w:rPr>
      </w:pPr>
      <w:r>
        <w:rPr>
          <w:rFonts w:ascii="Times New Roman;Times;serif" w:hAnsi="Times New Roman;Times;serif"/>
          <w:b/>
          <w:sz w:val="16"/>
        </w:rPr>
        <w:t>2401 East Katella Avenue, Suite 300, Anaheim, California</w:t>
      </w:r>
      <w:r>
        <w:rPr>
          <w:rFonts w:ascii="Times New Roman;Times;serif" w:hAnsi="Times New Roman;Times;serif"/>
          <w:sz w:val="20"/>
        </w:rPr>
        <w:t xml:space="preserve"> </w:t>
      </w:r>
      <w:r>
        <w:rPr>
          <w:rFonts w:ascii="Times New Roman;Times;serif" w:hAnsi="Times New Roman;Times;serif"/>
          <w:b/>
          <w:sz w:val="16"/>
        </w:rPr>
        <w:t>92806</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(800) 424-9144</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7" w:name="Tc_as5bP9-rLEmZzum9exOXAQ_0_2"/>
      <w:bookmarkStart w:id="18" w:name="Tc_HB4xVU8--kS4xkD068qS3A_0_1"/>
      <w:bookmarkStart w:id="19" w:name="Tc_lyKRoH92AUm1EyhPj5rZYw_0_0"/>
      <w:bookmarkStart w:id="20" w:name="_1494bf9d_523a_4db2_93d5_fd0b298d3472"/>
      <w:bookmarkStart w:id="21" w:name="Tc_as5bP9-rLEmZzum9exOXAQ_0_2"/>
      <w:bookmarkStart w:id="22" w:name="Tc_HB4xVU8--kS4xkD068qS3A_0_1"/>
      <w:bookmarkStart w:id="23" w:name="Tc_lyKRoH92AUm1EyhPj5rZYw_0_0"/>
      <w:bookmarkStart w:id="24" w:name="_1494bf9d_523a_4db2_93d5_fd0b298d3472"/>
      <w:bookmarkEnd w:id="21"/>
      <w:bookmarkEnd w:id="22"/>
      <w:bookmarkEnd w:id="23"/>
      <w:bookmarkEnd w:id="24"/>
    </w:p>
    <w:tbl>
      <w:tblPr>
        <w:tblW w:w="5613" w:type="dxa"/>
        <w:jc w:val="left"/>
        <w:tblInd w:w="0" w:type="dxa"/>
        <w:tblLayout w:type="fixed"/>
        <w:tblCellMar>
          <w:top w:w="0" w:type="dxa"/>
          <w:left w:w="0" w:type="dxa"/>
          <w:bottom w:w="28" w:type="dxa"/>
          <w:right w:w="0" w:type="dxa"/>
        </w:tblCellMar>
      </w:tblPr>
      <w:tblGrid>
        <w:gridCol w:w="2506"/>
        <w:gridCol w:w="1231"/>
        <w:gridCol w:w="1876"/>
      </w:tblGrid>
      <w:tr>
        <w:trPr/>
        <w:tc>
          <w:tcPr>
            <w:tcW w:w="2506" w:type="dxa"/>
            <w:tcBorders>
              <w:bottom w:val="single" w:sz="2" w:space="0" w:color="000000"/>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12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187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Exchange</w:t>
            </w:r>
          </w:p>
        </w:tc>
      </w:tr>
      <w:tr>
        <w:trPr/>
        <w:tc>
          <w:tcPr>
            <w:tcW w:w="250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Common Stock, par value $0.01</w:t>
            </w:r>
            <w:r>
              <w:rPr>
                <w:rFonts w:ascii="Times New Roman;Times;serif" w:hAnsi="Times New Roman;Times;serif"/>
                <w:sz w:val="20"/>
              </w:rPr>
              <w:t xml:space="preserve"> </w:t>
            </w:r>
            <w:r>
              <w:rPr>
                <w:rFonts w:ascii="Times New Roman;Times;serif" w:hAnsi="Times New Roman;Times;serif"/>
                <w:sz w:val="14"/>
              </w:rPr>
              <w:t>per share</w:t>
            </w:r>
          </w:p>
        </w:tc>
        <w:tc>
          <w:tcPr>
            <w:tcW w:w="12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WLDN</w:t>
            </w:r>
          </w:p>
        </w:tc>
        <w:tc>
          <w:tcPr>
            <w:tcW w:w="187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The Nasdaq Stock Market LLC</w:t>
            </w:r>
          </w:p>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(Nasdaq Global Market)</w:t>
            </w:r>
          </w:p>
        </w:tc>
      </w:tr>
    </w:tbl>
    <w:p>
      <w:pPr>
        <w:pStyle w:val="TextBody"/>
        <w:bidi w:val="0"/>
        <w:spacing w:before="0" w:after="0"/>
        <w:ind w:left="0" w:right="0" w:hanging="0"/>
        <w:jc w:val="left"/>
        <w:rPr/>
      </w:pPr>
      <w:r>
        <w:rPr/>
        <w:t>​</w:t>
      </w:r>
    </w:p>
    <w:p>
      <w:pPr>
        <w:pStyle w:val="TextBody"/>
        <w:bidi w:val="0"/>
        <w:spacing w:lineRule="atLeast" w:line="180" w:before="100" w:after="10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12(g) of the Act:  </w:t>
      </w:r>
      <w:r>
        <w:rPr>
          <w:rFonts w:ascii="Times New Roman;Times;serif" w:hAnsi="Times New Roman;Times;serif"/>
          <w:b/>
          <w:sz w:val="16"/>
        </w:rPr>
        <w:t>None</w:t>
      </w:r>
    </w:p>
    <w:p>
      <w:pPr>
        <w:pStyle w:val="TextBody"/>
        <w:bidi w:val="0"/>
        <w:spacing w:lineRule="atLeast" w:line="180"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tLeast" w:line="180"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15(d) of the Securities Exchange Act of 1934.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bidi w:val="0"/>
        <w:spacing w:lineRule="atLeast" w:line="180"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tLeast" w:line="180"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tLeast" w:line="180"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8000" w:type="dxa"/>
        <w:jc w:val="left"/>
        <w:tblInd w:w="0" w:type="dxa"/>
        <w:tblLayout w:type="fixed"/>
        <w:tblCellMar>
          <w:top w:w="0" w:type="dxa"/>
          <w:left w:w="0" w:type="dxa"/>
          <w:bottom w:w="0" w:type="dxa"/>
          <w:right w:w="0" w:type="dxa"/>
        </w:tblCellMar>
      </w:tblPr>
      <w:tblGrid>
        <w:gridCol w:w="1591"/>
        <w:gridCol w:w="1186"/>
        <w:gridCol w:w="1441"/>
        <w:gridCol w:w="1876"/>
        <w:gridCol w:w="1906"/>
      </w:tblGrid>
      <w:tr>
        <w:trPr/>
        <w:tc>
          <w:tcPr>
            <w:tcW w:w="159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18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c>
          <w:tcPr>
            <w:tcW w:w="19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lineRule="atLeast" w:line="180" w:before="160" w:after="10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tLeast" w:line="180" w:before="0" w:after="10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lineRule="atLeast" w:line="180" w:before="0" w:after="100"/>
        <w:ind w:left="0" w:right="0" w:hanging="0"/>
        <w:jc w:val="left"/>
        <w:rPr>
          <w:rFonts w:ascii="Times New Roman;Times;serif" w:hAnsi="Times New Roman;Times;serif"/>
          <w:sz w:val="20"/>
        </w:rPr>
      </w:pPr>
      <w:r>
        <w:rPr>
          <w:rFonts w:ascii="Times New Roman;Times;serif" w:hAnsi="Times New Roman;Times;serif"/>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lineRule="atLeast" w:line="180"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tLeast" w:line="180"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tLeast" w:line="180" w:before="100" w:after="100"/>
        <w:ind w:left="0" w:right="0" w:hanging="0"/>
        <w:jc w:val="left"/>
        <w:rPr>
          <w:rFonts w:ascii="Times New Roman;Times;serif" w:hAnsi="Times New Roman;Times;serif"/>
          <w:sz w:val="16"/>
        </w:rPr>
      </w:pPr>
      <w:r>
        <w:rPr>
          <w:rFonts w:ascii="Times New Roman;Times;serif" w:hAnsi="Times New Roman;Times;serif"/>
          <w:sz w:val="16"/>
        </w:rPr>
        <w:t>The aggregate market value of the voting and non-voting common equity held by non-affiliates computed by reference to the price at which the common equity was last sold, as reported on the Nasdaq Global Market, as of the last business day of the registrant’s most recently completed second fiscal quarter was $1.0 billion.</w:t>
      </w:r>
    </w:p>
    <w:p>
      <w:pPr>
        <w:pStyle w:val="TextBody"/>
        <w:bidi w:val="0"/>
        <w:spacing w:lineRule="atLeast" w:line="180" w:before="0" w:after="100"/>
        <w:ind w:left="0" w:right="0" w:hanging="0"/>
        <w:jc w:val="left"/>
        <w:rPr>
          <w:rFonts w:ascii="Times New Roman;Times;serif" w:hAnsi="Times New Roman;Times;serif"/>
          <w:sz w:val="16"/>
        </w:rPr>
      </w:pPr>
      <w:r>
        <w:rPr>
          <w:rFonts w:ascii="Times New Roman;Times;serif" w:hAnsi="Times New Roman;Times;serif"/>
          <w:sz w:val="16"/>
        </w:rPr>
        <w:t>On February 25, 2026, there were 14,796,110 shares of the registrant’s common stock issued and outstanding.</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Designated portions of the Proxy Statement relating to registrant’s 2026 Annual Meeting of Stockholders, which will be filed with the Securities and Exchange Commission within 120 days after the end of fiscal year 2025, are incorporated by reference into Part III of this Report</w:t>
      </w:r>
      <w:r>
        <w:rPr>
          <w:rFonts w:ascii="Times New Roman;Times;serif" w:hAnsi="Times New Roman;Times;serif"/>
          <w:sz w:val="18"/>
        </w:rPr>
        <w:t>.</w:t>
      </w:r>
    </w:p>
    <w:p>
      <w:pPr>
        <w:pStyle w:val="TextBody"/>
        <w:bidi w:val="0"/>
        <w:spacing w:before="0" w:after="0"/>
        <w:ind w:left="0" w:right="0" w:hanging="0"/>
        <w:jc w:val="left"/>
        <w:rPr/>
      </w:pPr>
      <w:r>
        <w:rPr/>
        <w:t> </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_ffe0e46d_f72d_4bd1_84ce_8901e949cec7"/>
      <w:bookmarkStart w:id="26" w:name="TABLEOFCONTENTS_74988"/>
      <w:bookmarkStart w:id="27" w:name="Toc"/>
      <w:bookmarkEnd w:id="25"/>
      <w:bookmarkEnd w:id="26"/>
      <w:bookmarkEnd w:id="27"/>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4"/>
        <w:gridCol w:w="8879"/>
        <w:gridCol w:w="512"/>
      </w:tblGrid>
      <w:tr>
        <w:trPr/>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6890" cy="175260"/>
                      <wp:effectExtent l="0" t="0" r="0" b="0"/>
                      <wp:wrapNone/>
                      <wp:docPr id="2" name="Frame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38165" cy="175260"/>
                      <wp:effectExtent l="0" t="0" r="0" b="0"/>
                      <wp:wrapNone/>
                      <wp:docPr id="3" name="Frame3"/>
                      <a:graphic xmlns:a="http://schemas.openxmlformats.org/drawingml/2006/main">
                        <a:graphicData uri="http://schemas.microsoft.com/office/word/2010/wordprocessingShape">
                          <wps:wsp>
                            <wps:cNvSpPr txBox="1"/>
                            <wps:spPr>
                              <a:xfrm>
                                <a:off x="0" y="0"/>
                                <a:ext cx="563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5120" cy="29210"/>
                      <wp:effectExtent l="0" t="0" r="0" b="0"/>
                      <wp:wrapNone/>
                      <wp:docPr id="4" name="Frame4"/>
                      <a:graphic xmlns:a="http://schemas.openxmlformats.org/drawingml/2006/main">
                        <a:graphicData uri="http://schemas.microsoft.com/office/word/2010/wordprocessingShape">
                          <wps:wsp>
                            <wps:cNvSpPr txBox="1"/>
                            <wps:spPr>
                              <a:xfrm>
                                <a:off x="0" y="0"/>
                                <a:ext cx="3251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4" w:type="dxa"/>
            <w:tcBorders/>
            <w:vAlign w:val="center"/>
          </w:tcPr>
          <w:p>
            <w:pPr>
              <w:pStyle w:val="TableContents"/>
              <w:bidi w:val="0"/>
              <w:spacing w:lineRule="auto" w:line="304" w:before="0" w:after="20"/>
              <w:ind w:left="0" w:right="0" w:hanging="0"/>
              <w:jc w:val="center"/>
              <w:rPr/>
            </w:pPr>
            <w:r>
              <w:rPr/>
              <w:t>​</w:t>
            </w:r>
          </w:p>
        </w:tc>
        <w:tc>
          <w:tcPr>
            <w:tcW w:w="8879" w:type="dxa"/>
            <w:tcBorders/>
            <w:vAlign w:val="center"/>
          </w:tcPr>
          <w:p>
            <w:pPr>
              <w:pStyle w:val="TableContents"/>
              <w:bidi w:val="0"/>
              <w:spacing w:lineRule="auto" w:line="304" w:before="0" w:after="20"/>
              <w:ind w:left="0" w:right="0" w:hanging="0"/>
              <w:jc w:val="left"/>
              <w:rPr/>
            </w:pPr>
            <w:r>
              <w:rPr/>
              <w:t>​</w:t>
            </w:r>
          </w:p>
        </w:tc>
        <w:tc>
          <w:tcPr>
            <w:tcW w:w="512"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_646157">
              <w:r>
                <w:rPr>
                  <w:rStyle w:val="InternetLink"/>
                  <w:rFonts w:ascii="Times New Roman;Times;serif" w:hAnsi="Times New Roman;Times;serif"/>
                  <w:b/>
                  <w:i w:val="false"/>
                  <w:caps w:val="false"/>
                  <w:smallCaps w:val="false"/>
                  <w:sz w:val="20"/>
                </w:rPr>
                <w:t>PART I</w:t>
              </w:r>
            </w:hyperlink>
          </w:p>
        </w:tc>
        <w:tc>
          <w:tcPr>
            <w:tcW w:w="512" w:type="dxa"/>
            <w:tcBorders>
              <w:top w:val="single" w:sz="2" w:space="0" w:color="000000"/>
            </w:tcBorders>
            <w:tcMar>
              <w:top w:w="28" w:type="dxa"/>
            </w:tcMar>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1BUSINESS_942775">
              <w:r>
                <w:rPr>
                  <w:rStyle w:val="InternetLink"/>
                  <w:rFonts w:ascii="Times New Roman;Times;serif" w:hAnsi="Times New Roman;Times;serif"/>
                  <w:b w:val="false"/>
                  <w:i w:val="false"/>
                  <w:caps w:val="false"/>
                  <w:smallCaps w:val="false"/>
                  <w:sz w:val="20"/>
                </w:rPr>
                <w:t>ITEM 1.</w:t>
              </w:r>
            </w:hyperlink>
          </w:p>
        </w:tc>
        <w:tc>
          <w:tcPr>
            <w:tcW w:w="8879" w:type="dxa"/>
            <w:tcBorders/>
            <w:vAlign w:val="center"/>
          </w:tcPr>
          <w:p>
            <w:pPr>
              <w:pStyle w:val="TableContents"/>
              <w:bidi w:val="0"/>
              <w:spacing w:lineRule="auto" w:line="304" w:before="0" w:after="0"/>
              <w:ind w:left="0" w:right="0" w:hanging="0"/>
              <w:jc w:val="left"/>
              <w:rPr/>
            </w:pPr>
            <w:hyperlink w:anchor="ITEM1BUSINESS_942775">
              <w:r>
                <w:rPr>
                  <w:rStyle w:val="InternetLink"/>
                  <w:rFonts w:ascii="Times New Roman;Times;serif" w:hAnsi="Times New Roman;Times;serif"/>
                  <w:b w:val="false"/>
                  <w:i w:val="false"/>
                  <w:caps w:val="false"/>
                  <w:smallCaps w:val="false"/>
                  <w:sz w:val="20"/>
                </w:rPr>
                <w:t>BUSINESS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4" w:type="dxa"/>
            <w:tcBorders/>
            <w:vAlign w:val="center"/>
          </w:tcPr>
          <w:p>
            <w:pPr>
              <w:pStyle w:val="TableContents"/>
              <w:pBdr/>
              <w:bidi w:val="0"/>
              <w:spacing w:lineRule="auto" w:line="304" w:before="0" w:after="0"/>
              <w:ind w:left="0" w:right="0" w:hanging="0"/>
              <w:jc w:val="left"/>
              <w:rPr/>
            </w:pPr>
            <w:hyperlink w:anchor="ITEM1ARISKFACTORS_20911">
              <w:r>
                <w:rPr>
                  <w:rStyle w:val="InternetLink"/>
                  <w:rFonts w:ascii="Times New Roman;Times;serif" w:hAnsi="Times New Roman;Times;serif"/>
                  <w:b w:val="false"/>
                  <w:i w:val="false"/>
                  <w:caps w:val="false"/>
                  <w:smallCaps w:val="false"/>
                  <w:sz w:val="20"/>
                </w:rPr>
                <w:t>ITEM 1A.</w:t>
              </w:r>
            </w:hyperlink>
          </w:p>
        </w:tc>
        <w:tc>
          <w:tcPr>
            <w:tcW w:w="8879" w:type="dxa"/>
            <w:tcBorders/>
            <w:vAlign w:val="center"/>
          </w:tcPr>
          <w:p>
            <w:pPr>
              <w:pStyle w:val="TableContents"/>
              <w:bidi w:val="0"/>
              <w:spacing w:lineRule="auto" w:line="304" w:before="0" w:after="0"/>
              <w:ind w:left="0" w:right="0" w:hanging="0"/>
              <w:jc w:val="left"/>
              <w:rPr/>
            </w:pPr>
            <w:hyperlink w:anchor="ITEM1ARISKFACTORS_20911">
              <w:r>
                <w:rPr>
                  <w:rStyle w:val="InternetLink"/>
                  <w:rFonts w:ascii="Times New Roman;Times;serif" w:hAnsi="Times New Roman;Times;serif"/>
                  <w:b w:val="false"/>
                  <w:i w:val="false"/>
                  <w:caps w:val="false"/>
                  <w:smallCaps w:val="false"/>
                  <w:sz w:val="20"/>
                </w:rPr>
                <w:t>RISK FACTORS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14" w:type="dxa"/>
            <w:tcBorders/>
            <w:vAlign w:val="center"/>
          </w:tcPr>
          <w:p>
            <w:pPr>
              <w:pStyle w:val="TableContents"/>
              <w:pBdr/>
              <w:bidi w:val="0"/>
              <w:spacing w:lineRule="auto" w:line="304" w:before="0" w:after="0"/>
              <w:ind w:left="0" w:right="0" w:hanging="0"/>
              <w:jc w:val="left"/>
              <w:rPr/>
            </w:pPr>
            <w:hyperlink w:anchor="ITEM1BUNRESOLVEDSTAFFCOMMENTS_892156">
              <w:r>
                <w:rPr>
                  <w:rStyle w:val="InternetLink"/>
                  <w:rFonts w:ascii="Times New Roman;Times;serif" w:hAnsi="Times New Roman;Times;serif"/>
                  <w:b w:val="false"/>
                  <w:i w:val="false"/>
                  <w:caps w:val="false"/>
                  <w:smallCaps w:val="false"/>
                  <w:sz w:val="20"/>
                </w:rPr>
                <w:t>ITEM 1B.</w:t>
              </w:r>
            </w:hyperlink>
          </w:p>
        </w:tc>
        <w:tc>
          <w:tcPr>
            <w:tcW w:w="8879" w:type="dxa"/>
            <w:tcBorders/>
            <w:vAlign w:val="center"/>
          </w:tcPr>
          <w:p>
            <w:pPr>
              <w:pStyle w:val="TableContents"/>
              <w:bidi w:val="0"/>
              <w:spacing w:lineRule="auto" w:line="304" w:before="0" w:after="0"/>
              <w:ind w:left="0" w:right="0" w:hanging="0"/>
              <w:jc w:val="left"/>
              <w:rPr/>
            </w:pPr>
            <w:hyperlink w:anchor="ITEM1BUNRESOLVEDSTAFFCOMMENTS_892156">
              <w:r>
                <w:rPr>
                  <w:rStyle w:val="InternetLink"/>
                  <w:rFonts w:ascii="Times New Roman;Times;serif" w:hAnsi="Times New Roman;Times;serif"/>
                  <w:b w:val="false"/>
                  <w:i w:val="false"/>
                  <w:caps w:val="false"/>
                  <w:smallCaps w:val="false"/>
                  <w:sz w:val="20"/>
                </w:rPr>
                <w:t>UNRESOLVED STAFF COMMENTS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4" w:type="dxa"/>
            <w:tcBorders/>
            <w:vAlign w:val="center"/>
          </w:tcPr>
          <w:p>
            <w:pPr>
              <w:pStyle w:val="TableContents"/>
              <w:pBdr/>
              <w:bidi w:val="0"/>
              <w:spacing w:lineRule="auto" w:line="304"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ITEM 1C.</w:t>
              </w:r>
            </w:hyperlink>
          </w:p>
        </w:tc>
        <w:tc>
          <w:tcPr>
            <w:tcW w:w="8879" w:type="dxa"/>
            <w:tcBorders/>
            <w:vAlign w:val="center"/>
          </w:tcPr>
          <w:p>
            <w:pPr>
              <w:pStyle w:val="TableContents"/>
              <w:bidi w:val="0"/>
              <w:spacing w:lineRule="auto" w:line="304" w:before="0" w:after="0"/>
              <w:ind w:left="0" w:right="0" w:hanging="0"/>
              <w:jc w:val="left"/>
              <w:rPr/>
            </w:pPr>
            <w:hyperlink w:anchor="ITEM1C">
              <w:r>
                <w:rPr>
                  <w:rStyle w:val="InternetLink"/>
                  <w:rFonts w:ascii="Times New Roman;Times;serif" w:hAnsi="Times New Roman;Times;serif"/>
                  <w:b w:val="false"/>
                  <w:i w:val="false"/>
                  <w:caps w:val="false"/>
                  <w:smallCaps w:val="false"/>
                  <w:sz w:val="20"/>
                </w:rPr>
                <w:t>CYBERSECURITY</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4" w:type="dxa"/>
            <w:tcBorders/>
            <w:vAlign w:val="center"/>
          </w:tcPr>
          <w:p>
            <w:pPr>
              <w:pStyle w:val="TableContents"/>
              <w:pBdr/>
              <w:bidi w:val="0"/>
              <w:spacing w:lineRule="auto" w:line="304" w:before="0" w:after="0"/>
              <w:ind w:left="0" w:right="0" w:hanging="0"/>
              <w:jc w:val="left"/>
              <w:rPr/>
            </w:pPr>
            <w:hyperlink w:anchor="ITEM2PROPERTIES_656931">
              <w:r>
                <w:rPr>
                  <w:rStyle w:val="InternetLink"/>
                  <w:rFonts w:ascii="Times New Roman;Times;serif" w:hAnsi="Times New Roman;Times;serif"/>
                  <w:b w:val="false"/>
                  <w:i w:val="false"/>
                  <w:caps w:val="false"/>
                  <w:smallCaps w:val="false"/>
                  <w:sz w:val="20"/>
                </w:rPr>
                <w:t>ITEM 2.</w:t>
              </w:r>
            </w:hyperlink>
          </w:p>
        </w:tc>
        <w:tc>
          <w:tcPr>
            <w:tcW w:w="8879" w:type="dxa"/>
            <w:tcBorders/>
            <w:vAlign w:val="center"/>
          </w:tcPr>
          <w:p>
            <w:pPr>
              <w:pStyle w:val="TableContents"/>
              <w:bidi w:val="0"/>
              <w:spacing w:lineRule="auto" w:line="304" w:before="0" w:after="0"/>
              <w:ind w:left="0" w:right="0" w:hanging="0"/>
              <w:jc w:val="left"/>
              <w:rPr/>
            </w:pPr>
            <w:hyperlink w:anchor="ITEM2PROPERTIES_656931">
              <w:r>
                <w:rPr>
                  <w:rStyle w:val="InternetLink"/>
                  <w:rFonts w:ascii="Times New Roman;Times;serif" w:hAnsi="Times New Roman;Times;serif"/>
                  <w:b w:val="false"/>
                  <w:i w:val="false"/>
                  <w:caps w:val="false"/>
                  <w:smallCaps w:val="false"/>
                  <w:sz w:val="20"/>
                </w:rPr>
                <w:t>PROPERTIES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4" w:type="dxa"/>
            <w:tcBorders/>
            <w:vAlign w:val="center"/>
          </w:tcPr>
          <w:p>
            <w:pPr>
              <w:pStyle w:val="TableContents"/>
              <w:pBdr/>
              <w:bidi w:val="0"/>
              <w:spacing w:lineRule="auto" w:line="304"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ITEM 3.</w:t>
              </w:r>
            </w:hyperlink>
          </w:p>
        </w:tc>
        <w:tc>
          <w:tcPr>
            <w:tcW w:w="8879" w:type="dxa"/>
            <w:tcBorders/>
            <w:vAlign w:val="center"/>
          </w:tcPr>
          <w:p>
            <w:pPr>
              <w:pStyle w:val="TableContents"/>
              <w:bidi w:val="0"/>
              <w:spacing w:lineRule="auto" w:line="304" w:before="0" w:after="0"/>
              <w:ind w:left="0" w:right="0" w:hanging="0"/>
              <w:jc w:val="left"/>
              <w:rPr/>
            </w:pPr>
            <w:hyperlink w:anchor="ITEM3LEGALPROCEEDINGS_429119">
              <w:r>
                <w:rPr>
                  <w:rStyle w:val="InternetLink"/>
                  <w:rFonts w:ascii="Times New Roman;Times;serif" w:hAnsi="Times New Roman;Times;serif"/>
                  <w:b w:val="false"/>
                  <w:i w:val="false"/>
                  <w:caps w:val="false"/>
                  <w:smallCaps w:val="false"/>
                  <w:sz w:val="20"/>
                </w:rPr>
                <w:t>LEGAL PROCEEDINGS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4" w:type="dxa"/>
            <w:tcBorders/>
            <w:vAlign w:val="center"/>
          </w:tcPr>
          <w:p>
            <w:pPr>
              <w:pStyle w:val="TableContents"/>
              <w:pBdr/>
              <w:bidi w:val="0"/>
              <w:spacing w:lineRule="auto" w:line="304" w:before="0" w:after="0"/>
              <w:ind w:left="0" w:right="0" w:hanging="0"/>
              <w:jc w:val="left"/>
              <w:rPr/>
            </w:pPr>
            <w:hyperlink w:anchor="ITEM4MINESAFETYDISCLOSURES_57379">
              <w:r>
                <w:rPr>
                  <w:rStyle w:val="InternetLink"/>
                  <w:rFonts w:ascii="Times New Roman;Times;serif" w:hAnsi="Times New Roman;Times;serif"/>
                  <w:b w:val="false"/>
                  <w:i w:val="false"/>
                  <w:caps w:val="false"/>
                  <w:smallCaps w:val="false"/>
                  <w:sz w:val="20"/>
                </w:rPr>
                <w:t>ITEM 4.</w:t>
              </w:r>
            </w:hyperlink>
          </w:p>
        </w:tc>
        <w:tc>
          <w:tcPr>
            <w:tcW w:w="8879" w:type="dxa"/>
            <w:tcBorders/>
            <w:vAlign w:val="center"/>
          </w:tcPr>
          <w:p>
            <w:pPr>
              <w:pStyle w:val="TableContents"/>
              <w:bidi w:val="0"/>
              <w:spacing w:lineRule="auto" w:line="304" w:before="0" w:after="0"/>
              <w:ind w:left="0" w:right="0" w:hanging="0"/>
              <w:jc w:val="left"/>
              <w:rPr/>
            </w:pPr>
            <w:hyperlink w:anchor="ITEM4MINESAFETYDISCLOSURES_57379">
              <w:r>
                <w:rPr>
                  <w:rStyle w:val="InternetLink"/>
                  <w:rFonts w:ascii="Times New Roman;Times;serif" w:hAnsi="Times New Roman;Times;serif"/>
                  <w:b w:val="false"/>
                  <w:i w:val="false"/>
                  <w:caps w:val="false"/>
                  <w:smallCaps w:val="false"/>
                  <w:sz w:val="20"/>
                </w:rPr>
                <w:t>MINE SAFETY DISCLOSURES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I_444713">
              <w:r>
                <w:rPr>
                  <w:rStyle w:val="InternetLink"/>
                  <w:rFonts w:ascii="Times New Roman;Times;serif" w:hAnsi="Times New Roman;Times;serif"/>
                  <w:b/>
                  <w:i w:val="false"/>
                  <w:caps w:val="false"/>
                  <w:smallCaps w:val="false"/>
                  <w:sz w:val="20"/>
                </w:rPr>
                <w:t>PART II</w:t>
              </w:r>
            </w:hyperlink>
          </w:p>
        </w:tc>
        <w:tc>
          <w:tcPr>
            <w:tcW w:w="512" w:type="dxa"/>
            <w:tcBorders/>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5MARKETFORTHEREGISTRANTS_611518">
              <w:r>
                <w:rPr>
                  <w:rStyle w:val="InternetLink"/>
                  <w:rFonts w:ascii="Times New Roman;Times;serif" w:hAnsi="Times New Roman;Times;serif"/>
                  <w:b w:val="false"/>
                  <w:i w:val="false"/>
                  <w:caps w:val="false"/>
                  <w:smallCaps w:val="false"/>
                  <w:sz w:val="20"/>
                </w:rPr>
                <w:t>ITEM 5.</w:t>
              </w:r>
            </w:hyperlink>
          </w:p>
        </w:tc>
        <w:tc>
          <w:tcPr>
            <w:tcW w:w="8879" w:type="dxa"/>
            <w:tcBorders/>
            <w:vAlign w:val="center"/>
          </w:tcPr>
          <w:p>
            <w:pPr>
              <w:pStyle w:val="TableContents"/>
              <w:bidi w:val="0"/>
              <w:spacing w:lineRule="auto" w:line="302" w:before="0" w:after="0"/>
              <w:ind w:left="0" w:right="0" w:hanging="0"/>
              <w:jc w:val="left"/>
              <w:rPr/>
            </w:pPr>
            <w:hyperlink w:anchor="ITEM5MARKETFORTHEREGISTRANTS_611518">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4" w:type="dxa"/>
            <w:tcBorders/>
            <w:vAlign w:val="center"/>
          </w:tcPr>
          <w:p>
            <w:pPr>
              <w:pStyle w:val="TableContents"/>
              <w:pBdr/>
              <w:bidi w:val="0"/>
              <w:spacing w:lineRule="auto" w:line="304" w:before="0" w:after="0"/>
              <w:ind w:left="0" w:right="0" w:hanging="0"/>
              <w:jc w:val="left"/>
              <w:rPr/>
            </w:pPr>
            <w:hyperlink w:anchor="ITEM6SELECTEDFINANCIALDATA_643909">
              <w:r>
                <w:rPr>
                  <w:rStyle w:val="InternetLink"/>
                  <w:rFonts w:ascii="Times New Roman;Times;serif" w:hAnsi="Times New Roman;Times;serif"/>
                  <w:b w:val="false"/>
                  <w:i w:val="false"/>
                  <w:caps w:val="false"/>
                  <w:smallCaps w:val="false"/>
                  <w:sz w:val="20"/>
                </w:rPr>
                <w:t>ITEM 6.</w:t>
              </w:r>
            </w:hyperlink>
          </w:p>
        </w:tc>
        <w:tc>
          <w:tcPr>
            <w:tcW w:w="8879" w:type="dxa"/>
            <w:tcBorders/>
            <w:vAlign w:val="center"/>
          </w:tcPr>
          <w:p>
            <w:pPr>
              <w:pStyle w:val="TableContents"/>
              <w:bidi w:val="0"/>
              <w:spacing w:lineRule="auto" w:line="304" w:before="0" w:after="0"/>
              <w:ind w:left="0" w:right="0" w:hanging="0"/>
              <w:jc w:val="left"/>
              <w:rPr/>
            </w:pPr>
            <w:hyperlink w:anchor="ITEM6SELECTEDFINANCIALDATA_643909">
              <w:r>
                <w:rPr>
                  <w:rStyle w:val="InternetLink"/>
                  <w:rFonts w:ascii="Times New Roman;Times;serif" w:hAnsi="Times New Roman;Times;serif"/>
                  <w:b w:val="false"/>
                  <w:i w:val="false"/>
                  <w:caps w:val="false"/>
                  <w:smallCaps w:val="false"/>
                  <w:sz w:val="20"/>
                </w:rPr>
                <w:t>RESERVED</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4" w:type="dxa"/>
            <w:tcBorders/>
            <w:vAlign w:val="center"/>
          </w:tcPr>
          <w:p>
            <w:pPr>
              <w:pStyle w:val="TableContents"/>
              <w:pBdr/>
              <w:bidi w:val="0"/>
              <w:spacing w:lineRule="auto" w:line="304"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ITEM 7.</w:t>
              </w:r>
            </w:hyperlink>
          </w:p>
        </w:tc>
        <w:tc>
          <w:tcPr>
            <w:tcW w:w="8879" w:type="dxa"/>
            <w:tcBorders/>
            <w:vAlign w:val="center"/>
          </w:tcPr>
          <w:p>
            <w:pPr>
              <w:pStyle w:val="TableContents"/>
              <w:bidi w:val="0"/>
              <w:spacing w:lineRule="auto" w:line="304" w:before="0" w:after="0"/>
              <w:ind w:left="0" w:right="0" w:hanging="0"/>
              <w:jc w:val="left"/>
              <w:rPr/>
            </w:pPr>
            <w:hyperlink w:anchor="ITEM7MANAGEMENTSDISCUSSION_533905">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4" w:type="dxa"/>
            <w:tcBorders/>
            <w:vAlign w:val="center"/>
          </w:tcPr>
          <w:p>
            <w:pPr>
              <w:pStyle w:val="TableContents"/>
              <w:pBdr/>
              <w:bidi w:val="0"/>
              <w:spacing w:lineRule="auto" w:line="304"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ITEM 7A.</w:t>
              </w:r>
            </w:hyperlink>
          </w:p>
        </w:tc>
        <w:tc>
          <w:tcPr>
            <w:tcW w:w="8879" w:type="dxa"/>
            <w:tcBorders/>
            <w:vAlign w:val="center"/>
          </w:tcPr>
          <w:p>
            <w:pPr>
              <w:pStyle w:val="TableContents"/>
              <w:bidi w:val="0"/>
              <w:spacing w:lineRule="auto" w:line="304" w:before="0" w:after="0"/>
              <w:ind w:left="0" w:right="0" w:hanging="0"/>
              <w:jc w:val="left"/>
              <w:rPr/>
            </w:pPr>
            <w:hyperlink w:anchor="ITEM7AQUANTITATIVEANDQUALITATIVE_56237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4" w:type="dxa"/>
            <w:tcBorders/>
            <w:vAlign w:val="center"/>
          </w:tcPr>
          <w:p>
            <w:pPr>
              <w:pStyle w:val="TableContents"/>
              <w:pBdr/>
              <w:bidi w:val="0"/>
              <w:spacing w:lineRule="auto" w:line="304" w:before="0" w:after="0"/>
              <w:ind w:left="0" w:right="0" w:hanging="0"/>
              <w:jc w:val="left"/>
              <w:rPr/>
            </w:pPr>
            <w:hyperlink w:anchor="ITEM8FINANCIALSTATEMENTS_262861">
              <w:r>
                <w:rPr>
                  <w:rStyle w:val="InternetLink"/>
                  <w:rFonts w:ascii="Times New Roman;Times;serif" w:hAnsi="Times New Roman;Times;serif"/>
                  <w:b w:val="false"/>
                  <w:i w:val="false"/>
                  <w:caps w:val="false"/>
                  <w:smallCaps w:val="false"/>
                  <w:sz w:val="20"/>
                </w:rPr>
                <w:t>ITEM 8.</w:t>
              </w:r>
            </w:hyperlink>
          </w:p>
        </w:tc>
        <w:tc>
          <w:tcPr>
            <w:tcW w:w="8879" w:type="dxa"/>
            <w:tcBorders/>
            <w:vAlign w:val="center"/>
          </w:tcPr>
          <w:p>
            <w:pPr>
              <w:pStyle w:val="TableContents"/>
              <w:bidi w:val="0"/>
              <w:spacing w:lineRule="auto" w:line="304" w:before="0" w:after="0"/>
              <w:ind w:left="0" w:right="0" w:hanging="0"/>
              <w:jc w:val="left"/>
              <w:rPr/>
            </w:pPr>
            <w:hyperlink w:anchor="ITEM8FINANCIALSTATEMENTS_262861">
              <w:r>
                <w:rPr>
                  <w:rStyle w:val="InternetLink"/>
                  <w:rFonts w:ascii="Times New Roman;Times;serif" w:hAnsi="Times New Roman;Times;serif"/>
                  <w:b w:val="false"/>
                  <w:i w:val="false"/>
                  <w:caps w:val="false"/>
                  <w:smallCaps w:val="false"/>
                  <w:sz w:val="20"/>
                </w:rPr>
                <w:t>FINANCIAL STATEMENTS AND SUPPLEMENTARY DATA</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14" w:type="dxa"/>
            <w:tcBorders/>
            <w:vAlign w:val="center"/>
          </w:tcPr>
          <w:p>
            <w:pPr>
              <w:pStyle w:val="TableContents"/>
              <w:pBdr/>
              <w:bidi w:val="0"/>
              <w:spacing w:lineRule="auto" w:line="304" w:before="0" w:after="0"/>
              <w:ind w:left="0" w:right="0" w:hanging="0"/>
              <w:jc w:val="left"/>
              <w:rPr/>
            </w:pPr>
            <w:hyperlink w:anchor="ITEM9CHANGESINANDDISAGREEMENTS_162735">
              <w:r>
                <w:rPr>
                  <w:rStyle w:val="InternetLink"/>
                  <w:rFonts w:ascii="Times New Roman;Times;serif" w:hAnsi="Times New Roman;Times;serif"/>
                  <w:b w:val="false"/>
                  <w:i w:val="false"/>
                  <w:caps w:val="false"/>
                  <w:smallCaps w:val="false"/>
                  <w:sz w:val="20"/>
                </w:rPr>
                <w:t>ITEM 9.</w:t>
              </w:r>
            </w:hyperlink>
          </w:p>
        </w:tc>
        <w:tc>
          <w:tcPr>
            <w:tcW w:w="8879" w:type="dxa"/>
            <w:tcBorders/>
            <w:vAlign w:val="center"/>
          </w:tcPr>
          <w:p>
            <w:pPr>
              <w:pStyle w:val="TableContents"/>
              <w:bidi w:val="0"/>
              <w:spacing w:lineRule="auto" w:line="304" w:before="0" w:after="0"/>
              <w:ind w:left="0" w:right="0" w:hanging="0"/>
              <w:jc w:val="left"/>
              <w:rPr/>
            </w:pPr>
            <w:hyperlink w:anchor="ITEM9CHANGESINANDDISAGREEMENTS_162735">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814" w:type="dxa"/>
            <w:tcBorders/>
            <w:vAlign w:val="center"/>
          </w:tcPr>
          <w:p>
            <w:pPr>
              <w:pStyle w:val="TableContents"/>
              <w:pBdr/>
              <w:bidi w:val="0"/>
              <w:spacing w:lineRule="auto" w:line="304" w:before="0" w:after="0"/>
              <w:ind w:left="0" w:right="0" w:hanging="0"/>
              <w:jc w:val="left"/>
              <w:rPr/>
            </w:pPr>
            <w:hyperlink w:anchor="ITEM9ACONTROLSANDPROCEDURES_96505">
              <w:r>
                <w:rPr>
                  <w:rStyle w:val="InternetLink"/>
                  <w:rFonts w:ascii="Times New Roman;Times;serif" w:hAnsi="Times New Roman;Times;serif"/>
                  <w:b w:val="false"/>
                  <w:i w:val="false"/>
                  <w:caps w:val="false"/>
                  <w:smallCaps w:val="false"/>
                  <w:sz w:val="20"/>
                </w:rPr>
                <w:t>ITEM 9A.</w:t>
              </w:r>
            </w:hyperlink>
          </w:p>
        </w:tc>
        <w:tc>
          <w:tcPr>
            <w:tcW w:w="8879" w:type="dxa"/>
            <w:tcBorders/>
            <w:vAlign w:val="center"/>
          </w:tcPr>
          <w:p>
            <w:pPr>
              <w:pStyle w:val="TableContents"/>
              <w:bidi w:val="0"/>
              <w:spacing w:lineRule="auto" w:line="304" w:before="0" w:after="0"/>
              <w:ind w:left="0" w:right="0" w:hanging="0"/>
              <w:jc w:val="left"/>
              <w:rPr/>
            </w:pPr>
            <w:hyperlink w:anchor="ITEM9ACONTROLSANDPROCEDURES_96505">
              <w:r>
                <w:rPr>
                  <w:rStyle w:val="InternetLink"/>
                  <w:rFonts w:ascii="Times New Roman;Times;serif" w:hAnsi="Times New Roman;Times;serif"/>
                  <w:b w:val="false"/>
                  <w:i w:val="false"/>
                  <w:caps w:val="false"/>
                  <w:smallCaps w:val="false"/>
                  <w:sz w:val="20"/>
                </w:rPr>
                <w:t>CONTROLS AND PROCEDURES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814" w:type="dxa"/>
            <w:tcBorders/>
            <w:vAlign w:val="center"/>
          </w:tcPr>
          <w:p>
            <w:pPr>
              <w:pStyle w:val="TableContents"/>
              <w:pBdr/>
              <w:bidi w:val="0"/>
              <w:spacing w:lineRule="auto" w:line="304" w:before="0" w:after="0"/>
              <w:ind w:left="0" w:right="0" w:hanging="0"/>
              <w:jc w:val="left"/>
              <w:rPr/>
            </w:pPr>
            <w:hyperlink w:anchor="ITEM_9B">
              <w:r>
                <w:rPr>
                  <w:rStyle w:val="InternetLink"/>
                  <w:rFonts w:ascii="Times New Roman;Times;serif" w:hAnsi="Times New Roman;Times;serif"/>
                  <w:b w:val="false"/>
                  <w:i w:val="false"/>
                  <w:caps w:val="false"/>
                  <w:smallCaps w:val="false"/>
                  <w:sz w:val="20"/>
                </w:rPr>
                <w:t>ITEM 9B.</w:t>
              </w:r>
            </w:hyperlink>
          </w:p>
        </w:tc>
        <w:tc>
          <w:tcPr>
            <w:tcW w:w="8879" w:type="dxa"/>
            <w:tcBorders/>
            <w:vAlign w:val="center"/>
          </w:tcPr>
          <w:p>
            <w:pPr>
              <w:pStyle w:val="TableContents"/>
              <w:bidi w:val="0"/>
              <w:spacing w:lineRule="auto" w:line="304" w:before="0" w:after="0"/>
              <w:ind w:left="0" w:right="0" w:hanging="0"/>
              <w:jc w:val="left"/>
              <w:rPr/>
            </w:pPr>
            <w:hyperlink w:anchor="ITEM_9B">
              <w:r>
                <w:rPr>
                  <w:rStyle w:val="InternetLink"/>
                  <w:rFonts w:ascii="Times New Roman;Times;serif" w:hAnsi="Times New Roman;Times;serif"/>
                  <w:b w:val="false"/>
                  <w:i w:val="false"/>
                  <w:caps w:val="false"/>
                  <w:smallCaps w:val="false"/>
                  <w:sz w:val="20"/>
                </w:rPr>
                <w:t>OTHER INFORMATION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814" w:type="dxa"/>
            <w:tcBorders/>
            <w:vAlign w:val="center"/>
          </w:tcPr>
          <w:p>
            <w:pPr>
              <w:pStyle w:val="TableContents"/>
              <w:pBdr/>
              <w:bidi w:val="0"/>
              <w:spacing w:lineRule="auto" w:line="304" w:before="0" w:after="0"/>
              <w:ind w:left="0" w:right="0" w:hanging="0"/>
              <w:jc w:val="left"/>
              <w:rPr/>
            </w:pPr>
            <w:hyperlink w:anchor="ITEM_9C">
              <w:r>
                <w:rPr>
                  <w:rStyle w:val="InternetLink"/>
                  <w:rFonts w:ascii="Times New Roman;Times;serif" w:hAnsi="Times New Roman;Times;serif"/>
                  <w:b w:val="false"/>
                  <w:i w:val="false"/>
                  <w:caps w:val="false"/>
                  <w:smallCaps w:val="false"/>
                  <w:sz w:val="20"/>
                </w:rPr>
                <w:t>ITEM 9C</w:t>
              </w:r>
            </w:hyperlink>
            <w:r>
              <w:rPr>
                <w:rFonts w:ascii="Times New Roman;Times;serif" w:hAnsi="Times New Roman;Times;serif"/>
                <w:sz w:val="20"/>
              </w:rPr>
              <w:t>.</w:t>
            </w:r>
          </w:p>
        </w:tc>
        <w:tc>
          <w:tcPr>
            <w:tcW w:w="8879" w:type="dxa"/>
            <w:tcBorders/>
            <w:vAlign w:val="center"/>
          </w:tcPr>
          <w:p>
            <w:pPr>
              <w:pStyle w:val="TableContents"/>
              <w:bidi w:val="0"/>
              <w:spacing w:lineRule="auto" w:line="304" w:before="0" w:after="0"/>
              <w:ind w:left="0" w:right="0" w:hanging="0"/>
              <w:jc w:val="left"/>
              <w:rPr/>
            </w:pPr>
            <w:hyperlink w:anchor="ITEM_9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II_533220">
              <w:r>
                <w:rPr>
                  <w:rStyle w:val="InternetLink"/>
                  <w:rFonts w:ascii="Times New Roman;Times;serif" w:hAnsi="Times New Roman;Times;serif"/>
                  <w:b/>
                  <w:i w:val="false"/>
                  <w:caps w:val="false"/>
                  <w:smallCaps w:val="false"/>
                  <w:sz w:val="20"/>
                </w:rPr>
                <w:t>PART III</w:t>
              </w:r>
            </w:hyperlink>
          </w:p>
        </w:tc>
        <w:tc>
          <w:tcPr>
            <w:tcW w:w="512" w:type="dxa"/>
            <w:tcBorders/>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10DIRECTORSANDEXECUTIVE_609871">
              <w:r>
                <w:rPr>
                  <w:rStyle w:val="InternetLink"/>
                  <w:rFonts w:ascii="Times New Roman;Times;serif" w:hAnsi="Times New Roman;Times;serif"/>
                  <w:b w:val="false"/>
                  <w:i w:val="false"/>
                  <w:caps w:val="false"/>
                  <w:smallCaps w:val="false"/>
                  <w:sz w:val="20"/>
                </w:rPr>
                <w:t>ITEM 10.</w:t>
              </w:r>
            </w:hyperlink>
          </w:p>
        </w:tc>
        <w:tc>
          <w:tcPr>
            <w:tcW w:w="8879" w:type="dxa"/>
            <w:tcBorders/>
            <w:vAlign w:val="center"/>
          </w:tcPr>
          <w:p>
            <w:pPr>
              <w:pStyle w:val="TableContents"/>
              <w:bidi w:val="0"/>
              <w:spacing w:lineRule="auto" w:line="304" w:before="0" w:after="0"/>
              <w:ind w:left="0" w:right="0" w:hanging="0"/>
              <w:jc w:val="left"/>
              <w:rPr/>
            </w:pPr>
            <w:hyperlink w:anchor="ITEM10DIRECTORSANDEXECUTIVE_609871">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814" w:type="dxa"/>
            <w:tcBorders/>
            <w:vAlign w:val="center"/>
          </w:tcPr>
          <w:p>
            <w:pPr>
              <w:pStyle w:val="TableContents"/>
              <w:pBdr/>
              <w:bidi w:val="0"/>
              <w:spacing w:lineRule="auto" w:line="304" w:before="0" w:after="0"/>
              <w:ind w:left="0" w:right="0" w:hanging="0"/>
              <w:jc w:val="left"/>
              <w:rPr/>
            </w:pPr>
            <w:hyperlink w:anchor="ITEM11EXECUTIVECOMPENSATION_621050">
              <w:r>
                <w:rPr>
                  <w:rStyle w:val="InternetLink"/>
                  <w:rFonts w:ascii="Times New Roman;Times;serif" w:hAnsi="Times New Roman;Times;serif"/>
                  <w:b w:val="false"/>
                  <w:i w:val="false"/>
                  <w:caps w:val="false"/>
                  <w:smallCaps w:val="false"/>
                  <w:sz w:val="20"/>
                </w:rPr>
                <w:t>ITEM 11.</w:t>
              </w:r>
            </w:hyperlink>
          </w:p>
        </w:tc>
        <w:tc>
          <w:tcPr>
            <w:tcW w:w="8879" w:type="dxa"/>
            <w:tcBorders/>
            <w:vAlign w:val="center"/>
          </w:tcPr>
          <w:p>
            <w:pPr>
              <w:pStyle w:val="TableContents"/>
              <w:bidi w:val="0"/>
              <w:spacing w:lineRule="auto" w:line="304" w:before="0" w:after="0"/>
              <w:ind w:left="0" w:right="0" w:hanging="0"/>
              <w:jc w:val="left"/>
              <w:rPr/>
            </w:pPr>
            <w:hyperlink w:anchor="ITEM11EXECUTIVECOMPENSATION_621050">
              <w:r>
                <w:rPr>
                  <w:rStyle w:val="InternetLink"/>
                  <w:rFonts w:ascii="Times New Roman;Times;serif" w:hAnsi="Times New Roman;Times;serif"/>
                  <w:b w:val="false"/>
                  <w:i w:val="false"/>
                  <w:caps w:val="false"/>
                  <w:smallCaps w:val="false"/>
                  <w:sz w:val="20"/>
                </w:rPr>
                <w:t>EXECUTIVE COMPENSATION</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814" w:type="dxa"/>
            <w:tcBorders/>
            <w:vAlign w:val="center"/>
          </w:tcPr>
          <w:p>
            <w:pPr>
              <w:pStyle w:val="TableContents"/>
              <w:pBdr/>
              <w:bidi w:val="0"/>
              <w:spacing w:lineRule="auto" w:line="304" w:before="0" w:after="0"/>
              <w:ind w:left="0" w:right="0" w:hanging="0"/>
              <w:jc w:val="left"/>
              <w:rPr/>
            </w:pPr>
            <w:hyperlink w:anchor="ITEM12SECURITYOWNERSHIPOFCERTAIN_428746">
              <w:r>
                <w:rPr>
                  <w:rStyle w:val="InternetLink"/>
                  <w:rFonts w:ascii="Times New Roman;Times;serif" w:hAnsi="Times New Roman;Times;serif"/>
                  <w:b w:val="false"/>
                  <w:i w:val="false"/>
                  <w:caps w:val="false"/>
                  <w:smallCaps w:val="false"/>
                  <w:sz w:val="20"/>
                </w:rPr>
                <w:t>ITEM 12.</w:t>
              </w:r>
            </w:hyperlink>
          </w:p>
        </w:tc>
        <w:tc>
          <w:tcPr>
            <w:tcW w:w="8879" w:type="dxa"/>
            <w:tcBorders/>
            <w:vAlign w:val="center"/>
          </w:tcPr>
          <w:p>
            <w:pPr>
              <w:pStyle w:val="TableContents"/>
              <w:bidi w:val="0"/>
              <w:spacing w:lineRule="auto" w:line="304" w:before="0" w:after="0"/>
              <w:ind w:left="0" w:right="0" w:hanging="0"/>
              <w:jc w:val="left"/>
              <w:rPr/>
            </w:pPr>
            <w:hyperlink w:anchor="ITEM12SECURITYOWNERSHIPOFCERTAIN_428746">
              <w:r>
                <w:rPr>
                  <w:rStyle w:val="InternetLink"/>
                  <w:rFonts w:ascii="Times New Roman;Times;serif" w:hAnsi="Times New Roman;Times;serif"/>
                  <w:b w:val="false"/>
                  <w:i w:val="false"/>
                  <w:caps w:val="false"/>
                  <w:smallCaps w:val="false"/>
                  <w:sz w:val="20"/>
                </w:rPr>
                <w:t>SECURITY OWNERSHIP OF CERTAIN BENEFICIAL OWNERS AND MANAGEMENT AND RELATED SHAREHOLDER MATTERS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814" w:type="dxa"/>
            <w:tcBorders/>
            <w:vAlign w:val="center"/>
          </w:tcPr>
          <w:p>
            <w:pPr>
              <w:pStyle w:val="TableContents"/>
              <w:pBdr/>
              <w:bidi w:val="0"/>
              <w:spacing w:lineRule="auto" w:line="304" w:before="0" w:after="0"/>
              <w:ind w:left="0" w:right="0" w:hanging="0"/>
              <w:jc w:val="left"/>
              <w:rPr/>
            </w:pPr>
            <w:hyperlink w:anchor="ITEM13CERTAINRELATIONSHIPS_289776">
              <w:r>
                <w:rPr>
                  <w:rStyle w:val="InternetLink"/>
                  <w:rFonts w:ascii="Times New Roman;Times;serif" w:hAnsi="Times New Roman;Times;serif"/>
                  <w:b w:val="false"/>
                  <w:i w:val="false"/>
                  <w:caps w:val="false"/>
                  <w:smallCaps w:val="false"/>
                  <w:sz w:val="20"/>
                </w:rPr>
                <w:t>ITEM 13.</w:t>
              </w:r>
            </w:hyperlink>
          </w:p>
        </w:tc>
        <w:tc>
          <w:tcPr>
            <w:tcW w:w="8879" w:type="dxa"/>
            <w:tcBorders/>
            <w:vAlign w:val="center"/>
          </w:tcPr>
          <w:p>
            <w:pPr>
              <w:pStyle w:val="TableContents"/>
              <w:bidi w:val="0"/>
              <w:spacing w:lineRule="auto" w:line="304" w:before="0" w:after="0"/>
              <w:ind w:left="0" w:right="0" w:hanging="0"/>
              <w:jc w:val="left"/>
              <w:rPr/>
            </w:pPr>
            <w:hyperlink w:anchor="ITEM13CERTAINRELATIONSHIPS_289776">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814" w:type="dxa"/>
            <w:tcBorders/>
            <w:vAlign w:val="center"/>
          </w:tcPr>
          <w:p>
            <w:pPr>
              <w:pStyle w:val="TableContents"/>
              <w:pBdr/>
              <w:bidi w:val="0"/>
              <w:spacing w:lineRule="auto" w:line="304" w:before="0" w:after="0"/>
              <w:ind w:left="0" w:right="0" w:hanging="0"/>
              <w:jc w:val="left"/>
              <w:rPr/>
            </w:pPr>
            <w:hyperlink w:anchor="ITEM14PRINCIPALACCOUNTANT_196112">
              <w:r>
                <w:rPr>
                  <w:rStyle w:val="InternetLink"/>
                  <w:rFonts w:ascii="Times New Roman;Times;serif" w:hAnsi="Times New Roman;Times;serif"/>
                  <w:b w:val="false"/>
                  <w:i w:val="false"/>
                  <w:caps w:val="false"/>
                  <w:smallCaps w:val="false"/>
                  <w:sz w:val="20"/>
                </w:rPr>
                <w:t>ITEM 14.</w:t>
              </w:r>
            </w:hyperlink>
          </w:p>
        </w:tc>
        <w:tc>
          <w:tcPr>
            <w:tcW w:w="8879" w:type="dxa"/>
            <w:tcBorders/>
            <w:vAlign w:val="center"/>
          </w:tcPr>
          <w:p>
            <w:pPr>
              <w:pStyle w:val="TableContents"/>
              <w:bidi w:val="0"/>
              <w:spacing w:lineRule="auto" w:line="304" w:before="0" w:after="0"/>
              <w:ind w:left="0" w:right="0" w:hanging="0"/>
              <w:jc w:val="left"/>
              <w:rPr/>
            </w:pPr>
            <w:hyperlink w:anchor="ITEM14PRINCIPALACCOUNTANT_196112">
              <w:r>
                <w:rPr>
                  <w:rStyle w:val="InternetLink"/>
                  <w:rFonts w:ascii="Times New Roman;Times;serif" w:hAnsi="Times New Roman;Times;serif"/>
                  <w:b w:val="false"/>
                  <w:i w:val="false"/>
                  <w:caps w:val="false"/>
                  <w:smallCaps w:val="false"/>
                  <w:sz w:val="20"/>
                </w:rPr>
                <w:t>PRINCIPAL ACCOUNTING FEES AND SERVICES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814" w:type="dxa"/>
            <w:tcBorders/>
            <w:vAlign w:val="center"/>
          </w:tcPr>
          <w:p>
            <w:pPr>
              <w:pStyle w:val="TableContents"/>
              <w:pBdr/>
              <w:bidi w:val="0"/>
              <w:spacing w:lineRule="auto" w:line="304" w:before="0" w:after="0"/>
              <w:ind w:left="0" w:right="0" w:hanging="0"/>
              <w:jc w:val="left"/>
              <w:rPr/>
            </w:pPr>
            <w:r>
              <w:rPr/>
              <w:t>​</w:t>
            </w:r>
          </w:p>
        </w:tc>
        <w:tc>
          <w:tcPr>
            <w:tcW w:w="8879" w:type="dxa"/>
            <w:tcBorders/>
            <w:vAlign w:val="center"/>
          </w:tcPr>
          <w:p>
            <w:pPr>
              <w:pStyle w:val="TableContents"/>
              <w:bidi w:val="0"/>
              <w:spacing w:lineRule="auto" w:line="304" w:before="0" w:after="0"/>
              <w:ind w:left="0" w:right="0" w:hanging="0"/>
              <w:jc w:val="center"/>
              <w:rPr/>
            </w:pPr>
            <w:hyperlink w:anchor="PARTIV_944738">
              <w:r>
                <w:rPr>
                  <w:rStyle w:val="InternetLink"/>
                  <w:rFonts w:ascii="Times New Roman;Times;serif" w:hAnsi="Times New Roman;Times;serif"/>
                  <w:b/>
                  <w:i w:val="false"/>
                  <w:caps w:val="false"/>
                  <w:smallCaps w:val="false"/>
                  <w:sz w:val="20"/>
                </w:rPr>
                <w:t>PART IV</w:t>
              </w:r>
            </w:hyperlink>
          </w:p>
        </w:tc>
        <w:tc>
          <w:tcPr>
            <w:tcW w:w="512" w:type="dxa"/>
            <w:tcBorders/>
            <w:vAlign w:val="center"/>
          </w:tcPr>
          <w:p>
            <w:pPr>
              <w:pStyle w:val="TableContents"/>
              <w:bidi w:val="0"/>
              <w:spacing w:lineRule="auto" w:line="304" w:before="0" w:after="0"/>
              <w:ind w:left="0" w:right="0" w:hanging="0"/>
              <w:jc w:val="right"/>
              <w:rPr/>
            </w:pPr>
            <w:r>
              <w:rPr/>
              <w:t>​</w:t>
            </w:r>
          </w:p>
        </w:tc>
      </w:tr>
      <w:tr>
        <w:trPr/>
        <w:tc>
          <w:tcPr>
            <w:tcW w:w="814" w:type="dxa"/>
            <w:tcBorders/>
            <w:vAlign w:val="center"/>
          </w:tcPr>
          <w:p>
            <w:pPr>
              <w:pStyle w:val="TableContents"/>
              <w:pBdr/>
              <w:bidi w:val="0"/>
              <w:spacing w:lineRule="auto" w:line="304"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ITEM 15.</w:t>
              </w:r>
            </w:hyperlink>
          </w:p>
        </w:tc>
        <w:tc>
          <w:tcPr>
            <w:tcW w:w="8879" w:type="dxa"/>
            <w:tcBorders/>
            <w:vAlign w:val="center"/>
          </w:tcPr>
          <w:p>
            <w:pPr>
              <w:pStyle w:val="TableContents"/>
              <w:bidi w:val="0"/>
              <w:spacing w:lineRule="auto" w:line="304" w:before="0" w:after="0"/>
              <w:ind w:left="0" w:right="0" w:hanging="0"/>
              <w:jc w:val="left"/>
              <w:rPr/>
            </w:pPr>
            <w:hyperlink w:anchor="ITEM15EXHIBITS_40412">
              <w:r>
                <w:rPr>
                  <w:rStyle w:val="InternetLink"/>
                  <w:rFonts w:ascii="Times New Roman;Times;serif" w:hAnsi="Times New Roman;Times;serif"/>
                  <w:b w:val="false"/>
                  <w:i w:val="false"/>
                  <w:caps w:val="false"/>
                  <w:smallCaps w:val="false"/>
                  <w:sz w:val="20"/>
                </w:rPr>
                <w:t>EXHIBITS, FINANCIAL STATEMENT SCHEDULES</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14" w:type="dxa"/>
            <w:tcBorders/>
            <w:vAlign w:val="center"/>
          </w:tcPr>
          <w:p>
            <w:pPr>
              <w:pStyle w:val="TableContents"/>
              <w:bidi w:val="0"/>
              <w:spacing w:lineRule="auto" w:line="304" w:before="0" w:after="0"/>
              <w:ind w:left="0" w:right="0" w:hanging="0"/>
              <w:jc w:val="left"/>
              <w:rPr/>
            </w:pPr>
            <w:hyperlink w:anchor="ITEM16FORM10KSUMMARY_274253">
              <w:r>
                <w:rPr>
                  <w:rStyle w:val="InternetLink"/>
                  <w:rFonts w:ascii="Times New Roman;Times;serif" w:hAnsi="Times New Roman;Times;serif"/>
                  <w:b w:val="false"/>
                  <w:i w:val="false"/>
                  <w:caps w:val="false"/>
                  <w:smallCaps w:val="false"/>
                  <w:sz w:val="20"/>
                </w:rPr>
                <w:t>ITEM 16.</w:t>
              </w:r>
            </w:hyperlink>
          </w:p>
        </w:tc>
        <w:tc>
          <w:tcPr>
            <w:tcW w:w="8879" w:type="dxa"/>
            <w:tcBorders/>
            <w:vAlign w:val="center"/>
          </w:tcPr>
          <w:p>
            <w:pPr>
              <w:pStyle w:val="TableContents"/>
              <w:bidi w:val="0"/>
              <w:spacing w:lineRule="auto" w:line="304" w:before="0" w:after="0"/>
              <w:ind w:left="0" w:right="0" w:hanging="0"/>
              <w:jc w:val="left"/>
              <w:rPr/>
            </w:pPr>
            <w:hyperlink w:anchor="ITEM16FORM10KSUMMARY_274253">
              <w:r>
                <w:rPr>
                  <w:rStyle w:val="InternetLink"/>
                  <w:rFonts w:ascii="Times New Roman;Times;serif" w:hAnsi="Times New Roman;Times;serif"/>
                  <w:b w:val="false"/>
                  <w:i w:val="false"/>
                  <w:caps w:val="false"/>
                  <w:smallCaps w:val="false"/>
                  <w:sz w:val="20"/>
                </w:rPr>
                <w:t>FORM 10-K SUMMARY</w:t>
              </w:r>
            </w:hyperlink>
          </w:p>
        </w:tc>
        <w:tc>
          <w:tcPr>
            <w:tcW w:w="512"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_518a959d_2c41_4690_a9b3_a353611df95c"/>
      <w:bookmarkEnd w:id="28"/>
      <w:r>
        <w:rPr>
          <w:rFonts w:ascii="Times New Roman;Times;serif" w:hAnsi="Times New Roman;Times;serif"/>
          <w:b/>
          <w:sz w:val="20"/>
        </w:rPr>
        <w:t>CAUTIONARY STATEMENT REGARDING FORWARD-LOOKING INFORMATION</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This Annual Report on Form 10-K (this “10-K”) contains statements that constitute forward-looking statements as that term is defined by the Private Securities Litigation Reform Act of 1995, as amended.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10-K are forward-looking statements. These statements may include words such as “aim,” “anticipate,” “assume,” “believe,” “can have,” “could,” “due,” “estimate,” “expect,” “goal,” “intend,” “likely,” “may,” “objective,” “plan,” “potential,” “positioned,”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All of our forward-looking statements are subject to risks and uncertainties that may cause our actual results to differ materially from our expectations. Important factors that could cause actual results to differ materially from our expectations include, but are not limited to:</w:t>
      </w:r>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adequately complete projects in a timely manner; </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successfully in the highly competitive energy services market; </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reliance on work from our top ten clients;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state, local and regional economies and government budgets;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win new contracts, to renew existing contracts and to compete effectively for contracts awarded through bidding processes;</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full amount of our backlog;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our ability to make principal and interest payments on our outstanding debt as they come due and to comply with the financial covenants contained in our debt agreements; </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supply chain constraints, labor shortages, elevated interest rates, and elevated inflation;</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financing and to refinance our outstanding debt as it matures;</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successfully integrate our acquisitions and execute on our growth strategy; and </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managerial, technical, and administrative talent.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“Risk Factors,” “Management’s Discussion and Analysis of Financial Condition and Results of Operations” and elsewhere in this Annual Report on Form 10-K, as such disclosures may be amended, supplemented or superseded from time to time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by other reports we file with the Securities and Exchange Commission, including subsequent Annual Reports on Form 10-K and Quarterly Reports on Form 10-Q, Current Reports on Form 8-K, and public communications. You should evaluate all forward-looking statements made in this Annual Report on Form 10-K and otherwise in the context of these risks and uncertainties.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Annual Report on Form 10-K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9" w:name="PARTI_646157"/>
      <w:bookmarkStart w:id="30" w:name="_ea459111_2bfc_483b_ba27_37b2896aa118"/>
      <w:bookmarkEnd w:id="29"/>
      <w:bookmarkEnd w:id="30"/>
      <w:r>
        <w:rPr>
          <w:rFonts w:ascii="Times New Roman;Times;serif" w:hAnsi="Times New Roman;Times;serif"/>
          <w:b/>
          <w:sz w:val="20"/>
        </w:rPr>
        <w:t>PART I</w:t>
      </w:r>
    </w:p>
    <w:p>
      <w:pPr>
        <w:pStyle w:val="TextBody"/>
        <w:bidi w:val="0"/>
        <w:spacing w:before="0" w:after="200"/>
        <w:ind w:left="0" w:right="0" w:hanging="0"/>
        <w:jc w:val="left"/>
        <w:rPr>
          <w:rFonts w:ascii="Times New Roman;Times;serif" w:hAnsi="Times New Roman;Times;serif"/>
          <w:b/>
          <w:sz w:val="20"/>
        </w:rPr>
      </w:pPr>
      <w:bookmarkStart w:id="31" w:name="ITEM1BUSINESS_942775"/>
      <w:bookmarkEnd w:id="31"/>
      <w:r>
        <w:rPr>
          <w:rFonts w:ascii="Times New Roman;Times;serif" w:hAnsi="Times New Roman;Times;serif"/>
          <w:b/>
          <w:sz w:val="20"/>
        </w:rPr>
        <w:t>ITEM 1. BUSINESS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Willdan Group, Inc. (“Willdan”) is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needs. Through engineering, program management, policy advisory, and software and data analytics, we plan, design and deliver comprehensive, innovative, cost-effective and proven solutions to improve efficiency, resiliency, and sustainability in energy and infrastructure to our clients.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was founded in 1964 to serve public agencies in communities with populations ranging from 10,000 to 300,000 people. Willdan, a Delaware corporation, was formed in 2006 to serve as our holding company for the expanding subsidiary operations. We commenced providing energy efficiency services in 2008 and since then, through organic growth and acquisitions, our client base has grown to include investor-owned and other public utilities, as well as substantial energy users in government and business.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overall growth strategy revolves around a combination of strong organic expansion and strategic acquisitions which provides us the ability to expand the breadth and depth of the services we provide to new and existing clients. We believe that we are well positioned to capitalize on the ongoing expansion and transformation of the energy and infrastructure environments as they adapt to climate change and other environmental challenges, electrification, and technology advancements, including the growing demand in load growth being fueled by artificial intelligence (“AI”) data centers, electric vehicles and other political and technological changes.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operate our business through a nationwide network of offices spread across 22 states, the District of Columbia, the Canadian province of Alberta, and the Commonwealth of Puerto Rico. We serve a majority of the largest investor-owned electric utilities and over half of the largest municipal utilities in the United States (“U.S.”). Our business with public and private utilities has concentrations in California and New York, but includes numerous other utilities in the Midwest, Northeast, Southeast and Mountain states. Additional acquisitions may continue to expand our geographic footprint. Our business with public agencies is concentrated in California, New York, and Nevada with ongoing expansion into Texas, Florida, Kentucky, and South Carolina. We also serve special districts, school districts, and a large range of public agencies and private industry throughout the U.S.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(i) Energy and (ii)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Our Markets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operate in the energy services market and the engineering and consulting market. We provide a wide variety of services related to energy planning and analysis, energy efficiency and sustainability, engineering, construction management, and economic and financial consulting services primarily to public agencies, utilities, and commercial/industrial firms.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believe the energy services market will continue to expand in response to the increasing awareness of sustainability issues, including global warming and climate change, and the advent of new technologies in renewable energy generation and the electrification of the nation’s economy through technology advances and changing consumption patterns. In addition, the rapid growth in AI is creating increased power demand from data centers and thus becoming a key driver in expanding the energy services market. Private industry and public agencies increasingly seek out cost-effective, turnkey solutions that provide innovative plans, tools, and solutions to address energy efficiency, renewable energy, water conservation and sustainability. State and local governments frequently turn to specialized resource conservation firms to help strike the balance between environmental responsibility and economic competitiveness. The use of energy services, including audits, program design, benchmark analyses, metering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incentivized sale and installation of energy efficiency measures provides public agencies, utilities, and commercial/industrial firms with the ability to realize long-term energy savings and greenhouse gas reductions.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The engineering and consulting market has grown as public agencies and utilities, as well as private utilities and commercial/industrial firms, find it more efficient to outsource design, construction oversight, advisory, and training services to contract providers, rather than maintain the necessary staff and resources to provide such services themselves. For example, we serve as municipal engineers and building and safety departments for local governments. We also design and provide construction oversight of various infrastructure projects for state and local governments to address environmental goals and mandates, population shifts, changes in local and state funding and aging infrastructure. We also provide consulting services to public agencies as they raise the necessary funds to develop such infrastructure projects and provide other services. Relatedly, we provide local government staffing, traffic and transportation engineering, studies, plan reviews, grant support, and inspections.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are a professional services firm focused on transformational growth and value creation for our clients, employees and shareholders. We seek to establish long-term close working relationships with our clients and expand the breadth and depth of the services we provide to them over time. We believe the market for these services is, and will be, driven by a number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services and solutions that provide energy efficiency, greenhouse gas reduction, sustainability, electrification, water conservation, infrastructure development and renewable energy in the public and private sectors;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technology, such as AI and related data centers, battery storage and electric vehicles that affect the generation, distribution and consumption of energy;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efforts to upgrade aging energy infrastructure to meet power, transmission, and environmental goals and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increasing challenge to balance energy demand from electrification and trends toward electric vehicles with the changing sources of energy from wind, solar, and distributed energy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small and medium sized communities to obtain highly specialized services without incurring the costs of hiring permanent staffing and the associated support 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assistance from utilities, government-funded programs and state legislation for local communities to provide services to constituents; and</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policy.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offer services in two financial reporting segments: (i) Energy and (ii) Engineering and Consulting. Management established these segments based upon the services provided, the different marketing strategies associated with these services, and the specialized needs of their respective clients.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the approximate percentage of our consolidated contract revenue attributable to each financial reporting segment. </w:t>
      </w:r>
    </w:p>
    <w:tbl>
      <w:tblPr>
        <w:tblW w:w="5303" w:type="dxa"/>
        <w:jc w:val="left"/>
        <w:tblInd w:w="0" w:type="dxa"/>
        <w:tblLayout w:type="fixed"/>
        <w:tblCellMar>
          <w:top w:w="0" w:type="dxa"/>
          <w:left w:w="0" w:type="dxa"/>
          <w:bottom w:w="0" w:type="dxa"/>
          <w:right w:w="0" w:type="dxa"/>
        </w:tblCellMar>
      </w:tblPr>
      <w:tblGrid>
        <w:gridCol w:w="2431"/>
        <w:gridCol w:w="346"/>
        <w:gridCol w:w="466"/>
        <w:gridCol w:w="361"/>
        <w:gridCol w:w="466"/>
        <w:gridCol w:w="361"/>
        <w:gridCol w:w="466"/>
        <w:gridCol w:w="40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543685" cy="175260"/>
                      <wp:effectExtent l="0" t="0" r="0" b="0"/>
                      <wp:wrapNone/>
                      <wp:docPr id="5" name="Frame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5910" cy="175260"/>
                      <wp:effectExtent l="0" t="0" r="0" b="0"/>
                      <wp:wrapNone/>
                      <wp:docPr id="7" name="Frame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9235" cy="175260"/>
                      <wp:effectExtent l="0" t="0" r="0" b="0"/>
                      <wp:wrapNone/>
                      <wp:docPr id="8" name="Frame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95910" cy="175260"/>
                      <wp:effectExtent l="0" t="0" r="0" b="0"/>
                      <wp:wrapNone/>
                      <wp:docPr id="9" name="Frame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9235" cy="175260"/>
                      <wp:effectExtent l="0" t="0" r="0" b="0"/>
                      <wp:wrapNone/>
                      <wp:docPr id="10" name="Frame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95910" cy="175260"/>
                      <wp:effectExtent l="0" t="0" r="0" b="0"/>
                      <wp:wrapNone/>
                      <wp:docPr id="11" name="Frame1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57810" cy="175260"/>
                      <wp:effectExtent l="0" t="0" r="0" b="0"/>
                      <wp:wrapNone/>
                      <wp:docPr id="12" name="Frame1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406"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center"/>
              <w:rPr/>
            </w:pPr>
            <w:r>
              <w:rPr/>
              <w:t>  ​ ​ ​</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During fiscal year 2025, we derived 27.4% of our Energy segment contract revenues from two customers, Clark County School District and Southern California Edison. During fiscal year 2025, we had no individual customers that accounted for more than 10% of our Engineering and Consulting segment contract revenues.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further information related to our financial reporting segments, see Part II, Item 8, Note 9, “</w:t>
      </w:r>
      <w:r>
        <w:rPr>
          <w:rFonts w:ascii="Times New Roman;Times;serif" w:hAnsi="Times New Roman;Times;serif"/>
          <w:i/>
          <w:sz w:val="20"/>
        </w:rPr>
        <w:t>Segment and Geographical Information”</w:t>
      </w:r>
      <w:r>
        <w:rPr>
          <w:rFonts w:ascii="Times New Roman;Times;serif" w:hAnsi="Times New Roman;Times;serif"/>
          <w:sz w:val="20"/>
        </w:rPr>
        <w:t xml:space="preserve">, of the Notes to Consolidated Financial Statements included in this Annual Report on Form 10-K.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 xml:space="preserve">Energy Services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and comprehensive energy solutions to businesses, utilities, state agencies, municipalities, and non-profit organizations. Our experienced engineers, consultants, and staff help our clients realize cost and energy savings by tailoring efficient and cost-effective solutions to assist in optimizing energy spend. Our energy services include comprehensive audit and surveys, program design, master planning, demand reduction, grid optimization, benchmarking analyses, design engineering, AI data center power solutions, construction management, performance contracting, installation, alternative financing, measurement and verification services, and advances in software and data analytics for long term planning.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energy services include the following: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Energy Efficiency.</w:t>
      </w:r>
      <w:r>
        <w:rPr>
          <w:rFonts w:ascii="Times New Roman;Times;serif" w:hAnsi="Times New Roman;Times;serif"/>
          <w:sz w:val="20"/>
        </w:rPr>
        <w:t xml:space="preserve"> We provide complete energy efficiency consulting and engineering services, including program design, management and administration; marketing, customer outreach and project origination; energy audits and feasibility analyses; implementation; training; management; retro-commissioning; data management and reporting; measurement and verification services; and construction management.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Program Design and Implementation.</w:t>
      </w:r>
      <w:r>
        <w:rPr>
          <w:rFonts w:ascii="Times New Roman;Times;serif" w:hAnsi="Times New Roman;Times;serif"/>
          <w:sz w:val="20"/>
        </w:rPr>
        <w:t xml:space="preserve"> We assist utilities and governmental clients with the design, development and implementation of energy efficiency plans and programs. These plans include the design, outreach, and implementation of strategies to reduce peak energy demand and greenhouse gas emissions through energy efficiency, water conservation, and renewable energy planning.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Direct Customer Support.</w:t>
      </w:r>
      <w:r>
        <w:rPr>
          <w:rFonts w:ascii="Times New Roman;Times;serif" w:hAnsi="Times New Roman;Times;serif"/>
          <w:sz w:val="20"/>
        </w:rPr>
        <w:t xml:space="preserve"> We assist clients (including hospitals, hotels, government offices, schools, and private industry) in developing and managing facilities and related infrastructures through a holistic, practical approach to facility management. Our services cover audits, local compliance, operations and maintenance review, renewable energy planning, master plan development, infrastructure analyses, Leadership in Energy and Environmental Design (“LEED”) certification for buildings, and strategies for energy spend and greenhouse gas reduction.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Turnkey Facility and Infrastructure Projects. </w:t>
      </w:r>
      <w:r>
        <w:rPr>
          <w:rFonts w:ascii="Times New Roman;Times;serif" w:hAnsi="Times New Roman;Times;serif"/>
          <w:sz w:val="20"/>
        </w:rPr>
        <w:t>We provide turnkey/design-build facility and infrastructure improvement projects to a wide array of private and public clients including municipalities, county governments, public and private K-12 schools, and higher education institutions. Our services cover preliminary planning, project design, construction management, commissioning, post-project support and measurement and verification.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Engineering and Consulting Services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Willdan provides public agencies with a comprehensive suite of engineering, building and safety, and financial consulting services designed to support safe, sustainable, and fiscally responsible community development. Our integrated teams deliver end-to-end expertise across planning, design, permitting, financing, and implementation, helping agencies navigate growth, modernize infrastructure, streamline operations, and meet regulatory requirements.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Engineering and Consulting Services include civil engineering and construction management; building and safety services; city engineering and planning support; civil design; geotechnical services; and materials testing. Our capabilities span traffic, bridges, rail, ports, water systems, and other major infrastructure projects. In addition to technical expertise, we provide economic and financial consulting that helps agencies plan, fund, and maintain both daily operations and long-term capital programs. This includes guidance on public-sector financing tools, assistance with mandated reporting and compliance, and independent financial advisory services for municipal securities without providing underwriting. In general, contracts for engineering and consulting services are awarded by public agencies based primarily upon the qualifications of the engineering or consulting professional, rather than the proposed fees. We have longstanding relationships with many of these agencies and are recognized as having relevant expertise and customer focused services. A substantial percentage of our work is for existing clients that we have served for many years. </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and Consulting services include the following: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Building and Safety.</w:t>
      </w:r>
      <w:r>
        <w:rPr>
          <w:rFonts w:ascii="Times New Roman;Times;serif" w:hAnsi="Times New Roman;Times;serif"/>
          <w:sz w:val="20"/>
        </w:rPr>
        <w:t xml:space="preserve"> Our building and safety services range from managing and staffing an entire municipal building department to providing specific outsourced services, such as plan review and field inspections for code compliance. Other related services under this umbrella include performing accessibility compliance and providing disaster recovery teams, energy compliance evaluations, fire and life safety, permit processing and issuance, seismic retrofitting programs, and structural plan review. Many of our building and safety services contracts are with municipalities and counties where we supplement the capacity of in-house staff.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City Engineering and Code Enforcement.</w:t>
      </w:r>
      <w:r>
        <w:rPr>
          <w:rFonts w:ascii="Times New Roman;Times;serif" w:hAnsi="Times New Roman;Times;serif"/>
          <w:sz w:val="20"/>
        </w:rPr>
        <w:t xml:space="preserve"> We provide municipalities with city engineering services related to the public works department needs and assist with the development and capital improvements implementation, and enforcement of building and development codes. These services are tailored to the unique needs of each municipality, ranging from staffing an entire engineering department to carrying out specific projects within a municipality.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Development Review.</w:t>
      </w:r>
      <w:r>
        <w:rPr>
          <w:rFonts w:ascii="Times New Roman;Times;serif" w:hAnsi="Times New Roman;Times;serif"/>
          <w:sz w:val="20"/>
        </w:rPr>
        <w:t xml:space="preserve"> We offer development plan review and inspection services including Americans with Disabilities Act (“ADA”) compliance, preliminary and final plats (maps), grading and drainage, complete infrastructure improvements for residential site plans, commercial site plans, industrial development and subdivision, and major master plan development services. We have reviewed grading plans, street lighting and traffic signal plans, erosion control plans, storm drain plans, street improvement plans, and sewer water and utility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Disaster Recovery.</w:t>
      </w:r>
      <w:r>
        <w:rPr>
          <w:rFonts w:ascii="Times New Roman;Times;serif" w:hAnsi="Times New Roman;Times;serif"/>
          <w:sz w:val="20"/>
        </w:rPr>
        <w:t xml:space="preserve"> We provide disaster recovery services to cities, counties and local government. Our experience in disaster recovery includes assisting communities in the disaster recovery process following earthquakes, firestorms, hurricanes, mudslides and other natural disasters. We typically organize and staff several local disaster recovery centers which function as “one-stop permit centers” that guarantee turn-around performance for fast-track plan checking and inspection services. Additionally, we have performed street and storm drain clean-up, replacement or repair of damaged storm drains, streets, and bridges, debris management and preparation and implementation of a near-term erosion and sediment control program.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Planning and Surveying.</w:t>
      </w:r>
      <w:r>
        <w:rPr>
          <w:rFonts w:ascii="Times New Roman;Times;serif" w:hAnsi="Times New Roman;Times;serif"/>
          <w:sz w:val="20"/>
        </w:rPr>
        <w:t xml:space="preserve"> We assist communities with a full range of planning services, from the preparation of long-range policy plans to assistance with the day-to-day operations of a planning department. For several cities, we provide contract staff support, which ranges from staffing entire departments to providing interim or long-term services to entities that have determined that it is not cost-effective to have a full-time engineer on staff, to relieve peak workload situations or to fill vacant positions during a job search. Typical assignments include land use studies, development of specific plans or general plan elements, design guidelines, and zoning ordinances. We also provide surveying and mapping services, including major construction layout, design survey, topographic survey, aerial mapping, Geographic Information Systems, and right-of-way engineering.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Program and Construction Management.</w:t>
      </w:r>
      <w:r>
        <w:rPr>
          <w:rFonts w:ascii="Times New Roman;Times;serif" w:hAnsi="Times New Roman;Times;serif"/>
          <w:sz w:val="20"/>
        </w:rPr>
        <w:t xml:space="preserve"> We provide comprehensive program and construction management services to our public sector clients. These services include construction administration, inspection, observation, labor compliance, and community relations, depending on the client’s needs and the scope of the specific project. Our construction management experience encompasses projects such as streets, bridges, sewers and storm drains, water systems, parks, pools, public buildings, and utilities.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Structures.</w:t>
      </w:r>
      <w:r>
        <w:rPr>
          <w:rFonts w:ascii="Times New Roman;Times;serif" w:hAnsi="Times New Roman;Times;serif"/>
          <w:sz w:val="20"/>
        </w:rPr>
        <w:t xml:space="preserve"> Our structural engineering services include bridge design, bridge evaluation and inspection, highway and railroad bridge planning and design, highway interchange design, railroad grade separation design, bridge seismic retrofitting, building design and retrofit, sound wall and retaining wall design, and planning and design for bridge rehabilitation and replacement.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Transportation and Traffic.</w:t>
      </w:r>
      <w:r>
        <w:rPr>
          <w:rFonts w:ascii="Times New Roman;Times;serif" w:hAnsi="Times New Roman;Times;serif"/>
          <w:sz w:val="20"/>
        </w:rPr>
        <w:t xml:space="preserve"> We provide a wide range of services relating to transportation, traffic and other infrastructure projects. For example, our transportation engineering services cover a full spectrum of support functions, including right of way, utility relocation, landscape, survey and mapping, geographic information systems, public outreach, and interagency coordination. Our traffic engineering services include serving as the contract city traffic engineer in communities, as well as performing design and traffic planning projects for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Water Resources.</w:t>
      </w:r>
      <w:r>
        <w:rPr>
          <w:rFonts w:ascii="Times New Roman;Times;serif" w:hAnsi="Times New Roman;Times;serif"/>
          <w:sz w:val="20"/>
        </w:rPr>
        <w:t xml:space="preserve"> We assist clients in addressing the many facets of water development, treatment, distribution and conservation, including energy savings, technical, financial, legal, political, and regulatory requirements. Our core competencies include hydraulic modeling, master planning, rate studies and design and construction services. Our design experience includes reservoirs, pressure reducing stations, pump and lift stations, and pipeline alignment studies, as well as water/wastewater collection, distribution, and treatment facilities. We also provide a complete analysis and projection of storm flows for use in drainage master plans and for individual storm drain systems to reduce flooding in streets and adjacent properties. We design open and closed storm drain systems and detention basin facilities for cities, counties and the Army Corp of Engineers.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District Administration.</w:t>
      </w:r>
      <w:r>
        <w:rPr>
          <w:rFonts w:ascii="Times New Roman;Times;serif" w:hAnsi="Times New Roman;Times;serif"/>
          <w:sz w:val="20"/>
        </w:rPr>
        <w:t xml:space="preserve"> We administer special districts on behalf of public agencies. The types of special districts administered include community facilities districts (in California, Mello-Roos districts), assessment districts, landscape and lighting districts, school facilities improvement districts, benefit assessment districts, fire suppression districts, and business improvement districts. Our district administration services include calculating the annual levy for each parcel in the district; billing charges directly or through a county tax roll; preparing the annual Engineer’s Report, budget and resolutions; reporting on collections and payment status; calculating prepayment quotes; and providing financial analyses, modeling and budget forecasting.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Financial Consulting.</w:t>
      </w:r>
      <w:r>
        <w:rPr>
          <w:rFonts w:ascii="Times New Roman;Times;serif" w:hAnsi="Times New Roman;Times;serif"/>
          <w:sz w:val="20"/>
        </w:rPr>
        <w:t xml:space="preserve"> We perform economic analyses and financial projects for public agencies, including fee and rate studies; utility rate analysis; utility system appraisals and asset acquisitions; economic development and redevelopment planning; real estate and market analysis associated with planning efforts, and development fee studies; special district formation and other special projects.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Federal Compliance.</w:t>
      </w:r>
      <w:r>
        <w:rPr>
          <w:rFonts w:ascii="Times New Roman;Times;serif" w:hAnsi="Times New Roman;Times;serif"/>
          <w:sz w:val="20"/>
        </w:rPr>
        <w:t xml:space="preserve"> We offer services that support bonded debt compliance reporting for cities, counties, states, school districts, water districts, housing authorities, 501(c)(3) and other municipal entities. We provide federal compliance services to approximately 740 issuers in 43 states and the District of Columbia managing approximately $65 billion in municipal debt.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clients primarily consist of investor and municipal owned energy utilities, public and governmental agencies including cities, counties, redevelopment agencies, water districts, school districts and universities, state agencies, and a variety of other special districts and agencies. We also provide services to private industry, hospitals, hotels, and a wide variety of other commercial and industrial enterprises.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organized to profitably manage numerous small and large contracts at the same time. The majority of our contracts typically range from $10,000 to $10,000,000 in contract revenue; however, several of our construction management service contracts exceed $20,000,000 and can range up to $130,000,000 in construction value. In addition, many of our multi-year utility program management contracts exceed $10,000,000 and, some of our largest contracts have provided contract limits in excess of $250,000,000 in revenue over a period of five years for the management of utility incentive programs for the implementation of energy efficiency measures. Individual projects under our contracts typically have a duration of between two and twenty-four months, but our utility contracts often provide terms of up to five years and we have city services contracts that have been renewed or re-awarded and in effect for over 30 years. Most of our contracts include a provision allowing for termination for convenience after reimbursement of any unbilled effort under the contract. As of January 2, 2026, we had approximately 2,600 open projects.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fiscal year 2025, we had two individual customers that accounted for more than 10% of our consolidated contract revenues, Clark County School District and Southern California Edison. Our top 10 customers accounted for 50.7% of our consolidated contract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largest clients are based in California, New York, and Nevada. In fiscal year 2025, services provided to clients in California, New York, and Nevada accounted for 43.5%, 19.0%, and 11.8% of our consolidated contract revenue, respectively.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collaborate with Southern California Edison (“SCE”) who has contracted with us to develop, implement, and offer their commercial energy services programs to SCE customers. We are the implementer of the Commercial Program, which is targeted to help SCE customers lower their energy bills and reduce demand and energy usage by providing technical services, connection to financing, and financial incentives to identify and install energy efficiency measures. To support this effort, we provide full-service program implementation, including customer outreach, performing energy audits, and facilitating installation and verifying savings of approved energy efficiency measures.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work with the Clark County School District in Nevada in their Lighting Upgrade Project. We are responsible for development, design, construction management, measurement, verification, operations and maintenance of the project components for over 200 schools and support facilities covering in excess of 23.7 million square-feet. These projects included lighting replacement with LED technology and enhanced lighting controls projects at all included school buildings.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collaborate with the Los Angeles Department of Water and Power (“LADWP”) through the Commercial Direct Install Program, which is a small business lighting energy efficiency program that serves all commercial customers in the LADWP territory with demand up to 250kW. On average, this program typically implements approximately 8,000 energy efficiency projects a year and has implemented over 100,000 projects since program inception in 2008. Over that time, we have saved the LADWP and its customers over half a million MWh per year and almost one hundred MW of peak demand.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work with Duke Energy - Progress to manage the small business direct install program in North Carolina and South Carolina. Since its launch in 2013, the program has grown to encompass all eligible Duke Energy customers in North Carolina, South Carolina, Indiana, and Kentucky. The Small Business Energy Saver Program offers eligible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commercial customers the opportunity to retrofit a comprehensive list of existing inefficient equipment with more energy-efficient measures. The program provides integrated turn-key services including program marketing, energy assessments, installation by local contractors, up to 80 percent incentives to offset the cost of projects, and education to encourage the replacement of existing equipment with improvements in lighting, refrigeration, and HVAC.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implement Consolidated Edison’s Small and Medium Business Program across the utility's New York City and Westchester County service area, as well as Consolidated Edison’s Multifamily program, their largest energy efficiency program. After giving effect to renewals and extensions, both contracts continue through the end of 2026. These programs help customers save energy, lower their bills, and protect the environment by providing financial incentives to identify and buy down the cost of energy efficiency measures. They also provide incentives to customers who electrify their buildings and reduce their carbon footprint by installing heat pumps. To support this effort, we provide full-service program implementation including outreach and direct sales to potential commercial customers, on-site energy efficiency assessments, direct implementation of energy savings measures and participating contractor management. The administration of incentive payments to other contractors providing services through the program is included in our scope, but the structure of the contract is such that these payments are not included in revenue or expenses. Consolidated Edison may terminate the contract at any time for any reason. Consolidated Edison has been a customer of ours since 2009.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our acquisition of substantially all of the assets of Genesys in March 2016, we entered into an administrative services agreement with Genesys pursuant to which our subsidiary, WES, provides Genesys with ongoing administrative, operational and other non-professional support services. Under such administrative services agreement, WES provides administrative services for a series of Genesys’s DASNY and other contracts. WES provides administrative services to Genesys in its performance of rehabilitation and construction work and architectural and engineering services at various sites within New York State. Services for DASNY under these contracts also include energy efficient design, utility cost evaluation and review, and various regulatory compliance services. Specific project descriptions are set out by DASNY in work authorizations, which are issued under the terms of the contracts. The termination dates of the DASNY contracts vary; the latest of which is November 2026. Work authorized but not yet completed under this contract continues to be bound by the terms of the agreement beyond the termination date until completion of the projects. Genesys expects to continue to receive amendments from DASNY to the master contract extending the termination date under DASNY’s option to extend this contract term twice, one year at a time. DASNY may at any time terminate any of the contracts or suspend all projects, for its convenience and without cause. DASNY has been a customer of Genesys since 1983.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Structure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generally provide our services under contracts, purchase orders, licensing agreements or retainer letters. The agreements we enter into with our clients typically incorporate one of three principal types of pricing provisions: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Time-and-materials provisions</w:t>
            </w:r>
            <w:r>
              <w:rPr>
                <w:caps w:val="false"/>
                <w:smallCaps w:val="false"/>
              </w:rPr>
              <w:t xml:space="preserve"> </w:t>
            </w:r>
            <w:r>
              <w:rPr>
                <w:rFonts w:ascii="Times New Roman;Times;serif" w:hAnsi="Times New Roman;Times;serif"/>
                <w:b w:val="false"/>
                <w:i w:val="false"/>
                <w:caps w:val="false"/>
                <w:smallCaps w:val="false"/>
                <w:sz w:val="20"/>
              </w:rPr>
              <w:t>provide for reimbursement of costs and overhead plus a fee for labor based on the time expended on a project multiplied by a negotiated hourly billing rate. The profitability achievable on a time-and-materials basis is driven by billable headcount, staff utilization, and cost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Unit-based provisions</w:t>
            </w:r>
            <w:r>
              <w:rPr>
                <w:caps w:val="false"/>
                <w:smallCaps w:val="false"/>
              </w:rPr>
              <w:t xml:space="preserve"> </w:t>
            </w:r>
            <w:r>
              <w:rPr>
                <w:rFonts w:ascii="Times New Roman;Times;serif" w:hAnsi="Times New Roman;Times;serif"/>
                <w:b w:val="false"/>
                <w:i w:val="false"/>
                <w:caps w:val="false"/>
                <w:smallCaps w:val="false"/>
                <w:sz w:val="20"/>
              </w:rPr>
              <w:t>require the delivery of specific units of work, such as energy efficiency savings goals measured in kWh or Therms or other energy efficiency metrics, arbitrage rebate calculations, software access terms, dissemination of municipal securities continuing disclosure reports, or building plan checks, at an agreed price per unit, with the total payment under the contract determined by the actual number of units performed.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Fixed price provisions</w:t>
            </w:r>
            <w:r>
              <w:rPr>
                <w:caps w:val="false"/>
                <w:smallCaps w:val="false"/>
              </w:rPr>
              <w:t xml:space="preserve"> </w:t>
            </w:r>
            <w:r>
              <w:rPr>
                <w:rFonts w:ascii="Times New Roman;Times;serif" w:hAnsi="Times New Roman;Times;serif"/>
                <w:b w:val="false"/>
                <w:i w:val="false"/>
                <w:caps w:val="false"/>
                <w:smallCaps w:val="false"/>
                <w:sz w:val="20"/>
              </w:rPr>
              <w:t>require all work under a contract to be performed for a specified lump sum, which may be subject to adjustment if the scope of the project changes. Contracts with fixed price provisions carry certain inherent risks, including risks of losses from underestimating costs, delays in project completion, problems with new technologies, price increases for materials, and economic and other changes that may occur over the contract period. Consequently, the profitability, if any, of fixed price contracts can vary substantially. We typically mitigate some of these risks through the use of fixed price subcontracts for services, material, and equipment which often cover the majority of the costs to be incurred under these contracts.</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presents, for the periods indicated, the approximate percentage of our contract revenue subject to each type of pricing provision: </w:t>
      </w:r>
    </w:p>
    <w:p>
      <w:pPr>
        <w:pStyle w:val="TextBody"/>
        <w:bidi w:val="0"/>
        <w:spacing w:before="0" w:after="0"/>
        <w:ind w:left="0" w:right="0" w:firstLine="720"/>
        <w:jc w:val="left"/>
        <w:rPr/>
      </w:pPr>
      <w:r>
        <w:rPr/>
        <w:t>​</w:t>
      </w:r>
    </w:p>
    <w:tbl>
      <w:tblPr>
        <w:tblW w:w="4478" w:type="dxa"/>
        <w:jc w:val="left"/>
        <w:tblInd w:w="0" w:type="dxa"/>
        <w:tblLayout w:type="fixed"/>
        <w:tblCellMar>
          <w:top w:w="0" w:type="dxa"/>
          <w:left w:w="0" w:type="dxa"/>
          <w:bottom w:w="0" w:type="dxa"/>
          <w:right w:w="0" w:type="dxa"/>
        </w:tblCellMar>
      </w:tblPr>
      <w:tblGrid>
        <w:gridCol w:w="1696"/>
        <w:gridCol w:w="346"/>
        <w:gridCol w:w="466"/>
        <w:gridCol w:w="361"/>
        <w:gridCol w:w="466"/>
        <w:gridCol w:w="361"/>
        <w:gridCol w:w="466"/>
        <w:gridCol w:w="31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076960" cy="175260"/>
                      <wp:effectExtent l="0" t="0" r="0" b="0"/>
                      <wp:wrapNone/>
                      <wp:docPr id="13" name="Frame13"/>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95910" cy="175260"/>
                      <wp:effectExtent l="0" t="0" r="0" b="0"/>
                      <wp:wrapNone/>
                      <wp:docPr id="15" name="Frame1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9235" cy="175260"/>
                      <wp:effectExtent l="0" t="0" r="0" b="0"/>
                      <wp:wrapNone/>
                      <wp:docPr id="16" name="Frame1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95910" cy="175260"/>
                      <wp:effectExtent l="0" t="0" r="0" b="0"/>
                      <wp:wrapNone/>
                      <wp:docPr id="17" name="Frame1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9235" cy="175260"/>
                      <wp:effectExtent l="0" t="0" r="0" b="0"/>
                      <wp:wrapNone/>
                      <wp:docPr id="18" name="Frame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95910" cy="175260"/>
                      <wp:effectExtent l="0" t="0" r="0" b="0"/>
                      <wp:wrapNone/>
                      <wp:docPr id="19" name="Frame1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0660" cy="175260"/>
                      <wp:effectExtent l="0" t="0" r="0" b="0"/>
                      <wp:wrapNone/>
                      <wp:docPr id="20" name="Frame2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16"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Time-and-materials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Unit-based</w:t>
            </w:r>
          </w:p>
        </w:tc>
        <w:tc>
          <w:tcPr>
            <w:tcW w:w="3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price</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relation to the pricing provisions, our service-related contracts, including operations and maintenance services and a variety of technical assistance services, are accounted for over the period of performance, in proportion to the cost of performance. Award and incentive fees are recorded when they are fixed and determinable and consider customer contract terms.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For time-and-materials and fixed price contracts, we bill our clients periodically in accordance with the contract terms, based on costs incurred on either an hourly fee basis or on a percentage of completion basis or upon the achievement of certain prescribed milestones, as the project progresses. For unit-based contracts, we bill our clients upon delivery and completion of the contracted item or service, and in some cases, in advance of delivery.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or recompetition,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transactions and generally low customer concentration, the renewal, termination, or modification of a contract may have a material effect on our consolidated operations.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define backlog as the future revenue we expect to receive from our contracts with clients. Our contracts contain various types of pricing provisions, including fixed price, time-and-materials, and unit-based provisions. Most of our contracts have specified funded ceilings, which define the maximum revenue to be derived under the contract terms. The unused, or unrecognized, revenue ceiling, adjusted downward if we expect to ultimately recognize less revenue than the unused revenue ceiling, comprises the amount of backlog we report. A small percentage of our client contracts, like some of our municipal service contracts, do not have a specified funded maximum ceiling as revenue is derived as a percentage of certain fees that are paid to the municipality, such as permitting fees. In those cases, we estimate the amount of revenue expected for up to one year based on past utilization experience and include those expected revenues in the reported backlog.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fixed price contracts, we include expected future revenue in backlog at the contract price when the contract has been executed, less any revenue recognized to date. For time-and-materials contracts, we include expected future revenue at the contract ceiling amount when the contract has been executed, less any revenue recognized to date. For unit-based contracts we include expected future revenue in backlog in the amount of total capacity under the contract when the contract has been executed, less any revenue recognized to date. The total capacity of the unit-based contract is the amount that will be owed to us if we provide services up to the maximum of the contract. Many of our utility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contracts have funded ceiling amounts that may or may not be fully utilized during the contract period due to a variety of factors. In the event that we do not provide services up to total capacity, or in the event that we do not foresee being able to provide services up to that total capacity, we will remove those amounts from our backlog.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funded value of some of our larger contracts cover time periods of up to five years. Accordingly, their backlog value declines each year as revenue is recognized and the backlog level is not replenished unless and until the contract is renewed at the end of the contract period. The impact of this effect means changes in backlog levels over relatively short periods of time may not be a reliable metric for predicting future growth.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Most of our contracts include provisions that allow for project cancellations or scope adjustments at the option of our clients, though those options are rarely exercised. In the event that this occurs, any remaining contract value is removed from our backlog.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our total backlog was $1.0 billion.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further information related our contract accounting, see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this Annual Report on Form 10-K.</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markets for energy efficiency and sustainability, engineering, construction management, economic and financial consulting, design planning and national preparedness services are competitive and highly fragmented. Our competition varies by type of client, type of service and geography. The range of competitors for any one project can vary depending upon technical specialties, the relative value of the project, geographic location, financial terms, risks associated with the work, and any client-imposed restrictions. We often compete with many other technical service firms ranging from small local firms to large international firms. Contract awards are based primarily on qualifications, relevant experience, staffing capabilities, geographic presence, financial stability, customer service, and price. We face strong competition primarily from other regional, national, and international providers of energy efficiency and sustainability consulting services, local electrical and mechanical contractors and engineering firms, lighting and lighting fixture manufacturers and distributors. In addition to our existing competitors, new competitors such as large national or international engineering and/or construction companies could enter our markets.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Doing business with utilities and governmental agencies is complex and requires the ability to understand and comply with intricate regulations and to satisfy periodic audits. We have been serving cities, counties, special districts and other public agencies for over half a century. We believe that the ability to understand these requirements and to successfully conduct business with utilities, governmental entities and agencies is a barrier to entry for potential competitors.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Unlike some of our competitors, we focus our services on utilities, commercial and industrial markets, and public sector clients and generally exclude most residential services. Utility and public sector clients generally choose among competing firms by weighing the quality, experience, innovation and timeliness of the firm’s services. When selecting consultants for engineering projects, many utilities and government agencies are required to, and others choose to, employ Qualifications Based Selection (“QBS”). QBS requires the selection of the most technically qualified firms for a project, while the financial and legal terms of the engagement are generally secondary.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competition varies geographically. Although we provide services in several states, we may be stronger in certain service lines in some geographical areas than in other regions. Similarly, some of our larger competitors are stronger in some service lines in certain localities but are not as competitive in others. Our smaller competitors generally are limited both geographically as well as by the depth and breadth of services they are able to provide.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consider our principal competitive advantages to be our reputation for dependability, technical knowledge and industry expertise of employees, quality of services and solutions, and the scope and scale of our service offerings. We believe that no single competitor has sufficient market share to influence the markets in which we operate.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address the hazards inherent in our business, we maintain insurance coverage through the following policies: commercial general liability, automobile liability, workers’ compensation and employer’s liability, cyber liability, professional liability and umbrella/excess liability. However, if any claims, settlements, or judgements, individually or in the aggregate, exceed our policy limits, we are liable to pay these claims from our assets. We believe our coverage limits reasonably protect us from any material adverse impact that may arise from these insured risks.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 Licensing, and Enforcement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significant portion of our revenues is derived from services provided to public utilities which are generally overseen by state or local public utility commissions who provide and administer a regulatory framework governing the sourcing, distribution, pricing and general management of electricity and natural gas. Our services are often mandated by these regulatory frameworks requiring utilities to meet certain goals for energy efficiency, renewable energy and other metrics which impact demand for our services. This framework of regulatory mandates is updated by state and local ordinance and some federal regulatory action as well. Demand for our services can be impacted from year to year by changes in these regulatory acts regarding energy management, utility budgets and the allowable financial parameters imposed by these regulatory agencies.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professional services company, our continuing success relies on attracting, developing, and retaining a workforce that is both technically excellent and responsive to the needs of our clients and customers. An integral part of our ability to attract and retain qualified talent depends on our ability to maintain a culture reflective of the diverse communities that we serve.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has a culture of acceptance, individuality, and respect, creating an environment where every employee feels included and empowered to contribute their unique perspectives, develop innovative ideas, and bring their best skills to work each day.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health and safety of our employees is a core value and we continuously strive to provide a working environment that is reflective of that belief. At Willdan, our leadership embraces and supports the efforts required to drive the proactive management of risk and the elevation of our safety culture. In addition, to better communicate and market our safety objectives, our corporate safety council meets monthly and engages member representatives across the organization, bringing practical and timely information forward to share with our workforce.</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Our Workforce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we employed a total of 1,814 employees, excluding contractors. Our employees include, among others, licensed electrical, mechanical, structural, geotechnical and civil engineers; land surveyors; certified building officials; certified inspectors and plans examiners; licensed architects and landscape architects; certified planners; energy sales and audit specialists; installation technicians; program managers; policy advisors, economists, and information technology specialists. We believe that we attract and retain highly skilled personnel with significant industry experience and strong client relationships by offering them challenging assignments in a dynamic work environment that recognizes, supports, and encourages diverse backgrounds and inter-cultural cooperation combined with compensation and employee benefit programs that are competitive with those offered by our competitors. See Part I, Item 1A, "Risk Factors" included in this Annual Report on Form 10-K for a discussion of the risks related to the loss of key personnel or our inability to attract and retain qualified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our employees in each of our business segments and our holding company:</w:t>
      </w:r>
    </w:p>
    <w:tbl>
      <w:tblPr>
        <w:tblW w:w="6893" w:type="dxa"/>
        <w:jc w:val="left"/>
        <w:tblInd w:w="0" w:type="dxa"/>
        <w:tblLayout w:type="fixed"/>
        <w:tblCellMar>
          <w:top w:w="0" w:type="dxa"/>
          <w:left w:w="0" w:type="dxa"/>
          <w:bottom w:w="0" w:type="dxa"/>
          <w:right w:w="0" w:type="dxa"/>
        </w:tblCellMar>
      </w:tblPr>
      <w:tblGrid>
        <w:gridCol w:w="4351"/>
        <w:gridCol w:w="346"/>
        <w:gridCol w:w="571"/>
        <w:gridCol w:w="146"/>
        <w:gridCol w:w="571"/>
        <w:gridCol w:w="146"/>
        <w:gridCol w:w="571"/>
        <w:gridCol w:w="19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762885" cy="175260"/>
                      <wp:effectExtent l="0" t="0" r="0" b="0"/>
                      <wp:wrapNone/>
                      <wp:docPr id="21" name="Frame21"/>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62585" cy="175260"/>
                      <wp:effectExtent l="0" t="0" r="0" b="0"/>
                      <wp:wrapNone/>
                      <wp:docPr id="23" name="Frame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2710" cy="175260"/>
                      <wp:effectExtent l="0" t="0" r="0" b="0"/>
                      <wp:wrapNone/>
                      <wp:docPr id="24" name="Frame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62585" cy="175260"/>
                      <wp:effectExtent l="0" t="0" r="0" b="0"/>
                      <wp:wrapNone/>
                      <wp:docPr id="25" name="Frame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6" name="Frame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62585" cy="175260"/>
                      <wp:effectExtent l="0" t="0" r="0" b="0"/>
                      <wp:wrapNone/>
                      <wp:docPr id="27" name="Frame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1285" cy="175260"/>
                      <wp:effectExtent l="0" t="0" r="0" b="0"/>
                      <wp:wrapNone/>
                      <wp:docPr id="28" name="Frame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191" w:type="dxa"/>
            <w:tcBorders/>
            <w:vAlign w:val="center"/>
          </w:tcPr>
          <w:p>
            <w:pPr>
              <w:pStyle w:val="TableContents"/>
              <w:bidi w:val="0"/>
              <w:spacing w:before="0" w:after="0"/>
              <w:ind w:left="0" w:right="0" w:hanging="0"/>
              <w:jc w:val="left"/>
              <w:rPr/>
            </w:pPr>
            <w:r>
              <w:rPr/>
              <w:t>​</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191" w:type="dxa"/>
            <w:tcBorders/>
            <w:vAlign w:val="center"/>
          </w:tcPr>
          <w:p>
            <w:pPr>
              <w:pStyle w:val="TableContents"/>
              <w:bidi w:val="0"/>
              <w:spacing w:before="0" w:after="0"/>
              <w:ind w:left="0" w:right="0" w:hanging="0"/>
              <w:jc w:val="left"/>
              <w:rPr/>
            </w:pPr>
            <w:r>
              <w:rPr/>
              <w:t> </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 Company Employees (Willdan Group, Inc.)</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Stewardship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leading energy solutions provider and sustainability consultant, environmental sustainability, including climate change mitigation, is at the core of our identity. We deliver comprehensive solutions to our clients to reduce their carbon intensity and facilitate their transition to a net-zero carbon future. We provide planning and policy analysis for governments, regulators, and utilities, as well as innovative financing programs that bring the benefit of clean energy to underserved neighborhoods and disadvantaged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help clients reduce carbon intensity to become cleaner, more sustainable organizations through measurement and goal setting, sustainable engineering designs, installation of more efficient lighting, heating and cooling measures and the development and implementation of master plans for environmental sustainability, carbon reduction and energy efficiency to meet specific goals.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Willdan, strong and effective corporate governance is the foundation of a well-run, sustainable business. Our corporate governance practices set clear expectations and responsibilities for leaders, employees, and partners to create long-term, competitive returns for shareholders and lasting value for all stakeholders.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committed to conducting business in a legal, ethical, and trustworthy manner; strictly upholding our regulatory obligations everywhere we operate; and complying with both the letter and spirit of our business policies and values. We are committed to accountability for our actions and goals.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 our commitment to corporate governance principles, we have adopted, among other measures, a Code of Ethical Conduct, as well charters for each of the four standing committees of our Board of Directors (“Board”). These governance measures promote effective functioning of our Board and its committees, protecting our interests as a whole. The measures articulate shared expectations for how the Board, its committees, and our management should perform their respective functions.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Annually, the Board works with our senior management team on a detailed, multi-year strategic plan, reviewing goal progress each quarter. The Board also oversees efforts by Willdan’s senior management team in managing mitigation of environmental and social risks.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managed under the direction of the Board, which is currently composed of seven directors. As of the start of fiscal year 2024, the role of Chairman of the Board is separate from the role of CEO. The Board has determined that our directors, except for Mr. Bieber, our President and CEO, and Dr. Brisbin, our former CEO, are independent under the rules of the listing standards for the Nasdaq Global Market and the Securities Exchange Act of 1934, as amended. As the director most familiar with our business and industry, we believe that our former CEO is best suited to serve as Chairman of our Board. Our Chairman and our CEO work in collaboration with our Lead Independent Director, who is appointed biannually by the Board. Our Board is comprised of a diverse group of academics, financial advisors and industry practitioners with extensive experience in the governance and direction of publicly-traded enterprises. At any time, shareholders and other interested parties may communicate by writing to the Board generally, with the non-employee directors as a group, or to a specific director.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we have strong name recognition and that this provides us with a competitive advantage in obtaining new business. Consequently, we believe it is important to protect our brand identity through trademark registrations. The Willdan, Willdan Group, Inc., Willdan Engineering, Willdan Energy Company, Willdan Financial Services, and Willdan Energy Solutions names are service marks of ours. We have obtained federal service mark registration with the United States Patent and Trademark Office for the “Willdan” and “Willdan Group, Inc.” names, and our stylized “W” logo. The name and logo of our proprietary software, MuniMagic+SM, our California energy efficiency CEDA, as well as our proprietary platform as a service VIEWPOINT are also registered marks, and we have registered a federal copyright for the source code for the MuniMagic+SM software. In connection with our acquisitions, we have obtained trademarks for E3, Enerpath, Enerworks, Main Street Efficiency, NEO, Net Energy Optimizer, Collaboration Analysis Research, LoadSEER, several Weidt Group designs and the patent for “Optimization of Microgrid Energy Use and Distribution”.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an Internet website at http://www.willdan.com. Through our website, in the “Investors” section under the heading “Financial—SEC Filings”, we make available, free of charge, our annual reports on Form 10-K, quarterly reports on Form 10-Q, current reports on Form 8-K, proxy statements, and amendments to those reports, as soon as reasonably practicable after we electronically file or furnish such materials to the SEC. We also make available on this website our prior earnings calls under the heading “Events and Presentations” and our Code of Ethical Conduct under the heading “Governance.” The information on our website is not a part of or incorporated by reference into this filing. The SEC maintains an Internet site that contains reports, proxy, and information statements and other information regarding our filings at http://www.sec.gov.</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32" w:name="ITEM1ARISKFACTORS_20911"/>
      <w:bookmarkStart w:id="33" w:name="_40c1efee_9bc7_4dab_bb19_3e91febe2a8b"/>
      <w:bookmarkEnd w:id="32"/>
      <w:bookmarkEnd w:id="33"/>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Risks Relating to Our Business and Industry</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We operate in a changing environment that involves numerous known and unknown risks and uncertainties that could materially adversely affect our operations. Set forth below and elsewhere in this report and in other documents we file with the SEC are descriptions of risks and uncertainties that could cause our actual results to differ materially from the results and expectations contained in this report. Additional risks we do not yet know of or that we currently think are immaterial may also affect our business operations. If any of the events or circumstances described in the following risks actually occurs, our business, financial condition or results of operations could be materially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Operations</w:t>
      </w:r>
    </w:p>
    <w:p>
      <w:pPr>
        <w:pStyle w:val="TextBody"/>
        <w:bidi w:val="0"/>
        <w:spacing w:before="24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If we fail to complete a project in a timely manner, miss a required performance standard, or otherwise fail to adequately perform on a project, then we may incur a loss on that project, which may reduce or eliminate our overall profitability.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engagements often involve large-scale, complex projects. The quality of our performance on such projects depends in large part upon our ability to manage the relationship with our clients and our ability to effectively manage the project and deploy appropriate resources, including third-party contractors and our own personnel, in a timely manner. We may commit to a client that we will complete a project by a scheduled date or that, when completed, a project will achieve specified performance standards (e.g., some of our contracts stipulate certain energy savings requirements). If the project is not completed by the scheduled date or fails to meet required performance standards, we may either incur significant additional costs or be held responsible for the costs incurred by the client to rectify damages due to late completion or failure to achieve the required performance standards. The uncertainty of the timing of a project can present difficulties in planning the amount of personnel needed for the project. If the project is delayed or canceled, we may bear the cost of an underutilized workforce that was dedicated to fulfilling the project. In addition, performance of projects can be affected by a number of factors beyond our control, including, among other things, unavoidable delays from government inaction, public opposition, inability to obtain financing, weather conditions, unavailability of vendor materials (including but not limited to import restrictions or pandemics or other public health emergencies), changes in the project scope of services requested by our clients, industrial accidents, environmental hazards, and labor disruptions. To the extent these events occur, the total costs of the project could exceed our estimates, and we could experience reduced profits or, in some cases, incur a loss on a project, which may reduce or eliminate our overall profitability. Further, any defects or errors, or failures to meet our clients’ expectations, could result in claims for damages against us. Failure to meet performance standards or complete performance on a timely basis could also adversely affect our reputation and client base.</w:t>
      </w:r>
    </w:p>
    <w:p>
      <w:pPr>
        <w:pStyle w:val="TextBody"/>
        <w:bidi w:val="0"/>
        <w:spacing w:before="240" w:after="0"/>
        <w:ind w:left="0" w:right="0" w:firstLine="360"/>
        <w:jc w:val="left"/>
        <w:rPr>
          <w:rFonts w:ascii="Times New Roman;Times;serif" w:hAnsi="Times New Roman;Times;serif"/>
          <w:b/>
          <w:i/>
          <w:sz w:val="20"/>
        </w:rPr>
      </w:pPr>
      <w:r>
        <w:rPr>
          <w:rFonts w:ascii="Times New Roman;Times;serif" w:hAnsi="Times New Roman;Times;serif"/>
          <w:b/>
          <w:i/>
          <w:sz w:val="20"/>
        </w:rPr>
        <w:t>If we are unable to accurately estimate and control our contract costs, then we may incur losses on our contracts, which could decrease our operating margins and reduce our profits. In particular, our fixed-price contracts could increase the unpredictability of our earnings.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fixed-price contracts, we receive a fixed price irrespective of the actual costs we incur (which protects clients) and, consequently, we are exposed to a number of risks that are generally not included under time-and-materials and unit-based contracts. We realize a profit on fixed</w:t>
        <w:softHyphen/>
        <w:t xml:space="preserve"> price contracts only if we can control our costs and prevent cost overruns on our contracts. Fixed</w:t>
        <w:softHyphen/>
        <w:t xml:space="preserve"> price contracts require cost and scheduling estimates that are based on a number of assumptions, including those about future economic conditions, costs, and availability of labor, equipment and materials, and other exigencies. We could experience cost overruns if these estimates were initially inaccurate as a result of errors or ambiguities in the contract specifications, or become inaccurate as a result of a change in circumstances following the submission of the estimate due to, among other things, unanticipated technical or equipment problems, difficulties in obtaining permits or approvals, changes in local laws or labor conditions, weather delays, changes in costs of raw materials as a result of elevated inflation, supply chain shortages or otherwise, or the inability of our vendors or subcontractors to perform their obligations. If cost overruns occur, we could experience reduced profits or, in some cases, a loss for that project. If a project is significant, or if there are one or more common issues that impact multiple projects, costs overruns could increase the unpredictability of our earnings, as well as have a material adverse impact on our business, results of operations and financial condition.</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our time-and-material contracts, we are generally paid for our efforts at negotiated hourly billing rates for our staff, plus reimbursement for subcontractors and other direct costs. Profitability on these contracts is driven by control over the number of hours required to execute the tasks, the mix of staff utilized and the percentage of staff time expended on directly billable activities. Many of our time-and-materials contracts are subject to maximum contract values. In the event that we estimate the potential to exceed those maximum contract values at the contracted rates, revenue relating to these contracts is recognized as if these contracts were fixed-price contracts.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are unable to accurately estimate and manage our costs, we may incur losses on our contracts, which could decrease our operating margins and significantly reduce or eliminate our profits. Certain of our contracts require us to satisfy specific design, engineering, procurement, or construction milestones in order to receive payment for the work completed or equipment or supplies procured prior to achievement of the applicable milestone. As a result, under these types of arrangements, we may incur significant costs or perform significant amounts of services prior to receipt of payment. If a client determines not to proceed with the completion of the project or if the client defaults on its payment obligations, we may face difficulties in collecting payment of amounts due to us for the costs previously incurred or for the amounts previously expended to purchase equipment or supplies.</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use of the percentage-of-completion method of revenue recognition on our fixed price contracts could result in a reduction or reversal of previously recorded revenue and profits.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account for our fixed price contracts on the percentage-of-completion method of revenue recognition. Generally, our use of this method results in recognition of revenue and profit ratably over the life of the contract, based on the proportion of costs incurred to date to total costs expected to be incurred for the entire project. The effects of revisions to revenue and estimated costs, including the achievement of award fees and the impact of change orders and claims, are recorded when the amounts are known and can be reasonably estimated. Such revisions could occur in any period and their effects could be material. While we have historically made reasonably reliable estimates of the progress towards completion of long-term contracts, the uncertainties inherent in the estimating process make it possible for actual costs to vary materially from initial estimates, which could result in reductions or reversals of previously recorded revenue and profit.</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revenues are primarily derived from the energy services industry and, therefore, we are highly susceptible to risks relating to such industry.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loss of customers, inability to procure or maintain contracts, a downturn in demand, or a change in the energy regulatory environment in the energy services industry could have a material adverse impact on our business, results of operations and financial condition. If we are unable to maintain and expand our current utility relationships and develop new relationships, maintain and enhance our existing energy services, execute our business and marketing strategies successfully and achieve the energy savings that are specified in our contracts, we may not be able to supplement the loss of revenue from our other services and it may result in lower revenues and have an adverse impact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demand and terms for energy efficiency services and utility programs in general are highly regulated and driven by various state regulatory commissions. Changes in those regulations or the standards and goals imposed by the regulatory commissions could adversely affect the demand for or the terms under which those utility programs may be conducted and adversely affect the company’s profitability.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Most states have an independent energy regulatory commission or body to oversee the operations of the utilities providing electricity and gas to consumers. Those regulatory commissions often set the goals, standards, prices and other specific terms under which the utilities are required to operate. Those regulatory mandates, including mandates for greenhouse gas reductions, the composition of energy generation sources, the amount of energy consumption reductions, the cost effectiveness of those reductions and the various terms under which those mandates are to be delivered set firm boundaries within which the utilities may contract with third parties such as Willdan. Changes in those regulatory mandates, goals and terms impact existing and future contracts under which we work with the utilities and can have a significant impact on the company’s ability to generate revenue or the level of effort and cost required to deliver required savings, or both. Those changes could have the effect of making our utility contracts more or less profitable and increase or decrease the demand for our services.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backlog is subject to cancellation, adjustments and changing economic conditions and is an uncertain indicator of future operating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include in backlog the future revenue we expect to receive from our contracts with clients. For contracts without specified funding ceilings, which comprise a small percentage of our contracts, backlog is reported as expected revenue for up to one year. For contracts with specified funding ceilings, which comprise most of our contracts, we report the unused, or unrecognized, revenue ceiling, adjusted downward if we expect to ultimately recognize less revenue than the unused revenue ceiling, as the amount of backlog. We cannot guarantee that the revenue projected in our backlog will be realized or, if realized, will result in profits. In addition, project delays, suspensions, terminations, cancellations, reductions in scope, or other adjustments do occur from time to time in our industry due to considerations beyond our control and may have a material impact on the value of reported backlog with a corresponding adverse impact on future revenues and profitability. For example, most of our contracts include a provision allowing for termination for convenience after reimbursement of any unbilled effort under the contract. In the event that this occurs, any remaining contract value is removed from our backlog. These types of backlog reductions could adversely affect our revenue and margins. As a result of these factors, our backlog as of any particular date is an uncertain indicator of our future earnings.</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Demand for our services is cyclical and vulnerable to economic downturns. If economic growth slows, government fiscal conditions worsen, public and private construction/renovation activity slows, or client spending declines, it may have a material adverse effect on our business, results of operations and financial condition.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Demand for our services is cyclical, and vulnerable to economic downturns and reductions in government and private industry spending. Such downturns or reductions may result in clients delaying, curtailing or canceling proposed and existing projects. Our business traditionally lags the overall recovery in the economy; therefore, our business may not recover immediately when the economy improves. If economic growth slows, including as a result of elevated inflation and interest rates, government fiscal conditions worsen, or client spending declines, it may have a material adverse effect on our business, results of operations and financial condition. Our government clients may face budget deficits that prohibit them from funding new or existing projects. In addition, our existing and potential clients may either postpone entering into new contracts or request price concessions. Difficult financing and economic conditions may cause some of our clients to demand better pricing terms or delay payments for services we perform, thereby increasing the average number of days our receivables are outstanding, and the potential of increased credit losses of uncollectible invoices. Further, these conditions may result in the inability of some of our clients to pay us for services that we have already performed. If we are not able to reduce our costs quickly enough to respond to the revenue decline from these clients, our operating results may be adversely affected. Accordingly, these factors affect our ability to forecast our future revenue and earnings from business areas that may be adversely impacted by market conditions. Any of these factors could adversely affect the demand for our services, which could have a material adverse effect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quality of our service and our ability to perform under some of our contracts would be adversely affected if qualified subcontractors are unavailable for us to engage, if our subcontractors fail to satisfy their obligations to us or other parties, or if we are unable to maintain these relationships which, in each case,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some of our contracts, we rely on the efforts and skills of subcontractors for the performance of some of the tasks. Our use of subcontractors has increased in recent years as a result of the increase in the percentage of our revenues derived from the direct installation of energy efficiency measures, including performance contracting and construction management services for more complex projects. Our Energy segment generally utilizes a higher percentage of subcontractors than the Engineering and Consulting segment. The absence of qualified subcontractors with whom we have a satisfactory relationship could adversely affect the quality of our service offerings and therefore, adversely affect our business, results of operations and financial condition.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is a risk that we may have disputes with our subcontractors arising from, among other things, the quality and timeliness of work performed by the subcontractor, client concerns about the subcontractor, or our failure to extend existing task orders or issue new task orders under a subcontract. In addition, if a subcontractor fails to deliver on a timely basis the agreed-upon supplies, fails to perform the agreed-upon services, or goes out of business, then we may be required to purchase the services or supplies from another source at a higher price, and our ability to fulfill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obligations as a prime contractor may be jeopardized. This may reduce the profit to be realized or result in a loss on a project for which the services or supplies are needed.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rely on relationships with other contractors when we act as their subcontractor or joint venture partner. The absence of qualified subcontractors with which we have a satisfactory relationship could adversely affect the quality of our service and our ability to perform under some of our contracts. Our future revenue and growth prospects could be adversely affected if other contractors eliminate or reduce their subcontracts or teaming arrangement relationships with us, or if a government agency terminates or reduces these other contractors’ programs, does not award them new contracts, or refuses to pay under a contract.</w:t>
      </w:r>
    </w:p>
    <w:p>
      <w:pPr>
        <w:pStyle w:val="TextBody"/>
        <w:bidi w:val="0"/>
        <w:spacing w:before="240" w:after="0"/>
        <w:ind w:left="0" w:right="0" w:firstLine="360"/>
        <w:jc w:val="left"/>
        <w:rPr>
          <w:rFonts w:ascii="Times New Roman;Times;serif" w:hAnsi="Times New Roman;Times;serif"/>
          <w:b/>
          <w:i/>
          <w:sz w:val="20"/>
        </w:rPr>
      </w:pPr>
      <w:r>
        <w:rPr>
          <w:rFonts w:ascii="Times New Roman;Times;serif" w:hAnsi="Times New Roman;Times;serif"/>
          <w:b/>
          <w:i/>
          <w:sz w:val="20"/>
        </w:rPr>
        <w:t>Supply chain constraints and labor shortages could negatively impact our business, financial condition and results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global economy has experienced periods of supply chain constraints and labor shortages. These conditions increase the costs for materials, other goods, and labor, and have caused delivery and project performance schedules to be extended. When these conditions occur, increases in the cost and difficulty of recruiting and retaining employees, could result in project delays or cancellations which could negatively impact our operations and financial results.</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profitability could suffer if we are not able to maintain adequate utilization of our workforce.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cost of providing our services, including the extent to which we utilize our workforce, affects our profitability. The rate at which we utilize our workforce is affected by a number of factors, including our ability to transition employees from completed projects to new assignments and to hire and assimilate new employees, our ability to forecast demand for our services and thereby maintain an appropriate headcount in each of our geographies and workforces, our ability to manage attrition, our need to devote time and resources to training, business development, professional development, and other non-chargeable activities, and our ability to match the skill sets of our employees to the needs of the marketplace. If we over-utilize our workforce, our employees may become disengaged, which could impact employee attrition. If we under-utilize our workforce, our profit margin and profitability could suffer.</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loss of key personnel or our inability to attract and retain qualified personnel could impair our ability to provide services to our clients and otherwise conduct our business effectively.</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primarily a professional and technical services company, we are labor-intensive and, therefore, our ability to attract, retain, and expand our senior management and our professional and technical staff, including management and staff acquired in connection with our business acquisitions, is an important factor in determining our future success. We believe there are only a limited number of available qualified executives in the energy efficiency services industry, and we therefore have encountered, and will likely continue to encounter, intense competition for qualified employees from other companies in the industry. In addition, the market for qualified engineers is competitive and, from time to time, it may be difficult to attract and retain qualified individuals with the required expertise within the timeframe demanded by our clients. Further, we rely heavily upon the expertise and leadership of our senior management. If we are unable to retain executives and other key personnel, the roles and responsibilities of those employees will need to be filled, which may require that we devote time and resources to identify, hire, and integrate new employees. The loss of the services of any of these key personnel could adversely affect our business, results of operations and financial condition.</w:t>
      </w:r>
    </w:p>
    <w:p>
      <w:pPr>
        <w:pStyle w:val="TextBody"/>
        <w:shd w:fill="FFFFFF" w:val="clea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Unavailability or cancellation of third-party insurance coverage would increase our overall risk exposure as well as disrupt the management of our business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services involve significant risks of professional and other liabilities, which may substantially exceed the fees we derive from our services. We maintain insurance coverage from third-party insurers as part of our overall risk management strategy and because some of our contracts require us to maintain specific insurance coverage limits. From time to time, we assume liabilities as a result of indemnification provisions contained in our service contracts. We cannot predict the magnitude of these potential liabilities.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liable to pay such liabilities from our assets if and when the aggregate settlement or judgment amount exceeds our insurance policy limits. Further, our insurance may not protect us against liability because our policies typically have various exceptions to the claims covered and also require us to assume some costs of the claim even though a portion of the claim may be covered. A partially or completely uninsured claim, if successful and of significant magnitude, could have a material adverse effect on our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 xml:space="preserve">  </w:t>
      </w:r>
      <w:r>
        <w:rPr>
          <w:rFonts w:ascii="Times New Roman;Times;serif" w:hAnsi="Times New Roman;Times;serif"/>
          <w:sz w:val="20"/>
        </w:rPr>
        <w:t>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if we expand into new markets, we may not be able to obtain insurance coverage for these new activities or, if insurance is obtained, the dollar amount of any liabilities incurred could exceed our insurance coverage. There can be no assurance that any of our existing insurance coverage will be renewable upon the expiration of the coverage period or that future coverage will be affordable at the required limits.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Product liability and personal injury</w:t>
      </w:r>
      <w:r>
        <w:rPr>
          <w:rFonts w:ascii="Times New Roman;Times;serif" w:hAnsi="Times New Roman;Times;serif"/>
          <w:sz w:val="20"/>
        </w:rPr>
        <w:t xml:space="preserve"> </w:t>
      </w:r>
      <w:r>
        <w:rPr>
          <w:rFonts w:ascii="Times New Roman;Times;serif" w:hAnsi="Times New Roman;Times;serif"/>
          <w:b/>
          <w:i/>
          <w:sz w:val="20"/>
        </w:rPr>
        <w:t>claims could have a material adverse effect on our business, results of operations and financial condition.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face exposure to product liability and personal injury claims in the event that our services cause bodily injury or property damage.  Since the majority of our products use electricity, it is possible that the products we use could result in property damage or personal injury, whether due to product malfunctions, defects, improper installation or other causes. Further, we face exposure to personal injury claims in the event that an individual is injured because of our negligence or the negligence of one of our subcontractors. Moreover, we may not have adequate resources in the event of a successful claim against us. A successful product liability or personal injury claim against us that is not covered by insurance or is in excess of our available insurance limits could require us to make significant payments of damages which could materially adversely affect our business, results of operations and financial condition.</w:t>
      </w:r>
    </w:p>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Events outside our control, including natural and man-made disasters, could negatively impact the economies in which we operate or disrupt our operations, which may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Events outside our control, such as natural and man-made disasters, as well as terrorist actions, war or armed hostilities between countries or non-state actors, pandemics, resurgences of pandemics, or other public health emergencies, could negatively impact the economies in which we operate by causing the closure of offices, interrupting projects, and forcing the relocation of employees. We typically remain obligated to perform our services after a terrorist action or natural disaster unless the contract contains a force majeure clause that relieves us of our contractual obligations in such an extraordinary event. If we are not able to react quickly to force majeure, our operations may be affected significantly, which would have a negative impact on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have only a limited ability to protect our intellectual property rights, and our failure to protect our intellectual property rights could adversely affect our competitive position.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success depends, in part, upon our ability to protect our proprietary information and other intellectual property. We rely principally on trade secrets to protect much of our intellectual property where we do not believe that patent or copyright protection is appropriate or obtainable. However, trade secrets are difficult to protect. Although our employees are subject to confidentiality obligations, this protection may be inadequate to deter or prevent misappropriation of our confidential information. In addition, we may be unable to detect unauthorized use of our intellectual property or otherwise take appropriate steps to enforce our rights. Failure to obtain or maintain trade secret protection could adversely affect our competitive business position. In addition, if we are unable to prevent third parties from infringing or misappropriating our trademarks or other proprietary information, our competitive position could be adversely affected.</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Assertions by third parties of infringement, misappropriation or other violations by us of their intellectual property rights could result in significant costs and substantially harm our business, financial condition and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Employee, agent, or partner misconduct, or our failure to comply with anti-bribery and other laws or regulations, could harm our reputation, reduce our revenue and profits, and subject us to criminal and civil enforcement 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Misconduct, fraud, non-compliance with applicable laws and regulations, or other improper activities by one of our employees, agents, or partners could have a significant negative impact on our business and reputation. Such misconduct could include the failure to comply with government procurement regulations, regulations regarding the protection of classified information, regulations prohibiting bribery and other foreign corrupt practices, regulations regarding the pricing of labor and other costs in government contracts, regulations on lobbying or similar activities, regulations pertaining to the internal controls over financial reporting, environmental laws, and any other applicable laws or regulations. Since our internal controls are subject to inherent limitations, including human error, it is possible that these controls could be intentionally circumvented or become inadequate because of changed conditions. As a result, we cannot assure that our controls will protect us from reckless or criminal acts committed by our employees or agents. Our failure to comply with applicable laws or regulations, or acts of misconduct could subject us to fines and penalties, loss of security clearances, and suspension or debarment from contracting, any or all of which could harm our reputation, reduce our revenue and profits, and subject us to criminal and civil enforcement actions.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failure to implement and comply with our safety program could adversely affect our operating results or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safety program is a fundamental element of our overall approach to risk management, and the implementation of the safety program is a significant issue in our dealings with our clients. We maintain an enterprise-wide group of health and safety professionals to help ensure that the services we provide are delivered safely and in accordance with standard work processes. Unsafe job sites and office environments have the potential to increase employee turnover, increase the cost of a project to our clients, expose us to types and levels of risk that are fundamentally unacceptable, and raise our operating costs. The implementation of our safety processes and procedures are monitored by various agencies and rating bureaus and may be evaluated by certain clients in cases in which safety requirements have been established in our contracts. Our failure to meet these requirements or our failure to properly implement and comply with our safety program could result in reduced profitability or the loss of projects or clients or potential litigation and could have a material adverse effect on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The diversity of the services we provide, and the clients we serve, may create actual, potential, and perceived conflicts of interest and conflicts of business that limit our growth and could lead to potential liabilities for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we provide services to a wide array of both government and commercial clients, occasions arise where, due to actual, potential, or perceived conflicts of interest or business conflicts, we cannot perform work for which we are qualified. A number of our contracts contain limitations on the work we can perform for others, such as, for example, when we are assisting a government agency or department in developing regulations or enforcement strategies. Actual, potential, and perceived conflicts limit the work we can do and, consequently, can limit our growth and adversely affect our operating results. In addition, if we fail to address actual or potential conflicts properly, or even if we simply fail to recognize a perceived conflict, we may be in violation of our existing contracts, may otherwise incur liability, and may lose future business for not preventing the conflict from arising, and our reputation may suffer.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Liquidity and Indebtedness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leverage and debt service obligations due to debt incurred in connection with our acquisitions could adversely affect our business, results of operations and financial condition.</w:t>
      </w:r>
    </w:p>
    <w:p>
      <w:pPr>
        <w:pStyle w:val="TextBody"/>
        <w:pBdr/>
        <w:bidi w:val="0"/>
        <w:spacing w:before="0" w:after="0"/>
        <w:ind w:left="0" w:right="0" w:firstLine="720"/>
        <w:jc w:val="left"/>
        <w:rPr>
          <w:rFonts w:ascii="Times New Roman;Times;serif" w:hAnsi="Times New Roman;Times;serif"/>
          <w:sz w:val="20"/>
        </w:rPr>
      </w:pPr>
      <w:bookmarkStart w:id="34" w:name="_cp_text_1_84"/>
      <w:bookmarkStart w:id="35" w:name="_cp_text_1_83"/>
      <w:bookmarkStart w:id="36" w:name="_cp_text_1_81"/>
      <w:bookmarkStart w:id="37" w:name="_cp_text_4_80"/>
      <w:bookmarkStart w:id="38" w:name="_cp_text_1_79"/>
      <w:bookmarkStart w:id="39" w:name="_cp_text_1_77"/>
      <w:bookmarkStart w:id="40" w:name="_cp_text_1_74"/>
      <w:bookmarkStart w:id="41" w:name="_cp_text_1_71"/>
      <w:bookmarkStart w:id="42" w:name="_cp_text_1_69"/>
      <w:bookmarkStart w:id="43" w:name="_cp_text_1_67"/>
      <w:bookmarkStart w:id="44" w:name="_cp_text_1_65"/>
      <w:bookmarkStart w:id="45" w:name="_cp_text_1_63"/>
      <w:bookmarkEnd w:id="34"/>
      <w:bookmarkEnd w:id="35"/>
      <w:bookmarkEnd w:id="36"/>
      <w:bookmarkEnd w:id="37"/>
      <w:bookmarkEnd w:id="38"/>
      <w:bookmarkEnd w:id="39"/>
      <w:bookmarkEnd w:id="40"/>
      <w:bookmarkEnd w:id="41"/>
      <w:bookmarkEnd w:id="42"/>
      <w:bookmarkEnd w:id="43"/>
      <w:bookmarkEnd w:id="44"/>
      <w:bookmarkEnd w:id="45"/>
      <w:r>
        <w:rPr>
          <w:rFonts w:ascii="Times New Roman;Times;serif" w:hAnsi="Times New Roman;Times;serif"/>
          <w:sz w:val="20"/>
        </w:rPr>
        <w:t>Our financial performance could be adversely affected by our debt leverage. We may also incur significant additional indebtedness in the future, subject to various conditions including increased working capital requirements. An increase in the level of indebtedness could have important negative consequences to us, including making it more difficult to satisfy our obligations on outstanding debt obligations; making it more difficult to obtain additional financing in the future for working capital, capital expenditures, acquisitions or other general corporate purposes; requiring us to use more of our excess cash flow to pay interest and principal on our debt, which will reduce the amount of money available to finance our operations and other business activities; increasing our vulnerability to general economic downturns and adverse industry conditions; potentially limiting our flexibility in planning for, or reacting to, changes in our business and in our industry in general; exposing us to the risk of increased interest rates because the debt outstanding under our term loan and revolving credit facility bear interest at variable rates; placing us at a competitive disadvantage compared to our competitors that have less debt; and potentially limiting our ability to comply with the financial and other restrictive covenants in our debt instruments which, among other things, require us to maintain specified financial ratios, and could result in an event of default that, if not cured or waived, could have a material adverse effect on our business or prospects.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amounts due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Our inability to generate sufficient cash flows to satisfy our debt obligations, or to refinance our indebtedness on commercially reasonable terms or at all, would materially adversely affect our financial position and results of operations. If we cannot make scheduled payments on our debt or comply with the other covenants under our Credit Agreement (as defined in 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this Annual Report on Form 10-K), we will be in default and the lenders under our Credit Agreement could terminate their commitments to loan money and could foreclose against the assets securing their borrowings and we could be forced into bankruptcy or liquidation.</w:t>
      </w:r>
    </w:p>
    <w:p>
      <w:pPr>
        <w:pStyle w:val="TextBody"/>
        <w:shd w:fill="FFFFFF" w:val="clear"/>
        <w:bidi w:val="0"/>
        <w:spacing w:before="100" w:after="100"/>
        <w:ind w:left="0" w:right="0" w:firstLine="72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may not be able to obtain capital when desired on favorable terms, if at all, or without dilution to our stockholders, which may impact our ability to execute on our current or future business strategies.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do not generate sufficient cash flow from operations or otherwise, we may need additional financing to execute on our current or future business strategies, including developing new or enhancing existing service lines, expanding our business geographically, enhancing our operating infrastructure, acquiring complementary businesses, or otherwise responding to competitive pressures. We cannot assure you that additional financing will be available to us on favorable terms, or at all. Furthermore, if we raise additional funds through the issuance of convertible debt or equity securities, the percentage ownership of our stockholders could be significantly diluted, and these newly issued securities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have rights, preferences or privileges senior to those of existing stockholders. If adequate funds are not available or are not available on acceptable terms, if and when needed, our ability to fund our operations, meet obligations in the normal course of business, take advantage of strategic business opportunities, or otherwise respond to competitive pressures would be significantly limited.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i/>
          <w:sz w:val="20"/>
        </w:rPr>
        <w:t>Restrictive covenants in our Credit Agreement may restrict our ability to pursue certain business strategies</w:t>
      </w:r>
      <w:r>
        <w:rPr>
          <w:rFonts w:ascii="Times New Roman;Times;serif" w:hAnsi="Times New Roman;Times;serif"/>
          <w:b/>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Credit Agreement limits or restricts our and our subsidiaries’ ability to, among other things, incur, create or assume additional indebtedness; incur, create or assume liens securing debt or other encumbrances on our assets; purchase, hold or acquire unpermitted acquisitions or investments; make loans or advances; pay dividends or make distributions to our stockholders; purchase or redeem our stock; repay indebtedness that is junior to indebtedness under our Credit Agreement; acquire the assets of, or merge or consolidate with, other companies; and sell, lease, or otherwise dispose of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Credit Agreement also requires that we maintain a maximum total net leverage ratio and a minimum fixed charge coverage ratio, tested on a quarterly basis, which we may not be able to achieve. The covenants may additionally impair our ability to finance future operations or capital needs or to engage in other favorable business activities. Failing to comply with these covenants could result in an event of default under the Credit Agreement, which could result in us being required to repay the amounts outstanding prior to maturity. These prepayment obligations could have an adverse effect on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Furthermore, if we are unable to repay the amounts due and payable under the Credit Agreement, the lenders could proceed against the collateral granted to them to secure that indebtedness. In the event the lenders accelerate the repayment of our borrowings, we and our subsidiaries may not have sufficient assets to repay that indebtedness.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Clients and Our Projects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If we have a loss or reduction of business from a key customer or key utility programs, it could result in significant harm to our revenue, profitability and financial condition.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Most of our clients are not committed to purchase any minimum amount of our services, as our agreements with them are based on a “purchase order” model. As a result, they may discontinue utilizing some or all of our services with little or no notice,</w:t>
      </w:r>
      <w:r>
        <w:rPr>
          <w:rFonts w:ascii="Times New Roman;Times;serif" w:hAnsi="Times New Roman;Times;serif"/>
          <w:sz w:val="20"/>
          <w:shd w:fill="FFFFFF" w:val="clear"/>
        </w:rPr>
        <w:t xml:space="preserve"> </w:t>
      </w:r>
      <w:r>
        <w:rPr>
          <w:rFonts w:ascii="Helvetica;sans-serif" w:hAnsi="Helvetica;sans-serif"/>
          <w:sz w:val="20"/>
          <w:shd w:fill="FFFFFF" w:val="clear"/>
        </w:rPr>
        <w:t>or</w:t>
      </w:r>
      <w:r>
        <w:rPr>
          <w:rFonts w:ascii="Times New Roman;Times;serif" w:hAnsi="Times New Roman;Times;serif"/>
          <w:sz w:val="20"/>
        </w:rPr>
        <w:t xml:space="preserve"> we may not generate the amount of contract revenue or achieve the level of profitability we expect under such arrangements. As well, certain of our contracts are with other entities that are periodically funded by the applicable utility. Such funding is subject to periodic renewal and is outside our control or its contract counterparty and may, at times, be delayed or inhibited.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loss of key utility programs or key clients (or financial difficulties at this utility program or these clients, which result in nonpayment or nonperformance) could have a significant and adverse effect on our business, results of operations and financial condition. If these clients or utility programs significantly reduce their business or orders with us, default on their agreements with us or fail to renew or terminate their agreements with us, our business, results of operations and financial condition could be materially and adversely affected. We may not be able to win new contracts to replace these contracts if they are terminated early or expire as planned without being renewed.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potential for requests from certain clients to significantly increase the services we provide them requires us to have sufficient resource capacity available in the regions where they are located. If we are unable to maintain such resource capacity, these clients or utility program may reduce or stop purchasing certain services from us. If such clients or utility program reduce or stop purchasing certain services from us, we may have substantial capacity available in regions where we do not have corresponding clients to service.</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failure to win new contracts and renew existing contracts with private and public sector clients could adversely affect our business, results of operations and financial condition.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business depends on our ability to win new contracts and renew existing contracts with private and public sector clients. Contract proposals, negotiations, and software licenses are complex and frequently involve a lengthy bidding and selection process. If we are not able to replace the revenue from expiring contracts, either through follow-on contracts or new contracts, or secure new software licenses, our business, results of operations and financial condition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may be adversely affected. A number of factors affect our ability to win new contracts and renew existing contracts, including, among other things, market conditions, financing arrangements, required governmental approvals, our client relationships and professional reputation. For example, a client may require us to provide a bond or letter of credit to protect the client should we fail to perform under the terms of the contract. If negative market conditions arise, or if we fail to secure adequate financial arrangements or the required government approval, we may not be able to pursue particular projects, which could adversely affect our business, results of operations and financial condition. Any factor that diminishes our reputation or client relationships with federal, state and local governments, as well as commercial clients, could make it substantially more difficult for us to compete successfully for both new engagements and qualified employees. To the extent our reputation and/or client relationships deteriorate, our business, results of operations and financial condition could be adversely affected.</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Our contracts may contain provisions that are unfavorable to us and permit our clients to, among other things, terminate our contracts partially or completely at any time prior to completion.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of our contracts contain provisions that allow our clients or utility programs to terminate or modify the contract at their convenience upon short notice. For example, our largest clients and utility programs may terminate their contracts with us at any time for any reason. If one of these clients or utility programs terminates their contract for convenience, we may only bill the client or utility program, as applicable, for work completed prior to the termination, plus any commitments and settlement expenses such client or utility program agrees to pay, but not for any work not yet performed.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many of our government contracts and task and delivery orders are incrementally funded as appropriated funds become available. The reduction or elimination of such funding can result in contract options not being exercised and further work on existing contracts and orders being curtailed. In any such event, we would have no right to seek lost fees or other damages. If a client were to terminate, decline to exercise options under, or curtail further performance under one or more of our major contracts, it could have a material adverse effect on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Changes to tax laws and regulations, including changes to the energy efficient building deduction,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Tax laws and regulations are highly complex and subject to interpretation, and the tax laws and regulations to which we are subject to change over time. Our tax filings are based upon our interpretation of the tax laws in effect in various jurisdictions for the periods for which the filings are made. As our business grows, we are required to comply with increasingly complex taxation rules and practices. We are subject to tax in multiple U.S. tax jurisdictions. Tax reform remains a legislative priority for the U.S. government and certain legislations have already been enacted. While there is current uncertainty regarding what changes will eventually be enacted, such new laws may affect our operating results and financial conditions. Changes in federal, state and local tax laws and regulations could adversely affect our business, results of operations and financial condition.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Because we primarily provide services to municipalities, public utilities and other public agencies, we are more susceptible to the unique risks associated with government contracts.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primarily work for utilities, municipalities and other public agencies. Consequently, we are exposed to certain risks associated with public agency and government contracting, any one of which can have a material adverse effect on our business, results of operations and financial condition. These risks include the ability of the public agency to terminate the contract with 30 days’ prior notice or less; changes in public agency spending and fiscal policies which can have an adverse effect on demand for our services; contracts that are subject to public agency budget cycles, and often are subject to renewal on an annual basis; the often wide variation of the types and pricing terms of contracts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agency to agency; the difficulty of obtaining change orders and additions to contracts; and the requirement to perform periodic audits as a condition of certain contract arrangements.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Each year, client funding for some of our government contracts rely on government appropriations or public-supported financing. If adequate public funding is delayed or is not available, then we may not be able to realize all of our anticipated revenue and profits from such contracts, which could adversely affect our business,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substantial portion of our revenue is derived from contracts with agencies and departments of state and local governments. Each year, client funding for some of our government contracts may directly or indirectly rely on government appropriations or public-supported financing. Legislatures may appropriate funds for a given project on a year-by-year basis, even though the project may take more than one year to perform. In addition, public-supported financing such as state and local municipal bonds may be only partially raised to support existing projects. Similarly, the impact of the economic downturn on state and local governments may make it more difficult for them to fund projects. In addition to the state of the economy and competing political priorities, public funds and the timing of payment of these funds may be influenced by, among other things, curtailments in the use of government contracting firms, increases in raw material costs, delays associated with insufficient numbers of government staff to oversee contracts, budget constraints, the timing and amount of tax receipts, and the overall level of government expenditures. If adequate public funding is not available or is delayed, then our profits and revenue could decline and we will not realize all of our potential revenue and profit from that contract.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derive significant revenue and profit from contracts awarded through a competitive bidding process, which can impose substantial costs on us, and we will lose revenue and profit if we fail to compete effectively.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derive significant revenue and profit from contracts that are awarded through a competitive bidding process. Competitive bidding imposes substantial costs and presents a number of risks, including the substantial cost and managerial time and effort that we spend to prepare bids and proposals; the need to estimate accurately the resources and costs that will be required to service any contracts we are awarded, sometimes in advance of the final determination of their full scope; the expense and delay that may arise if our competitors protest or challenge awards made to us pursuant to competitive bidding, as discussed below; and the opportunity cost of not bidding on and winning other contracts we may have otherwise pursued.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the extent we engage in competitive bidding and are unable to win particular contracts, we not only incur substantial costs in the bidding process that negatively affect our operating results, but we may lose the opportunity to operate in the market for the services provided under those contracts for a number of years. Even if we win a particular contract through competitive bidding, our profit margins may be depressed or we may even suffer losses as a result of the costs incurred through the bidding process and the need to lower our prices to overcome competition.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Changes in elected or appointed officials could have a material adverse effect on our ability to retain an existing contract with or obtain additional contracts from a public agency.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the decision to retain our services is made by individuals, such as city managers, city councils and other elected or appointed officials, our business and financial results or condition could be adversely affected by the results of local and regional elections. A change in the individuals responsible for selecting consultants for and awarding contracts on behalf of a public agency (for example, due to an election) could adversely affect our ability to retain an existing contract with or obtain additional contracts from such public agency.</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our business partners fail to perform their contractual obligations on a project, we could be exposed to legal liability, loss of reputation and profit reduction or loss on the project.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routinely enter into subcontracts and, occasionally, joint ventures, teaming arrangements, and other contractual arrangements so that we can jointly bid and perform on a particular project. Success under these arrangements depends in large part on whether our business partners fulfill their contractual obligations satisfactorily. In addition, when we operate through a joint venture in which we are a minority holder, we have limited control over many project decisions, including decisions related to the joint venture’s internal controls, which may not be subject to the same internal control procedures that we employ. If these unaffiliated third parties do not fulfill their contract obligations, the partnerships or joint ventures may be unable to adequately perform and deliver their contracted services. Under these circumstances, we may be obligated to pay financial penalties, provide additional services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ensure the adequate performance and delivery of the contracted services, and may be jointly and severally liable for the other’s actions or contract performance. These additional obligations could result in reduced profits and revenues or, in some cases, significant losses for us with respect to the joint venture, which could also affect our reputation in the industries we serve.</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our reports and opinions are not in compliance with professional standards and other regulations or without the appropriate disclaimers or in a misleading or incomplete manner, we could be subject to monetary damages and penalties.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issue reports and opinions to clients based on our professional engineering expertise, as well as our other professional credentials. Our reports and opinions may need to comply with professional standards, licensing requirements, securities regulations, and other laws and rules governing the performance of professional services in the jurisdiction in which the services are performed. In addition, the reports and other work product we produce for clients sometimes include projections, forecasts and other forward-looking statements. Such information by its nature is subject to numerous risks and uncertainties, any of which could cause the information produced by us to ultimately prove inaccurate. Once we produce written reports for our clients, we do not always have the ability to control the manner in which our clients use such information, even if we include appropriate disclaimers in such written work product. As a result, if our clients reproduce such information to solicit funds from investors for projects without appropriate disclaimers or the information proves to be incorrect, or if our clients reproduce such information for potential investors in a misleading or incomplete manner, our clients or such investors may threaten to or file suit against us for, among other things, securities law violations.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may be required to pay liquidated damages if we fail to meet milestone requirements in our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be required to pay liquidated damages if we fail to meet milestone requirements in our contracts. Failure to meet any of the milestone requirements could result in additional costs, and the amount of such additional costs could exceed the projected profits on the project. These additional costs include liquidated damages paid under contractual penalty provisions, which can be substantial and can accrue on a regular basis.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Growth and Acquisitions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Acquisitions could disrupt our operations and adversely impact our business, results of operations and financial condition as a result of our failure to conduct due diligence effectively, or our inability to successfully integrate the acquiree. This could impede us from realizing all of the benefits of the acquisitions, which could weaken our 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key part of our growth strategy is to acquire other companies that complement our lines of business, broaden our technical capabilities and/or expand our geographic presence. We expect to continue to acquire companies as an element of our growth strategy; however, our ability to make acquisitions may be restricted by our inability to incur additional indebtedness and/or make unpermitted acquisitions or investments under our Credit Agreement. Our acquisition strategy may divert management’s attention away from our existing businesses, resulting in the loss of key clients or key employees, and expose us to unanticipated problems or legal liabilities, including responsibility as a successor-in-interest for undisclosed or contingent liabilities of acquired businesses or assets.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Acquisitions involve certain known and unknown risks that could cause our actual growth or operating results to differ from our expectations or the expectations of securities analysts. If we fail to conduct due diligence on our potential targets effectively, we may, for example, not identify problems at target companies, or fail to recognize incompatibilities or other obstacles to successful integration. Our inability to successfully integrate future acquisitions within the intended timeframes or at all could impede us from realizing all of the benefits of those acquisitions and could severely weaken our business operations. The integration process may disrupt our business and, if implemented ineffectively, may preclude realization of the full benefits expected by us and could harm our results of operations. In addition, the overall integration of the combining companies may result in unanticipated problems, expenses, liabilities and competitive responses and may cause our stock price to decline.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Even if the operations of an acquisition are integrated successfully, we may not realize the full benefits of the acquisition, including the synergies, cost savings or growth opportunities that we expect. These benefits may not be achieved within the anticipated time frame, or at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 acquisitions may cause us to issue common stock that would dilute our current stockholders’ ownership percentage; use a substantial portion of our cash resources; increase our interest expense, leverage and debt service requirements (if we incur additional debt to pay for an acquisition); and assume liabilities, including environmental liabilities, for which we do not have indemnification from the former owners.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we are not able to successfully manage our growth strategy, our business, results of operations and financial condition may be adversely affected.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expected future growth presents numerous managerial, administrative, operational, and other challenges. Our ability to manage the growth of our operations will require us to continue to improve our management information systems and our other internal systems and controls. In addition, our growth will increase our need to attract, develop, motivate, and retain both our management and professional employees. The inability to effectively manage our growth or the inability of our employees to achieve anticipated performance could have a material adverse effect on our business, results of operations and financial condition.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Moreover, our continued expansion into new states will increase our legal and regulatory risk. Our failure, or alleged failure, to comply with applicable laws and regulations in any new jurisdiction in which we operate, and ensuing inquiries or investigations by regulatory and enforcement authorities, may result in regulatory action, including suspension or revocation of one or more of our licenses, civil or criminal penalties or other disciplinary actions and restrictions on or suspension of some or all of our business operations. As a result, our business could suffer, our reputation could be harmed, one or more of our contracts with governmental or non-governmental entities could be terminated and we could be subject to additional legal risk. This could, in turn, increase the size and number of claims and damages asserted against us, subject us to additional regulatory investigations, enforcement actions or other proceedings or lead to increased regulatory or supervisory concerns. We cannot predict the timing or form of any current or future regulatory or law enforcement initiatives, and any such initiatives could have a material adverse effect on our business, results of operations and financial condition.</w:t>
      </w:r>
    </w:p>
    <w:p>
      <w:pPr>
        <w:pStyle w:val="TextBody"/>
        <w:shd w:fill="FFFFFF" w:val="clear"/>
        <w:bidi w:val="0"/>
        <w:spacing w:before="280" w:after="0"/>
        <w:ind w:left="0" w:right="0" w:firstLine="360"/>
        <w:jc w:val="left"/>
        <w:rPr>
          <w:rFonts w:ascii="Times New Roman;Times;serif" w:hAnsi="Times New Roman;Times;serif"/>
          <w:b/>
          <w:i/>
          <w:sz w:val="20"/>
        </w:rPr>
      </w:pPr>
      <w:r>
        <w:rPr>
          <w:rFonts w:ascii="Times New Roman;Times;serif" w:hAnsi="Times New Roman;Times;serif"/>
          <w:b/>
          <w:i/>
          <w:sz w:val="20"/>
        </w:rPr>
        <w:t>Our acquired businesses may underperform relative to our expectations.</w:t>
      </w:r>
    </w:p>
    <w:p>
      <w:pPr>
        <w:pStyle w:val="TextBody"/>
        <w:bidi w:val="0"/>
        <w:spacing w:before="0" w:after="240"/>
        <w:ind w:left="0" w:right="0" w:firstLine="720"/>
        <w:jc w:val="left"/>
        <w:rPr>
          <w:rFonts w:ascii="Times New Roman;Times;serif" w:hAnsi="Times New Roman;Times;serif"/>
          <w:sz w:val="20"/>
        </w:rPr>
      </w:pPr>
      <w:bookmarkStart w:id="46" w:name="_cp_text_1_133"/>
      <w:bookmarkStart w:id="47" w:name="_cp_text_1_130"/>
      <w:bookmarkStart w:id="48" w:name="_cp_text_1_128"/>
      <w:bookmarkStart w:id="49" w:name="_cp_text_1_126"/>
      <w:bookmarkStart w:id="50" w:name="_cp_text_1_123"/>
      <w:bookmarkStart w:id="51" w:name="_cp_text_1_121"/>
      <w:bookmarkStart w:id="52" w:name="_cp_text_1_119"/>
      <w:bookmarkStart w:id="53" w:name="_cp_text_1_117"/>
      <w:bookmarkStart w:id="54" w:name="_cp_text_1_115"/>
      <w:bookmarkStart w:id="55" w:name="_cp_text_1_114"/>
      <w:bookmarkStart w:id="56" w:name="_cp_text_1_112"/>
      <w:bookmarkStart w:id="57" w:name="_cp_text_1_110"/>
      <w:bookmarkStart w:id="58" w:name="_cp_text_1_108"/>
      <w:bookmarkStart w:id="59" w:name="_cp_text_1_106"/>
      <w:bookmarkEnd w:id="46"/>
      <w:bookmarkEnd w:id="47"/>
      <w:bookmarkEnd w:id="48"/>
      <w:bookmarkEnd w:id="49"/>
      <w:bookmarkEnd w:id="50"/>
      <w:bookmarkEnd w:id="51"/>
      <w:bookmarkEnd w:id="52"/>
      <w:bookmarkEnd w:id="53"/>
      <w:bookmarkEnd w:id="54"/>
      <w:bookmarkEnd w:id="55"/>
      <w:bookmarkEnd w:id="56"/>
      <w:bookmarkEnd w:id="57"/>
      <w:bookmarkEnd w:id="58"/>
      <w:bookmarkEnd w:id="59"/>
      <w:r>
        <w:rPr>
          <w:rFonts w:ascii="Times New Roman;Times;serif" w:hAnsi="Times New Roman;Times;serif"/>
          <w:sz w:val="20"/>
        </w:rPr>
        <w:t>We may not be able to maintain the levels of growth, revenue, earnings or operating efficiency that we and our acquired businesses have historically achieved or might achieve separately. The business and financial performance of an acquired business is subject to certain risks and uncertainties, including the risk of the loss of, or changes to, the acquired business’s client relationships; the dependence of its business on a limited number of customers to generate substantially all of its revenue; the acquired business’s reliance on subcontractors to meet its contractual obligations and the failure by such subcontractors to effectively perform their services in a timely manner; negative publicity or reputation from any prior investigations and settlements involving the acquired business; and reliance on the key personnel of the acquired business.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If our goodwill or other intangible assets become impaired, then our profits may be significantly reduced.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we have completed a number of acquisitions, goodwill and other intangible assets represent a substantial portion of our assets. Under Generally Accepted Accounting Principles in the United States, we are required to perform a goodwill impairment test for potential impairment at least on an annual basis. We also assess the recoverability of the unamortized balance of our intangible assets when indications of impairment are present based on expected future profitability and undiscounted expected cash flows and their contribution to our overall operations. The goodwill impairment test requires us to determine the fair value of our reporting units, which are the components at or one level below our reportable segments. In determining fair value, we make significant judgments and estimates, including assumptions about our strategic plans with regard to our operations. We also analyze current economic indicators and market valuations to help determine fair value. To the extent economic conditions that would impact the future operations of our reporting units change, our goodwill may be deemed to be impaired, and we would be required to record a non-cash charge that could result in a material adverse effect on our business, results of operations and financial condition. We had no goodwill impairment in fiscal years 2025, 2024, or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Regulatory Environment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We are subject to various routine and non</w:t>
        <w:softHyphen/>
        <w:t>-routine governmental reviews, audits and investigations, and unfavorable government audit results could force us to adjust previously reported operating results, could affect future operating results, could subject us to a variety of penalties and sanctions, and could result in harm to our reputation.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Government departments and agencies and their representatives may audit and review our contract performance, pricing practices, cost structure, financial capability and compliance with applicable laws, rules and regulations. Audits could raise issues that have significant adverse effects, including, among other things, substantial adjustments to our previously reported operating results and substantial effects on future operating results. Historically, we have not experienced significant disallowed costs as a result of government audits. However, we can provide no assurance that government audits will not result in material disallowances for incurred costs in the future. In addition, we must also comply with other government regulations related to employment practices, environmental protection, health and safety, tax, accounting, and anti-fraud measures, as well as many other regulations in order to maintain our government contractor status. For example, as a government contractor, we maintain plans to ensure compliance with nondiscrimination and regulatory requirements for qualified employees on the basis of gender, race, disability, and veteran status. Consequently, we may be subject to executive orders and regulatory changes affecting various aspects of our operations, including compliance with nondiscrimination plans. Any required elimination or modification of such plans in response to new executive orders could pose challenges in hiring or retaining employees, and may lead to other adverse operational impacts.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Laws and regulations applicable to us as a government contractor affect how we do business with our clients and, in some instances, impose additional costs on our business operations. Although we take precautions to prevent and deter fraud, misconduct, and non-compliance, we face the risk that our employees or outside partners may engage in misconduct, fraud, or other improper activities. If a government audit, review or investigation uncovers improper or illegal activities, we may be subject to civil and criminal penalties and administrative sanctions, including termination of contracts, repayment of amounts already received under contracts, forfeiture of profits, suspension of payments, fines and suspension or debarment from doing business with federal and state and local government agencies and departments, any of which could adversely affect our reputation, our business, results of operations and financial condition, and/or the value of our stock. We may also lose business if we are found not to be sufficiently able to meet ongoing cash flow and financial obligations on a timely basis. In addition, we could suffer serious harm to our reputation and our stock price could decline if allegations of impropriety are made against us, whether true or not.</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Legislation, policy, rules or regulations may be enacted that limit or change the ability of state, regional or local agencies to contract for our privatized services. Such changes would affect our ability to obtain new contracts and may decrease the demand for our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Legislation is proposed periodically, particularly in the states of California and New York, that attempts to limit the ability of governmental agencies to contract with private consultants to provide services. Should such changes occur and be upheld, demand for our services may be materially adversely affected. While attempts at such legislation have failed in the past, such measures could be adopted in the future.</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Changes in energy, environmental, or infrastructure industry laws, regulations, and programs could directly or indirectly reduce the demand for our services, which could in turn negatively impact our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services are directly or indirectly impacted by changes in U.S. federal, state, or local laws and regulations pertaining to the energy, environmental, and infrastructure industries. Accordingly, a relaxation or repeal of these laws and regulations, or changes in governmental policies regarding the funding, implementation or enforcement of these programs, could result in a decline in demand for our services, which could in turn negatively impact our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 xml:space="preserve">Our bylaws, our certificate of incorporation and Delaware law contain provisions that could discourage another company from acquiring us and may prevent attempts by our stockholders to replace or remove our current management.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Provisions of our bylaws, our certificate of incorporation and Delaware law may discourage, delay or prevent a merger or acquisition that stockholders may consider favorable, including transactions in which our stockholders might otherwise receive a premium for their shares. In addition, these provisions may frustrate or prevent any attempts by our stockholders to replace or remove our current management by making it more difficult for stockholders to replace or remove our board of directors. These provisions include eliminating the ability of stockholders to call special meetings of stockholders; requiring at least a supermajority vote of the outstanding shares of our common stock for stockholders to amend our bylaws or certain provisions of our certificate of incorporation; not providing for cumulative voting in the election of directors, prohibiting stockholder action by written consent; establishing advance notice procedure for stockholders to make nominations of candidates for election as directors, or bring other business before an annual or special meeting of the stockholders; and authorizing the Board of Directors to issue “blank check” preferred stock or authorized but unissued shares of common stock without stockholder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addition, we are subject to Section 203 of the Delaware General Corporation Law. In general, subject to some exceptions, Section 203 prohibits a Delaware corporation from engaging in any business combination with any “interested stockholder” (which is generally defined as an entity or person who, together with the person’s affiliates and associates, beneficially owns, or within three years prior to the time of determination of interested stockholder status did own, 15% or more of the outstanding voting stock of the corporation), for a three-year period following the date that the stockholder became an interested stockholder. Section 203 could have the effect of delaying, deferring or preventing a change in control that our stockholders might consider to be in their best interests.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Together, these charter and statutory provisions could make the removal of management more difficult and may discourage transactions that otherwise could involve payment of a premium over prevailing market prices for our common stock. The existence of the foregoing provisions and anti-takeover measures could limit the price that investors might be willing to pay in the future for shares of our common stock. They could also deter potential acquirers of our company, thereby potentially reducing the likelihood that our stockholders could receive a premium for their common stock in an acquisition.</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Cyber security breaches or other systems and information technology interruptions could result in liability, harm our reputation, impact our ability to operate, and other material adverse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rely on computer, information, and communications technology and systems to operate. We store and process large amounts of confidential and other sensitive information concerning our employees, customers, contractors, and vendors. We also rely in part on third-party software and information technology vendors to run certain parts of our information technology systems and our business, and our ability to monitor these third parties’ information security practices is limited. These third parties may not have adequate information security measures in place. If the third parties with whom we work with experience a cyber security breach or other interruption, we could experience material adverse consequences.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business, we have been and may be in the future be targeted by malicious cyber-attacks. Cybersecurity attacks in particular are evolving, and we and the third parties with whom we work face the constant risk of cybersecurity threats, including, among other things, computer viruses, malicious code, social-engineering attacks (including through deep fakes, which may be increasingly more difficult to identify as fake, and phishing attacks), denial-of-service attacks, credential stuffing attacks, credential harvesting, personnel misconduct or error, ransomware attacks, supply-chain attacks, software bugs, server malfunctions, software and hardware failures, attacks enhanced or facilitated by AI, and other electronic security breaches that could lead to disruptions in critical systems, unauthorized, unlawful, or accidental acquisition, modification, destruction, loss, encryption, access to, release or other compromise of confidential or sensitive information. In particular, severe ransomware attacks are becoming increasingly prevalent and can lead to material adverse consequences. Such threats are prevalent and continue to rise, are increasingly difficult to detect, and come from a variety of sources, including traditional computer “hackers,” threat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actors, “hacktivists,” organized criminal threat actors, personnel (such as through theft or misuse), sophisticated nation states, and nation-state-supported actors.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we have implemented security measures designed to protect against cyber security breaches, there can be no assurance that these measures will be effective.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cyber security breach or other interruption.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of the previously identified or similar threats could cause a cyber security breach or other interruption that could result in unauthorized, unlawful, or accidental acquisition, modification, destruction, loss, alteration, encryption, disclosure of, or access to our confidential or sensitive information or our information technology systems, or those of the third parties with whom we work. For example, we have been the target of unsuccessful phishing attempts in the past, and expect such attempts will continue in the future.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Furthermore, 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we or the third parties with whom we work experience or are perceived to experience cybersecurity attacks or otherwise, we could experience material adverse consequences, such as suspending or stopping our operations, government enforcement actions, additional reporting requirements, litigation, and other harms, which could have a material adverse effect on our business, results of operations and financial condition, and could negatively impact our clients. Further, improper disclosure of confidential, proprietary or sensitive information of our employees, customers, contractors and vendors could harm our reputation and subject us to liability and other harms.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Data privacy risks, including evolving laws, regulations, and other obligations, may result in business interruption and increased costs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Laws, regulations and other obligations (including without limitation applicable guidance, industry standards, external and internal privacy and security policies and statements, and contractual requirements) relating to personal data and data privacy are constantly evolving, as federal, state, local and foreign governments adopt new measures addressing data privacy.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laws impose stringent obligations. For example, the California Consumer Privacy Act, as amended (“CCPA”), which applies to business representative and other types of personal data of California residents, provides for fines of up to $7,988 per intentional violation and allows private litigants affected by certain data breaches to recover significant statutory damages.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Our privacy obligations, including applicable laws and regulations, may be interpreted or applied in a manner that is inconsistent with each other and may complicate our existing data privacy practices. Evolving compliance and operational requirements under the privacy laws of the jurisdictions in which we operate, regulations, and other obligations have become increasingly burdensome and complex. Our failure to comply (or perceived failure to comply) with these obligations could result in costly enforcement actions (including regulatory proceedings, investigations, fines, penalties, audits, and inspections), litigation (including class action claims) or mass arbitration demands, penalties and fines, require us to change our business practices or cause business interruptions, and may lead to liabilities and other harms.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0" w:name="ITEM1BUNRESOLVEDSTAFFCOMMENTS_892156"/>
      <w:bookmarkStart w:id="61" w:name="_f6b69123_868d_4014_99b1_0ca5cbc6694c"/>
      <w:bookmarkEnd w:id="60"/>
      <w:bookmarkEnd w:id="61"/>
      <w:r>
        <w:rPr>
          <w:rFonts w:ascii="Times New Roman;Times;serif" w:hAnsi="Times New Roman;Times;serif"/>
          <w:b/>
          <w:sz w:val="20"/>
        </w:rPr>
        <w:t>ITEM 1B. UNRESOLVED STAFF COMMENTS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2" w:name="ITEM1C"/>
      <w:bookmarkStart w:id="63" w:name="_6f049e13_6193_41a3_a9eb_e0337fecb89c"/>
      <w:bookmarkEnd w:id="62"/>
      <w:bookmarkEnd w:id="63"/>
      <w:r>
        <w:rPr>
          <w:rFonts w:ascii="Times New Roman;Times;serif" w:hAnsi="Times New Roman;Times;serif"/>
          <w:b/>
          <w:sz w:val="20"/>
        </w:rPr>
        <w:t>ITEM 1C. CYBERSECURITY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Risk management and strategy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incorporated evaluation of cybersecurity threats into its overall risk management strategy. As such, we have established a cybersecurity program designed to address applicable legal requirements. Through its internally dedicated cybersecurity team, combined with cybersecurity-specific technologies and external cybersecurity service professionals, the Company assesses, identifies, and manages material risks from cybersecurity threats to its critical computer networks, hardware and software, and data.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cybersecurity team helps identify and assess risks from cybersecurity threats by monitoring and evaluating the Company’s threat environment using various methods. Through the use of internal and external risk assessment audits of certain environments aimed at identifying potential areas of cybersecurity risk, external and internal monitoring alerts, and other external and internal tools (such as next generation endpoint security (EDR/XDR), SASE framework, next-gen firewalls, and external-party monitoring of endpoint and cloud security environments), the Company performs ongoing assessments of its cybersecurity risks that are designed to take into account the rapidly evolving cybersecurity threat landscape. Further, in conjunction with its ISO 27001 and SOC2 certifications, the Company undergoes annual external audits that include reviews of its cybersecurity risk assessment processes and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an attempt to manage and mitigate material risks from cybersecurity threats, the Company’s cybersecurity risk management process includes certain preventive measures, detective controls, and incident response procedures, depending on the environment and systems. This includes implementing security controls in certain environments and systems, ongoing monitoring of certain environments and systems, adopting response protocols for security incidents, and maintaining cybersecurity insurance. The Company’s cybersecurity risk management approach is periodically reviewed by management and certain external service professionals to assess whether any changes are needed to reflect changing threats.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assessment and management of material risks from cybersecurity threats are integrated into the Company’s risk management strategy. For example, our cybersecurity team works with management to prioritize our risk management processes and mitigate cybersecurity threats that are more likely to lead to a material impact to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 description of the risks from cybersecurity threats that may materially affect the Company and how they may do so, see our risk factors under Part 1. Item 1A. Risk Factors in this Annual Report on Form 10-K, “</w:t>
      </w:r>
      <w:r>
        <w:rPr>
          <w:rFonts w:ascii="Times New Roman;Times;serif" w:hAnsi="Times New Roman;Times;serif"/>
          <w:i/>
          <w:sz w:val="20"/>
        </w:rPr>
        <w:t>Cyber security breaches or other systems and information technology interruptions could result in liability, harm our reputation, impact our ability to operate, and other material adverse consequences.”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engages third-party cybersecurity consultants and auditors who help the cybersecurity team in identifying, assessing, and managing material risks from cybersecurity threats, including by evaluating and enhancing the Company’s cybersecurity posture. The Company also engages third-party service providers to perform a variety of functions throughout its business. The Company performs due diligence before engaging with certain third-party service providers designed to evaluate the service providers’ cybersecurity practices, including their security policies, incident response capabilities, and data protection measures; including specific cybersecurity requirements in contracts with certain third-party service providers, such as regarding security standards, data protection, and incident reporting as applicable; and monitoring and auditing certain third-party service providers’ cybersecurity practices and compliance with contractual obligations. Depending on the nature of the services provided, the sensitivity of the information systems and data at issue, and the identity of the provider, the Company’s vendor management process may involve different levels of assessment designed to help identify cybersecurity risks associated with a provider and impose contractual obligations related to cybersecurity on the provider.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Board addresses the Company’s cybersecurity risk management as part of its general oversight function. The Board is responsible for overseeing Company’s cybersecurity risk management processes, including oversight and mitigation of risks from cybersecurity threats.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cybersecurity risk assessment and management processes are implemented and maintained by the certain members of Company management, including those who are part of the Company’s cybersecurity team. The Company’s cybersecurity team is comprised of individuals with expertise in cybersecurity, information technology, risk management, and Company operations. Our cybersecurity team has decades-long experience in cybersecurity and holds industry-standard certifications including Certified Information Systems Security Professional (“CISSP”), and Certified Cloud Security Professional (“CCSP”), among others.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is responsible for hiring appropriate personnel, helping to integrate cybersecurity risk considerations into the Company’s overall risk management strategy, and communicating key priorities to relevant personnel. Management is responsible for approving budgets, helping prepare for cybersecurity incidents, approving cybersecurity processes, and reviewing security assessments and other security-related reports.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cybersecurity incident response plan is designed to escalate certain cybersecurity incidents to members of management depending on the circumstances, including the Company’s President and Chief Executive Officer, Chief Financial Officer, and General Counsel (collectively, “Executive Management”). Executive Management works with the Company’s incident response team to help the Company mitigate and remediate cybersecurity incidents of which they are notified. In addition, the Company’s incident response plan includes reporting to the Board for certain cybersecurity incidents.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Board provides oversight of cybersecurity risk and regularly receives updates from the Company’s cybersecurity team. These updates cover topics that include cybersecurity team member updates, cybersecurity infrastructure updates, improvement in cyber-security tools and technologies, cybersecurity framework compliance, cyber-risk hardware/software enhancement updates, cybersecurity threats and mitigation measures, and more. The Board also has access to various reports, summaries or presentations related to cybersecurity threats, risk and mitigation.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 w:name="ITEM2PROPERTIES_656931"/>
      <w:bookmarkStart w:id="65" w:name="_ec976b57_fd24_4600_a6bd_bf18aab97c7a"/>
      <w:bookmarkEnd w:id="64"/>
      <w:bookmarkEnd w:id="65"/>
      <w:r>
        <w:rPr>
          <w:rFonts w:ascii="Times New Roman;Times;serif" w:hAnsi="Times New Roman;Times;serif"/>
          <w:b/>
          <w:sz w:val="20"/>
        </w:rPr>
        <w:t>ITEM 2. PROPERTIES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corporate headquarters is located at 2401 East Katella Avenue, Anaheim, California, where we lease approximately 18,000 square feet of office space. In addition, we lease office space in 48 other locations nationwide. In addition to the U.S. locations, we also have one office in Canada and one office in the Commonwealth of Puerto Rico. In total, our facilities contain approximately 224,000 square feet of office space and are subject to leases that expire through 2034. We rent a small portion of this total space on a month-to-month basis. We believe that our existing facilities are adequate to meet current requirements and that suitable additional or substitute space will be available as needed to accommodate any expansion of operations and for additional offices.</w:t>
      </w:r>
    </w:p>
    <w:p>
      <w:pPr>
        <w:pStyle w:val="TextBody"/>
        <w:bidi w:val="0"/>
        <w:spacing w:before="0" w:after="240"/>
        <w:ind w:left="0" w:right="0" w:hanging="0"/>
        <w:jc w:val="left"/>
        <w:rPr>
          <w:rFonts w:ascii="Times New Roman;Times;serif" w:hAnsi="Times New Roman;Times;serif"/>
          <w:b/>
          <w:sz w:val="20"/>
        </w:rPr>
      </w:pPr>
      <w:bookmarkStart w:id="66" w:name="ITEM3LEGALPROCEEDINGS_429119"/>
      <w:bookmarkStart w:id="67" w:name="_53b6260c_3653_4e2e_a585_30482c8293ce"/>
      <w:bookmarkEnd w:id="66"/>
      <w:bookmarkEnd w:id="67"/>
      <w:r>
        <w:rPr>
          <w:rFonts w:ascii="Times New Roman;Times;serif" w:hAnsi="Times New Roman;Times;serif"/>
          <w:b/>
          <w:sz w:val="20"/>
        </w:rPr>
        <w:t>ITEM 3. 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claims and lawsuits from time to time, including those alleging professional errors or omissions that arise in the ordinary course of business against firms that operate in the engineering and consulting professions. We carry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we accrue an undiscounted liability for those contingencies where the incurrence of a loss is probable and the amount can be reasonably estimated, and we disclose the amount accrued and an estimate of any reasonably possible loss in excess of the amount accrued, if such disclosure is necessary for our financial statements not to be misleading. We do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our evaluation of legal proceedings often involves a series of complex assessments by management about future events and can rely heavily on estimates and assumptions. If the assessments indicate that loss contingencies that could be material to any one of our financial statements are not probable, but are reasonably possible, or are probable, but cannot be estimated, then we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our earnings in any given reporting period. However, in the opinion of our management, after consulting with legal counsel, and taking into account insurance coverage, the ultimate liability related to current outstanding claims and lawsuits is not expected to have a material adverse effect on our financial statements.</w:t>
      </w:r>
    </w:p>
    <w:p>
      <w:pPr>
        <w:pStyle w:val="TextBody"/>
        <w:bidi w:val="0"/>
        <w:spacing w:before="0" w:after="240"/>
        <w:ind w:left="0" w:right="0" w:hanging="0"/>
        <w:jc w:val="left"/>
        <w:rPr>
          <w:rFonts w:ascii="Times New Roman;Times;serif" w:hAnsi="Times New Roman;Times;serif"/>
          <w:b/>
          <w:sz w:val="20"/>
        </w:rPr>
      </w:pPr>
      <w:bookmarkStart w:id="68" w:name="ITEM4MINESAFETYDISCLOSURES_57379"/>
      <w:bookmarkStart w:id="69" w:name="_91cd3b1c_0763_4879_83dc_971efff79525"/>
      <w:bookmarkEnd w:id="68"/>
      <w:bookmarkEnd w:id="69"/>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0" w:name="PARTII_444713"/>
      <w:bookmarkEnd w:id="70"/>
      <w:r>
        <w:rPr>
          <w:rFonts w:ascii="Times New Roman;Times;serif" w:hAnsi="Times New Roman;Times;serif"/>
          <w:b/>
          <w:sz w:val="20"/>
        </w:rPr>
        <w:t>PART II</w:t>
      </w:r>
    </w:p>
    <w:p>
      <w:pPr>
        <w:pStyle w:val="TextBody"/>
        <w:bidi w:val="0"/>
        <w:spacing w:lineRule="auto" w:line="304" w:before="0" w:after="160"/>
        <w:ind w:left="0" w:right="0" w:hanging="0"/>
        <w:jc w:val="left"/>
        <w:rPr>
          <w:rFonts w:ascii="Times New Roman;Times;serif" w:hAnsi="Times New Roman;Times;serif"/>
          <w:sz w:val="20"/>
        </w:rPr>
      </w:pPr>
      <w:bookmarkStart w:id="71" w:name="ITEM5MARKETFORTHEREGISTRANTS_611518"/>
      <w:bookmarkStart w:id="72" w:name="_256d159b_fcee_4b91_98a5_1a74a9181b54"/>
      <w:bookmarkEnd w:id="71"/>
      <w:bookmarkEnd w:id="72"/>
      <w:r>
        <w:rPr>
          <w:rFonts w:ascii="Times New Roman;Times;serif" w:hAnsi="Times New Roman;Times;serif"/>
          <w:b/>
          <w:sz w:val="20"/>
        </w:rPr>
        <w:t>ITEM 5. MARKET FOR REGISTRANT’S</w:t>
      </w:r>
      <w:r>
        <w:rPr>
          <w:rFonts w:ascii="Times New Roman;Times;serif" w:hAnsi="Times New Roman;Times;serif"/>
          <w:sz w:val="20"/>
        </w:rPr>
        <w:t xml:space="preserve"> </w:t>
      </w:r>
      <w:r>
        <w:rPr>
          <w:rFonts w:ascii="Times New Roman;Times;serif" w:hAnsi="Times New Roman;Times;serif"/>
          <w:b/>
          <w:sz w:val="20"/>
        </w:rPr>
        <w:t>COMMON EQUITY, RELATED STOCKHOLDER MATTERS AND ISSUER PURCHASES OF EQUITY SECURITIES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Market Information for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November 21, 2006, the common stock of Willdan Group, Inc. has been listed and traded on the Nasdaq Global Market under the symbol “WLDN”.</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February 25, 2026, there were 197 stockholders of record of our common stock. This number does not include persons who hold our common stock in nominee or “street name” accounts through brokers or banks.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declare or pay cash dividends on our common stock in fiscal years 2025, 2024, or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currently expect to retain all available funds and future earnings, if any, for use in the operation and growth of our business and do not anticipate paying any cash dividends in the foreseeable future. Any future determination to pay dividends will be at the discretion of our board of directors, subject to compliance with applicable law and any contractual provisions, including under the Credit Agreement and agreements governing any additional indebtedness we may incur in the future, that restrict or limit our ability to pay dividends, and will depend upon, among other factors, our results of operations, financial condition, earnings, capital requirements and other factors that our board of directors deems relevant. Because we are a holding company, our ability to pay dividends depends on our receipt of cash dividends from our operating subsidiaries, which may further restrict our ability to pay dividends as a result of the laws of their jurisdiction of organization, agreements of our subsidiaries or covenants under our existing or future indebtedness.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Performance Graph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graph compares the 5-year cumulative total stockholder return of our common stock with the cumulative total return of the Nasdaq Composite and a customized peer group. The companies included in our customized peer group represent our definitive Proxy peer group which is reviewed annually and revised as necessary. In the event that a peer group company is acquired and/or delisted, we remove that company from our peer group on such corresponding acquisition date and/or delisting date.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customized peer group consists of Ameresco, Inc., American Superconductor Corporation, Bowman Consulting Group Ltd., C3.ai, Inc., CECO Environmental Corporation, CRA International Inc., Exponent, Inc., Huron Consulting Group, Inc., ICF International, Inc., Limbach Holdings, Inc., LSI Industries Inc., Montrose Environmental Group, Inc., Shoals Technologies Group, Inc, Thermon Group Holdings, Inc., and TIC Solutions. The old peer group consisted of American Superconductor Corporation, Ameresco, Inc., Bowman Consulting Group Ltd., C3.ai, Inc., Exponent, Inc., ICF International, Inc., Iteris, Inc., Limbach Holdings, Inc., LSI Industries Inc., Montrose Environmental Group, Inc., NV5 Global, Inc., Quest Resource Holding Corporation, RCM Technologies, Inc., Resource Connection, Inc., and Stem, Inc.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peer group investment is weighted by market capitalization as of January 1, 2021 and is adjusted monthly. An investment of $100, with reinvestment of all dividends, is assumed to have been made in our common stock, in the peer group, and in the Nasdaq Composite on January 1, 2021, and the relative performance of each is tracked through and including January 2, 2026. The stock price performance shown in the graph is not necessarily indicative of future stock price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drawing>
          <wp:inline distT="0" distB="0" distL="0" distR="0">
            <wp:extent cx="5340985" cy="2879725"/>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5340985" cy="2879725"/>
                    </a:xfrm>
                    <a:prstGeom prst="rect">
                      <a:avLst/>
                    </a:prstGeom>
                  </pic:spPr>
                </pic:pic>
              </a:graphicData>
            </a:graphic>
          </wp:inline>
        </w:drawing>
      </w:r>
    </w:p>
    <w:p>
      <w:pPr>
        <w:pStyle w:val="TextBody"/>
        <w:bidi w:val="0"/>
        <w:spacing w:before="0" w:after="0"/>
        <w:ind w:left="0" w:right="0" w:hanging="0"/>
        <w:jc w:val="center"/>
        <w:rPr/>
      </w:pPr>
      <w:r>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Recent Sales of Unregistered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Issuer Repurchases of Equity Securities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During the fiscal quarter ended January 2, 2026, we made the following repurchases of shares of our common stock from employees to satisfy tax withholding obligations incurred in connection with the vesting of restricted stock: </w:t>
      </w:r>
    </w:p>
    <w:tbl>
      <w:tblPr>
        <w:tblW w:w="10205" w:type="dxa"/>
        <w:jc w:val="left"/>
        <w:tblInd w:w="0" w:type="dxa"/>
        <w:tblLayout w:type="fixed"/>
        <w:tblCellMar>
          <w:top w:w="0" w:type="dxa"/>
          <w:left w:w="0" w:type="dxa"/>
          <w:bottom w:w="0" w:type="dxa"/>
          <w:right w:w="0" w:type="dxa"/>
        </w:tblCellMar>
      </w:tblPr>
      <w:tblGrid>
        <w:gridCol w:w="2155"/>
        <w:gridCol w:w="1234"/>
        <w:gridCol w:w="1021"/>
        <w:gridCol w:w="4177"/>
        <w:gridCol w:w="1618"/>
      </w:tblGrid>
      <w:tr>
        <w:trPr/>
        <w:tc>
          <w:tcPr>
            <w:tcW w:w="2155" w:type="dxa"/>
            <w:tcBorders/>
            <w:vAlign w:val="center"/>
          </w:tcPr>
          <w:p>
            <w:pPr>
              <w:pStyle w:val="TableContents"/>
              <w:bidi w:val="0"/>
              <w:spacing w:before="0" w:after="283"/>
              <w:ind w:left="0" w:right="0" w:hanging="0"/>
              <w:jc w:val="left"/>
              <w:rPr>
                <w:sz w:val="4"/>
                <w:szCs w:val="4"/>
              </w:rPr>
            </w:pPr>
            <w:r>
              <w:rPr>
                <w:sz w:val="4"/>
                <w:szCs w:val="4"/>
              </w:rPr>
            </w:r>
          </w:p>
        </w:tc>
        <w:tc>
          <w:tcPr>
            <w:tcW w:w="1234" w:type="dxa"/>
            <w:tcBorders/>
            <w:vAlign w:val="center"/>
          </w:tcPr>
          <w:p>
            <w:pPr>
              <w:pStyle w:val="TableContents"/>
              <w:bidi w:val="0"/>
              <w:spacing w:before="0" w:after="283"/>
              <w:ind w:left="0" w:right="0" w:hanging="0"/>
              <w:jc w:val="left"/>
              <w:rPr>
                <w:sz w:val="4"/>
                <w:szCs w:val="4"/>
              </w:rPr>
            </w:pPr>
            <w:r>
              <w:rPr>
                <w:sz w:val="4"/>
                <w:szCs w:val="4"/>
              </w:rPr>
            </w:r>
          </w:p>
        </w:tc>
        <w:tc>
          <w:tcPr>
            <w:tcW w:w="1021" w:type="dxa"/>
            <w:tcBorders/>
            <w:vAlign w:val="center"/>
          </w:tcPr>
          <w:p>
            <w:pPr>
              <w:pStyle w:val="TableContents"/>
              <w:bidi w:val="0"/>
              <w:spacing w:before="0" w:after="0"/>
              <w:ind w:left="0" w:right="0" w:hanging="0"/>
              <w:jc w:val="left"/>
              <w:rPr/>
            </w:pPr>
            <w:r>
              <w:rPr/>
              <w:t>​</w:t>
            </w:r>
          </w:p>
        </w:tc>
        <w:tc>
          <w:tcPr>
            <w:tcW w:w="4177"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283"/>
              <w:ind w:left="0" w:right="0" w:hanging="0"/>
              <w:jc w:val="left"/>
              <w:rPr>
                <w:sz w:val="4"/>
                <w:szCs w:val="4"/>
              </w:rPr>
            </w:pPr>
            <w:r>
              <w:rPr>
                <w:sz w:val="4"/>
                <w:szCs w:val="4"/>
              </w:rPr>
            </w:r>
          </w:p>
        </w:tc>
      </w:tr>
      <w:tr>
        <w:trPr/>
        <w:tc>
          <w:tcPr>
            <w:tcW w:w="2155" w:type="dxa"/>
            <w:tcBorders/>
            <w:vAlign w:val="center"/>
          </w:tcPr>
          <w:p>
            <w:pPr>
              <w:pStyle w:val="TableContents"/>
              <w:bidi w:val="0"/>
              <w:spacing w:before="0" w:after="283"/>
              <w:ind w:left="0" w:right="0" w:hanging="0"/>
              <w:jc w:val="left"/>
              <w:rPr>
                <w:sz w:val="4"/>
                <w:szCs w:val="4"/>
              </w:rPr>
            </w:pPr>
            <w:r>
              <w:rPr>
                <w:sz w:val="4"/>
                <w:szCs w:val="4"/>
              </w:rPr>
            </w:r>
          </w:p>
        </w:tc>
        <w:tc>
          <w:tcPr>
            <w:tcW w:w="1234" w:type="dxa"/>
            <w:tcBorders/>
            <w:vAlign w:val="center"/>
          </w:tcPr>
          <w:p>
            <w:pPr>
              <w:pStyle w:val="TableContents"/>
              <w:bidi w:val="0"/>
              <w:spacing w:before="0" w:after="283"/>
              <w:ind w:left="0" w:right="0" w:hanging="0"/>
              <w:jc w:val="left"/>
              <w:rPr>
                <w:sz w:val="4"/>
                <w:szCs w:val="4"/>
              </w:rPr>
            </w:pPr>
            <w:r>
              <w:rPr>
                <w:sz w:val="4"/>
                <w:szCs w:val="4"/>
              </w:rPr>
            </w:r>
          </w:p>
        </w:tc>
        <w:tc>
          <w:tcPr>
            <w:tcW w:w="1021" w:type="dxa"/>
            <w:tcBorders/>
            <w:vAlign w:val="center"/>
          </w:tcPr>
          <w:p>
            <w:pPr>
              <w:pStyle w:val="TableContents"/>
              <w:bidi w:val="0"/>
              <w:spacing w:before="0" w:after="0"/>
              <w:ind w:left="0" w:right="0" w:hanging="0"/>
              <w:jc w:val="left"/>
              <w:rPr/>
            </w:pPr>
            <w:r>
              <w:rPr/>
              <w:t>​</w:t>
            </w:r>
          </w:p>
        </w:tc>
        <w:tc>
          <w:tcPr>
            <w:tcW w:w="4177"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283"/>
              <w:ind w:left="0" w:right="0" w:hanging="0"/>
              <w:jc w:val="left"/>
              <w:rPr>
                <w:sz w:val="4"/>
                <w:szCs w:val="4"/>
              </w:rPr>
            </w:pPr>
            <w:r>
              <w:rPr>
                <w:sz w:val="4"/>
                <w:szCs w:val="4"/>
              </w:rPr>
            </w:r>
          </w:p>
        </w:tc>
      </w:tr>
      <w:tr>
        <w:trPr/>
        <w:tc>
          <w:tcPr>
            <w:tcW w:w="2155" w:type="dxa"/>
            <w:tcBorders/>
            <w:vAlign w:val="center"/>
          </w:tcPr>
          <w:p>
            <w:pPr>
              <w:pStyle w:val="TableContents"/>
              <w:bidi w:val="0"/>
              <w:spacing w:before="0" w:after="283"/>
              <w:ind w:left="0" w:right="0" w:hanging="0"/>
              <w:jc w:val="left"/>
              <w:rPr>
                <w:sz w:val="4"/>
                <w:szCs w:val="4"/>
              </w:rPr>
            </w:pPr>
            <w:r>
              <w:rPr>
                <w:sz w:val="4"/>
                <w:szCs w:val="4"/>
              </w:rPr>
            </w:r>
          </w:p>
        </w:tc>
        <w:tc>
          <w:tcPr>
            <w:tcW w:w="1234" w:type="dxa"/>
            <w:tcBorders/>
            <w:vAlign w:val="center"/>
          </w:tcPr>
          <w:p>
            <w:pPr>
              <w:pStyle w:val="TableContents"/>
              <w:bidi w:val="0"/>
              <w:spacing w:before="0" w:after="283"/>
              <w:ind w:left="0" w:right="0" w:hanging="0"/>
              <w:jc w:val="left"/>
              <w:rPr>
                <w:sz w:val="4"/>
                <w:szCs w:val="4"/>
              </w:rPr>
            </w:pPr>
            <w:r>
              <w:rPr>
                <w:sz w:val="4"/>
                <w:szCs w:val="4"/>
              </w:rPr>
            </w:r>
          </w:p>
        </w:tc>
        <w:tc>
          <w:tcPr>
            <w:tcW w:w="1021" w:type="dxa"/>
            <w:tcBorders/>
            <w:vAlign w:val="center"/>
          </w:tcPr>
          <w:p>
            <w:pPr>
              <w:pStyle w:val="TableContents"/>
              <w:bidi w:val="0"/>
              <w:spacing w:before="0" w:after="0"/>
              <w:ind w:left="0" w:right="0" w:hanging="0"/>
              <w:jc w:val="left"/>
              <w:rPr/>
            </w:pPr>
            <w:r>
              <w:rPr/>
              <w:t>​</w:t>
            </w:r>
          </w:p>
        </w:tc>
        <w:tc>
          <w:tcPr>
            <w:tcW w:w="4177" w:type="dxa"/>
            <w:tcBorders/>
            <w:vAlign w:val="center"/>
          </w:tcPr>
          <w:p>
            <w:pPr>
              <w:pStyle w:val="TableContents"/>
              <w:bidi w:val="0"/>
              <w:spacing w:before="0" w:after="0"/>
              <w:ind w:left="0" w:right="0" w:hanging="0"/>
              <w:jc w:val="left"/>
              <w:rPr/>
            </w:pPr>
            <w:r>
              <w:rPr/>
              <w:t>​</w:t>
            </w:r>
          </w:p>
        </w:tc>
        <w:tc>
          <w:tcPr>
            <w:tcW w:w="1618" w:type="dxa"/>
            <w:tcBorders/>
            <w:vAlign w:val="center"/>
          </w:tcPr>
          <w:p>
            <w:pPr>
              <w:pStyle w:val="TableContents"/>
              <w:bidi w:val="0"/>
              <w:spacing w:before="0" w:after="283"/>
              <w:ind w:left="0" w:right="0" w:hanging="0"/>
              <w:jc w:val="left"/>
              <w:rPr>
                <w:sz w:val="4"/>
                <w:szCs w:val="4"/>
              </w:rPr>
            </w:pPr>
            <w:r>
              <w:rPr>
                <w:sz w:val="4"/>
                <w:szCs w:val="4"/>
              </w:rPr>
            </w:r>
          </w:p>
        </w:tc>
      </w:tr>
      <w:tr>
        <w:trPr/>
        <w:tc>
          <w:tcPr>
            <w:tcW w:w="2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83"/>
              <w:ind w:left="0" w:right="0" w:hanging="0"/>
              <w:jc w:val="left"/>
              <w:rPr>
                <w:sz w:val="4"/>
                <w:szCs w:val="4"/>
              </w:rPr>
            </w:pPr>
            <w:r>
              <w:rPr>
                <w:sz w:val="4"/>
                <w:szCs w:val="4"/>
              </w:rPr>
            </w:r>
          </w:p>
        </w:tc>
        <w:tc>
          <w:tcPr>
            <w:tcW w:w="12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Number of </w:t>
              <w:br/>
              <w:t>Shares Purchased</w:t>
            </w:r>
          </w:p>
        </w:tc>
        <w:tc>
          <w:tcPr>
            <w:tcW w:w="10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Average Price </w:t>
              <w:br/>
              <w:t>Paid Per Share</w:t>
            </w:r>
          </w:p>
        </w:tc>
        <w:tc>
          <w:tcPr>
            <w:tcW w:w="41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Number of Shares Purchased as Part of Publicly Announced Plans or Programs</w:t>
            </w:r>
          </w:p>
        </w:tc>
        <w:tc>
          <w:tcPr>
            <w:tcW w:w="16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Maximum Number </w:t>
              <w:br/>
              <w:t>(or Approximate Dollar</w:t>
              <w:br/>
              <w:t xml:space="preserve">Value) of Shares That </w:t>
              <w:br/>
              <w:t>May Yet be Purchased</w:t>
              <w:br/>
              <w:t xml:space="preserve">Under the Plans or </w:t>
              <w:br/>
              <w:t>Programs</w:t>
            </w:r>
          </w:p>
        </w:tc>
      </w:tr>
      <w:tr>
        <w:trPr/>
        <w:tc>
          <w:tcPr>
            <w:tcW w:w="2155"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October 4, 2025 – October 31, 2025</w:t>
            </w:r>
          </w:p>
        </w:tc>
        <w:tc>
          <w:tcPr>
            <w:tcW w:w="1234"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3,049</w:t>
            </w:r>
          </w:p>
        </w:tc>
        <w:tc>
          <w:tcPr>
            <w:tcW w:w="102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$94.51</w:t>
            </w:r>
          </w:p>
        </w:tc>
        <w:tc>
          <w:tcPr>
            <w:tcW w:w="4177"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18"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1, 2025 – November 28, 2025</w:t>
            </w:r>
          </w:p>
        </w:tc>
        <w:tc>
          <w:tcPr>
            <w:tcW w:w="1234"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611</w:t>
            </w:r>
          </w:p>
        </w:tc>
        <w:tc>
          <w:tcPr>
            <w:tcW w:w="102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$94.51</w:t>
            </w:r>
          </w:p>
        </w:tc>
        <w:tc>
          <w:tcPr>
            <w:tcW w:w="4177"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18"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2155"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November 29, 2025 – January 2, 2026</w:t>
            </w:r>
          </w:p>
        </w:tc>
        <w:tc>
          <w:tcPr>
            <w:tcW w:w="1234"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02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4177"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618"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pPr>
            <w:r>
              <w:rPr/>
              <w:t>—</w:t>
            </w:r>
          </w:p>
        </w:tc>
      </w:tr>
      <w:tr>
        <w:trPr/>
        <w:tc>
          <w:tcPr>
            <w:tcW w:w="21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123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3,660</w:t>
            </w:r>
          </w:p>
        </w:tc>
        <w:tc>
          <w:tcPr>
            <w:tcW w:w="10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$94.51</w:t>
            </w:r>
          </w:p>
        </w:tc>
        <w:tc>
          <w:tcPr>
            <w:tcW w:w="417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161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 w:name="ITEM6SELECTEDFINANCIALDATA_643909"/>
      <w:bookmarkStart w:id="74" w:name="_894afa82_1af6_44d6_abf9_666fdacde286"/>
      <w:bookmarkEnd w:id="73"/>
      <w:bookmarkEnd w:id="74"/>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160"/>
        <w:ind w:left="72" w:right="0" w:hanging="828"/>
        <w:jc w:val="left"/>
        <w:rPr>
          <w:rFonts w:ascii="Times New Roman;Times;serif" w:hAnsi="Times New Roman;Times;serif"/>
          <w:sz w:val="20"/>
        </w:rPr>
      </w:pPr>
      <w:bookmarkStart w:id="75" w:name="ITEM7MANAGEMENTSDISCUSSION_533905"/>
      <w:bookmarkStart w:id="76" w:name="_d4bacece_bb34_4a2e_8435_3ddb2fd55fed"/>
      <w:bookmarkEnd w:id="75"/>
      <w:bookmarkEnd w:id="76"/>
      <w:r>
        <w:rPr>
          <w:rFonts w:ascii="Times New Roman;Times;serif" w:hAnsi="Times New Roman;Times;serif"/>
          <w:b/>
          <w:sz w:val="20"/>
        </w:rPr>
        <w:t>ITEM 7.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Our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provider of professional, technical and consulting services to utilities, private industry, and public agencies at all levels of government. As resource and infrastructure needs undergo continuous change, we help organizations and their communities evolve and thrive by providing a wide range of technical services for energy solutions, greenhouse gas reduction, and government infrastructure. Through engineering, program management, policy advisory, and software and data analytics, we plan, design and deliver comprehensive, innovative, cost-effective, and proven solutions to improve efficiency, resiliency, and sustainability in energy and infrastructure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broad portfolio of services operates within two financial reporting segments: (1) Energy and (2) Engineering and Consulting. The interfaces and synergies between these segments are important elements of our strategy to design and deliver trusted, comprehensive, innovative, and proven solutions and services for our customers.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Energy segment provides specialized, innovative, comprehensive energy solutions to businesses, utilities, state agencies, municipalities, and non-profit organizations. Our experienced engineers, consultants, and staff help our clients realize cost and energy savings by tailoring efficient and cost-effective solutions to assist in optimizing energy spend. Our energy services include comprehensive audit and surveys, program design, master planning, demand reduction, grid optimization, benchmarking analyses, design engineering, AI data center power solutions, construction management, performance contracting, installation, alternative financing, measurement and verification services, and advances in software and data analytics for long-term planning.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Engineering and Consulting segment provides civil engineering and construction management, building and safety services, city engineering and planning support, civil design, geotechnical services, and material testing. Our capabilities span traffic, bridges, rail, port, water systems, and other major infrastructure projects. In addition to technical expertise, we provide economic and financial consulting that helps agencies plan, fund, and maintain both daily operations and long-term capital programs. We also support the mandated reporting and other requirements associated with these financings. We provide financial advisory services for municipal securities but do not provide underwriting services.</w:t>
      </w:r>
    </w:p>
    <w:p>
      <w:pPr>
        <w:pStyle w:val="TextBody"/>
        <w:bidi w:val="0"/>
        <w:spacing w:before="100" w:after="10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60"/>
        <w:ind w:left="0" w:right="0" w:firstLine="180"/>
        <w:jc w:val="left"/>
        <w:rPr>
          <w:rFonts w:ascii="Times New Roman;Times;serif" w:hAnsi="Times New Roman;Times;serif"/>
          <w:i/>
          <w:sz w:val="20"/>
        </w:rPr>
      </w:pPr>
      <w:r>
        <w:rPr>
          <w:rFonts w:ascii="Times New Roman;Times;serif" w:hAnsi="Times New Roman;Times;serif"/>
          <w:i/>
          <w:sz w:val="20"/>
        </w:rPr>
        <w:t>Summary comparison of fiscal years 2025, 2024, and 2023</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certain information derived from our consolidated statements of comprehensive income</w:t>
      </w:r>
      <w:r>
        <w:rPr>
          <w:rFonts w:ascii="Times New Roman;Times;serif" w:hAnsi="Times New Roman;Times;serif"/>
          <w:sz w:val="15"/>
        </w:rPr>
        <w:t>(1)</w:t>
      </w:r>
      <w:r>
        <w:rPr>
          <w:rFonts w:ascii="Times New Roman;Times;serif" w:hAnsi="Times New Roman;Times;serif"/>
          <w:sz w:val="20"/>
        </w:rPr>
        <w:t xml:space="preserve">: </w:t>
      </w:r>
    </w:p>
    <w:tbl>
      <w:tblPr>
        <w:tblW w:w="9952" w:type="dxa"/>
        <w:jc w:val="left"/>
        <w:tblInd w:w="0" w:type="dxa"/>
        <w:tblLayout w:type="fixed"/>
        <w:tblCellMar>
          <w:top w:w="0" w:type="dxa"/>
          <w:left w:w="0" w:type="dxa"/>
          <w:bottom w:w="0" w:type="dxa"/>
          <w:right w:w="0" w:type="dxa"/>
        </w:tblCellMar>
      </w:tblPr>
      <w:tblGrid>
        <w:gridCol w:w="3991"/>
        <w:gridCol w:w="109"/>
        <w:gridCol w:w="196"/>
        <w:gridCol w:w="721"/>
        <w:gridCol w:w="109"/>
        <w:gridCol w:w="556"/>
        <w:gridCol w:w="331"/>
        <w:gridCol w:w="109"/>
        <w:gridCol w:w="196"/>
        <w:gridCol w:w="691"/>
        <w:gridCol w:w="109"/>
        <w:gridCol w:w="556"/>
        <w:gridCol w:w="331"/>
        <w:gridCol w:w="109"/>
        <w:gridCol w:w="196"/>
        <w:gridCol w:w="691"/>
        <w:gridCol w:w="109"/>
        <w:gridCol w:w="556"/>
        <w:gridCol w:w="286"/>
      </w:tblGrid>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57835" cy="175260"/>
                      <wp:effectExtent l="0" t="0" r="0" b="0"/>
                      <wp:wrapNone/>
                      <wp:docPr id="31" name="Frame3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53060" cy="175260"/>
                      <wp:effectExtent l="0" t="0" r="0" b="0"/>
                      <wp:wrapNone/>
                      <wp:docPr id="33" name="Frame3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0185" cy="175260"/>
                      <wp:effectExtent l="0" t="0" r="0" b="0"/>
                      <wp:wrapNone/>
                      <wp:docPr id="34" name="Frame3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38785" cy="175260"/>
                      <wp:effectExtent l="0" t="0" r="0" b="0"/>
                      <wp:wrapNone/>
                      <wp:docPr id="36" name="Frame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53060" cy="175260"/>
                      <wp:effectExtent l="0" t="0" r="0" b="0"/>
                      <wp:wrapNone/>
                      <wp:docPr id="38" name="Frame3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0185" cy="175260"/>
                      <wp:effectExtent l="0" t="0" r="0" b="0"/>
                      <wp:wrapNone/>
                      <wp:docPr id="39" name="Frame3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785" cy="175260"/>
                      <wp:effectExtent l="0" t="0" r="0" b="0"/>
                      <wp:wrapNone/>
                      <wp:docPr id="41"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53060" cy="175260"/>
                      <wp:effectExtent l="0" t="0" r="0" b="0"/>
                      <wp:wrapNone/>
                      <wp:docPr id="43" name="Frame4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1610" cy="175260"/>
                      <wp:effectExtent l="0" t="0" r="0" b="0"/>
                      <wp:wrapNone/>
                      <wp:docPr id="44" name="Frame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5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8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952"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52" w:type="dxa"/>
            <w:gridSpan w:val="17"/>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percentages)</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681,552</w:t>
            </w:r>
          </w:p>
        </w:tc>
        <w:tc>
          <w:tcPr>
            <w:tcW w:w="109" w:type="dxa"/>
            <w:tcBorders/>
            <w:shd w:fill="CCEEFF" w:val="clear"/>
            <w:vAlign w:val="center"/>
          </w:tcPr>
          <w:p>
            <w:pPr>
              <w:pStyle w:val="TableContents"/>
              <w:bidi w:val="0"/>
              <w:spacing w:before="0" w:after="0"/>
              <w:ind w:left="0" w:right="0" w:hanging="0"/>
              <w:jc w:val="righ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565,798</w:t>
            </w:r>
          </w:p>
        </w:tc>
        <w:tc>
          <w:tcPr>
            <w:tcW w:w="109" w:type="dxa"/>
            <w:tcBorders/>
            <w:shd w:fill="CCEEFF" w:val="clear"/>
            <w:vAlign w:val="center"/>
          </w:tcPr>
          <w:p>
            <w:pPr>
              <w:pStyle w:val="TableContents"/>
              <w:bidi w:val="0"/>
              <w:spacing w:before="0" w:after="0"/>
              <w:ind w:left="0" w:right="0" w:hanging="0"/>
              <w:jc w:val="righ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c>
          <w:tcPr>
            <w:tcW w:w="109" w:type="dxa"/>
            <w:tcBorders/>
            <w:shd w:fill="CCEEFF" w:val="clear"/>
            <w:vAlign w:val="center"/>
          </w:tcPr>
          <w:p>
            <w:pPr>
              <w:pStyle w:val="TableContents"/>
              <w:bidi w:val="0"/>
              <w:spacing w:before="0" w:after="0"/>
              <w:ind w:left="0" w:right="0" w:hanging="0"/>
              <w:jc w:val="righ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100.0 </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costs of 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109,098</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16.0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93,543</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16.5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89,915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17.6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Subcontractor services and other direct costs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316,772</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46.5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269,473</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47.6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240,413</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47.1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direct costs of contract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425,870</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62.5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363,016</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64.2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330,328</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64.8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255,682</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37.5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202,782</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35.8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179,767</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35.2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 and wages, payroll taxes and employee benefits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125,736</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18.4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105,373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18.6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95,556</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18.7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Facilities and facilities related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9,717</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1.4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9,718</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11,825</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7,388</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18,686</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2.7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14,745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2.6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16,431</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3.2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45,571</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6.7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34,205</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30,818</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6.0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211,535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31.0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171,429</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30.3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157,693</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30.9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44,147</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6.5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31,353</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5.5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22,074</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4.3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(5,748)</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(7,801)</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0.2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3,127</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0.4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(4,674)</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(0.8)</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(7,483)</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39,994</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5.9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26,679</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14,591</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2.9 </w:t>
            </w:r>
          </w:p>
        </w:tc>
        <w:tc>
          <w:tcPr>
            <w:tcW w:w="28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(12,563)</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4,109</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0.7 </w:t>
            </w:r>
          </w:p>
        </w:tc>
        <w:tc>
          <w:tcPr>
            <w:tcW w:w="3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3,665</w:t>
            </w:r>
          </w:p>
        </w:tc>
        <w:tc>
          <w:tcPr>
            <w:tcW w:w="109" w:type="dxa"/>
            <w:tcBorders/>
            <w:shd w:fill="CCEEFF" w:val="clear"/>
            <w:vAlign w:val="center"/>
          </w:tcPr>
          <w:p>
            <w:pPr>
              <w:pStyle w:val="TableContents"/>
              <w:bidi w:val="0"/>
              <w:spacing w:before="0" w:after="0"/>
              <w:ind w:left="0" w:right="0" w:hanging="0"/>
              <w:jc w:val="left"/>
              <w:rPr/>
            </w:pPr>
            <w:r>
              <w:rPr/>
              <w:t>​</w:t>
            </w:r>
          </w:p>
        </w:tc>
        <w:tc>
          <w:tcPr>
            <w:tcW w:w="5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0.7 </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52,557</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7.7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22,570</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4.0 </w:t>
            </w:r>
          </w:p>
        </w:tc>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10,926</w:t>
            </w:r>
          </w:p>
        </w:tc>
        <w:tc>
          <w:tcPr>
            <w:tcW w:w="109" w:type="dxa"/>
            <w:tcBorders/>
            <w:vAlign w:val="center"/>
          </w:tcPr>
          <w:p>
            <w:pPr>
              <w:pStyle w:val="TableContents"/>
              <w:bidi w:val="0"/>
              <w:spacing w:before="0" w:after="0"/>
              <w:ind w:left="0" w:right="0" w:hanging="0"/>
              <w:jc w:val="left"/>
              <w:rPr/>
            </w:pPr>
            <w:r>
              <w:rPr/>
              <w:t>​</w:t>
            </w:r>
          </w:p>
        </w:tc>
        <w:tc>
          <w:tcPr>
            <w:tcW w:w="5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2.1 </w:t>
            </w:r>
          </w:p>
        </w:tc>
        <w:tc>
          <w:tcPr>
            <w:tcW w:w="2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720" w:right="0" w:hanging="0"/>
        <w:jc w:val="left"/>
        <w:rPr/>
      </w:pPr>
      <w:r>
        <w:rPr/>
        <w:t>​</w:t>
      </w:r>
    </w:p>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Percentages are expressed as a percentage of contract revenue and may not total due to rounding.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provides information about disaggregated revenue of our two segments, Energy and Engineering and Consulting by contract type, client type, and geographical region:</w:t>
      </w:r>
    </w:p>
    <w:p>
      <w:pPr>
        <w:pStyle w:val="TextBody"/>
        <w:bidi w:val="0"/>
        <w:spacing w:before="1" w:after="0"/>
        <w:ind w:left="2880" w:right="0" w:firstLine="720"/>
        <w:jc w:val="left"/>
        <w:rPr/>
      </w:pPr>
      <w:r>
        <w:rPr/>
        <w:t>​</w:t>
      </w:r>
    </w:p>
    <w:tbl>
      <w:tblPr>
        <w:tblW w:w="5669" w:type="dxa"/>
        <w:jc w:val="left"/>
        <w:tblInd w:w="0" w:type="dxa"/>
        <w:tblLayout w:type="fixed"/>
        <w:tblCellMar>
          <w:top w:w="0" w:type="dxa"/>
          <w:left w:w="0" w:type="dxa"/>
          <w:bottom w:w="0" w:type="dxa"/>
          <w:right w:w="0" w:type="dxa"/>
        </w:tblCellMar>
      </w:tblPr>
      <w:tblGrid>
        <w:gridCol w:w="1471"/>
        <w:gridCol w:w="346"/>
        <w:gridCol w:w="196"/>
        <w:gridCol w:w="691"/>
        <w:gridCol w:w="346"/>
        <w:gridCol w:w="285"/>
        <w:gridCol w:w="1006"/>
        <w:gridCol w:w="34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934085" cy="175260"/>
                      <wp:effectExtent l="0" t="0" r="0" b="0"/>
                      <wp:wrapNone/>
                      <wp:docPr id="45" name="Frame4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80975" cy="175260"/>
                      <wp:effectExtent l="0" t="0" r="0" b="0"/>
                      <wp:wrapNone/>
                      <wp:docPr id="50" name="Frame4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38810" cy="175260"/>
                      <wp:effectExtent l="0" t="0" r="0" b="0"/>
                      <wp:wrapNone/>
                      <wp:docPr id="51" name="Frame5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9110" cy="175260"/>
                      <wp:effectExtent l="0" t="0" r="0" b="0"/>
                      <wp:wrapNone/>
                      <wp:docPr id="54" name="Frame5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49,898</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121,998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215,499</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241,734</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310,654</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576,051</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681,552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70,871</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77,900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227,497</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325,730</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277,683</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277,922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576,051</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681,552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Geography</w:t>
            </w:r>
            <w:r>
              <w:rPr>
                <w:rFonts w:ascii="Times New Roman;Times;serif" w:hAnsi="Times New Roman;Times;serif"/>
                <w:sz w:val="16"/>
              </w:rPr>
              <w:t xml:space="preserve">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576,051</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681,552</w:t>
            </w:r>
          </w:p>
        </w:tc>
      </w:tr>
    </w:tbl>
    <w:p>
      <w:pPr>
        <w:pStyle w:val="TextBody"/>
        <w:bidi w:val="0"/>
        <w:spacing w:before="1" w:after="0"/>
        <w:ind w:left="0" w:right="0" w:hanging="0"/>
        <w:jc w:val="left"/>
        <w:rPr/>
      </w:pPr>
      <w:r>
        <w:rPr/>
        <w:t>​</w:t>
      </w:r>
    </w:p>
    <w:tbl>
      <w:tblPr>
        <w:tblW w:w="567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934085" cy="175260"/>
                      <wp:effectExtent l="0" t="0" r="0" b="0"/>
                      <wp:wrapNone/>
                      <wp:docPr id="55" name="Frame5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8" name="Frame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1295" cy="175260"/>
                      <wp:effectExtent l="0" t="0" r="0" b="0"/>
                      <wp:wrapNone/>
                      <wp:docPr id="60" name="Frame5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8490" cy="175260"/>
                      <wp:effectExtent l="0" t="0" r="0" b="0"/>
                      <wp:wrapNone/>
                      <wp:docPr id="61" name="Frame6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5460" cy="175260"/>
                      <wp:effectExtent l="0" t="0" r="0" b="0"/>
                      <wp:wrapNone/>
                      <wp:docPr id="64"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34,381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102,312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205,117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224,793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233,811</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238,693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473,309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565,798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34,072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41,620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182,079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266,774</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257,158</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257,404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473,309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565,798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Geography</w:t>
            </w:r>
            <w:r>
              <w:rPr>
                <w:rFonts w:ascii="Times New Roman;Times;serif" w:hAnsi="Times New Roman;Times;serif"/>
                <w:sz w:val="16"/>
              </w:rPr>
              <w:t xml:space="preserve">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473,309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565,798</w:t>
            </w:r>
          </w:p>
        </w:tc>
      </w:tr>
    </w:tbl>
    <w:p>
      <w:pPr>
        <w:pStyle w:val="TextBody"/>
        <w:bidi w:val="0"/>
        <w:spacing w:before="1" w:after="0"/>
        <w:ind w:left="0" w:right="0" w:hanging="0"/>
        <w:jc w:val="left"/>
        <w:rPr/>
      </w:pPr>
      <w:r>
        <w:rPr/>
        <w:t>​</w:t>
      </w:r>
    </w:p>
    <w:tbl>
      <w:tblPr>
        <w:tblW w:w="567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9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34085" cy="175260"/>
                      <wp:effectExtent l="0" t="0" r="0" b="0"/>
                      <wp:wrapNone/>
                      <wp:docPr id="65" name="Frame6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7"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38785" cy="175260"/>
                      <wp:effectExtent l="0" t="0" r="0" b="0"/>
                      <wp:wrapNone/>
                      <wp:docPr id="68" name="Frame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1295" cy="175260"/>
                      <wp:effectExtent l="0" t="0" r="0" b="0"/>
                      <wp:wrapNone/>
                      <wp:docPr id="70" name="Frame69"/>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8490" cy="175260"/>
                      <wp:effectExtent l="0" t="0" r="0" b="0"/>
                      <wp:wrapNone/>
                      <wp:docPr id="71" name="Frame70"/>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05460" cy="175260"/>
                      <wp:effectExtent l="0" t="0" r="0" b="0"/>
                      <wp:wrapNone/>
                      <wp:docPr id="74" name="Frame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6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35,582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99,112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199,040</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214,793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192,354</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196,190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31,162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37,028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159,935</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236,907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235,879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236,160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510,095</w:t>
            </w:r>
          </w:p>
        </w:tc>
      </w:tr>
    </w:tbl>
    <w:p>
      <w:pPr>
        <w:pStyle w:val="TextBody"/>
        <w:bidi w:val="0"/>
        <w:spacing w:before="1" w:after="0"/>
        <w:ind w:left="0" w:right="0" w:hanging="0"/>
        <w:jc w:val="left"/>
        <w:rPr/>
      </w:pPr>
      <w:r>
        <w:rPr/>
        <w:t>​</w:t>
      </w:r>
    </w:p>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may not add to the totals due to rounding.</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the portion of revenue related to small business programs paid by the end user/customer.</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from our foreign operations were not material for fiscal years 2025, 2024, and 2023.</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Fiscal Year 2025 Compared to Fiscal Year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w:t>
      </w:r>
      <w:r>
        <w:rPr>
          <w:rFonts w:ascii="Times New Roman;Times;serif" w:hAnsi="Times New Roman;Times;serif"/>
          <w:sz w:val="20"/>
          <w:shd w:fill="FFFFFF" w:val="clear"/>
        </w:rPr>
        <w:t>Consolidated contract revenue increased $115.8 million, or 20.5%, in fiscal year 2025 compared to fiscal year 2024, reflecting increased demand for our services in both our Energy segment and our Engineering and Consulting segment.</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Contract revenue in our Energy segment increased $102.7 million, or 21.7%, in fiscal year 2025 compared to fiscal year 2024, primarily as a result of higher construction management revenues, increased demand for energy efficiency and electrification services under utility programs, higher planning and advisory consulting revenues, and the incremental revenues from our acquisitions of Enica and APG.</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Contract revenue in our Engineering and Consulting segment increased $13.1 million, or 14.1%, in fiscal year 2025 compared to fiscal year 2024, primarily due to increased demand for services provided to our clients, combined with the incremental revenues from our acquisition of Alpha.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Direct costs of consolidated contract revenue increased $62.9 million, or 17.3%, in fiscal year 2025 compared to fiscal year 2024, primarily </w:t>
      </w:r>
      <w:r>
        <w:rPr>
          <w:rFonts w:ascii="Times New Roman;Times;serif" w:hAnsi="Times New Roman;Times;serif"/>
          <w:sz w:val="20"/>
          <w:shd w:fill="FFFFFF" w:val="clear"/>
        </w:rPr>
        <w:t xml:space="preserve">as a result of the increase, and change of mix, in contract revenues as described above. As a percentage of contract revenue, subcontractor services and other direct costs decreased to 46.5% in fiscal year 2025, from 47.6% in fiscal year 2024, and direct salaries and wages decreased to 16.0% in fiscal year 2025, from 16.5% in fiscal year 2024.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$57.0 million, or 17.8%, in fiscal year 2025 compared to fiscal year 2024. Direct costs of contract revenue in our Engineering and Consulting segment increased $5.9 million, or 14.0%, in fiscal year 2025 compared to fiscal year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Subcontractor services and other direct costs increased $47.3 million, or 17.6%, in fiscal year 2025 compared to fiscal year 2024, primarily </w:t>
      </w:r>
      <w:r>
        <w:rPr>
          <w:rFonts w:ascii="Times New Roman;Times;serif" w:hAnsi="Times New Roman;Times;serif"/>
          <w:sz w:val="20"/>
          <w:shd w:fill="FFFFFF" w:val="clear"/>
        </w:rPr>
        <w:t xml:space="preserve">due to the increase in construction management revenues and utility program revenues, which utilize a higher percentage of material cost and installation subcontracting. </w:t>
      </w:r>
      <w:r>
        <w:rPr>
          <w:rFonts w:ascii="Times New Roman;Times;serif" w:hAnsi="Times New Roman;Times;serif"/>
          <w:sz w:val="20"/>
        </w:rPr>
        <w:t xml:space="preserve">Salaries and wages increased by $15.6 million, or 16.6%, in fiscal year 2025 compared to fiscal year 2024, primarily as a result of the increases in contract revenue as described above.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26.1% to $255.7 million, or a 37.5% gross margin, for fiscal year 2025 compared to $202.8 million, or a 35.8% gross margin for fiscal year 2024. The increase in gross margin was primarily driven by changes in the mix of revenues as described above.</w:t>
      </w:r>
    </w:p>
    <w:p>
      <w:pPr>
        <w:pStyle w:val="TextBody"/>
        <w:bidi w:val="0"/>
        <w:spacing w:before="100" w:after="10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by $40.1 million, or 23.4%, in fiscal year 2025 compared to fiscal year 2024. G&amp;A expenses consisted of an increase of $30.3 million in the Energy segment combined with an increase of $3.8 million in the Engineering and Consulting segment, and the remaining increase in unallocated corporate expenses.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overall increase in G&amp;A expenses consisted of an increase of $20.4 million in salaries and wages, payroll taxes and employee benefits, an increase of $11.4 million in other general and administrative expenses, the increase of $4.4 million in stock-based compensation, and an increase of $3.9 million in depreciation and amortization. The increase in salaries and wages, payroll taxes and employee benefits was primarily due to increased staffing from acquisitions, an increase in incentive compensation to support revenue growth consistent with the improvement in operating profit, and higher fringe benefit costs consistent with the growth in direct and indirect labor costs. </w:t>
      </w:r>
      <w:r>
        <w:rPr>
          <w:rFonts w:ascii="Times New Roman;Times;serif" w:hAnsi="Times New Roman;Times;serif"/>
          <w:sz w:val="20"/>
          <w:shd w:fill="FFFFFF" w:val="clear"/>
        </w:rPr>
        <w:t>The increase in other general and administrative expenses was primarily due to increased professional service fees and computer-related expenses. The increase in stock-based compensation expenses was primarily related to new stock grants to current employees, executives and Board of Directors at a higher stock price. The increase in depreciation and amortization was primarily related to higher amortization of intangible assets from recent acquisitions.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40.8% to $44.1 million for fiscal year 2025, compared to an operating income of $31.4 million for fiscal year 2024, as a result of the factors noted above.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left"/>
        <w:rPr/>
      </w:pPr>
      <w:r>
        <w:rPr>
          <w:color w:val="212529"/>
          <w:shd w:fill="FFFFFF" w:val="clear"/>
        </w:rPr>
        <w:t> </w:t>
      </w:r>
      <w:r>
        <w:rPr>
          <w:rFonts w:ascii="Times New Roman;Times;serif" w:hAnsi="Times New Roman;Times;serif"/>
          <w:i/>
          <w:sz w:val="20"/>
        </w:rPr>
        <w:t>Total other expense, net</w:t>
      </w:r>
      <w:r>
        <w:rPr>
          <w:rFonts w:ascii="Times New Roman;Times;serif" w:hAnsi="Times New Roman;Times;serif"/>
          <w:sz w:val="20"/>
        </w:rPr>
        <w:t xml:space="preserve">. Total other expense, net, decreased $0.5 million, or 11.1%, in fiscal year 2025 compared to fiscal year 2024. The decrease in total other expense, net is primarily due to </w:t>
      </w:r>
      <w:r>
        <w:rPr>
          <w:rFonts w:ascii="Times New Roman;Times;serif" w:hAnsi="Times New Roman;Times;serif"/>
          <w:sz w:val="20"/>
          <w:shd w:fill="FFFFFF" w:val="clear"/>
        </w:rPr>
        <w:t>lower interest expense resulting from the reduced interest rate spread derived from lower debt leverage levels under our credit facilities combined with interest income from interest of our cash balances being partially offset by a one-time charge for unamortized debt issuance costs related to our prior credit facilities and a one-time charge related to a facilities lease modifications.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 </w:t>
      </w:r>
      <w:r>
        <w:rPr>
          <w:rFonts w:ascii="Times New Roman;Times;serif" w:hAnsi="Times New Roman;Times;serif"/>
          <w:sz w:val="20"/>
          <w:shd w:fill="FFFFFF" w:val="clear"/>
        </w:rPr>
        <w:t>tax benefit of $12.6 million</w:t>
      </w:r>
      <w:r>
        <w:rPr>
          <w:rFonts w:ascii="Times New Roman;Times;serif" w:hAnsi="Times New Roman;Times;serif"/>
          <w:sz w:val="20"/>
        </w:rPr>
        <w:t xml:space="preserve"> for fiscal year 2025, </w:t>
      </w:r>
      <w:r>
        <w:rPr>
          <w:rFonts w:ascii="Times New Roman;Times;serif" w:hAnsi="Times New Roman;Times;serif"/>
          <w:sz w:val="20"/>
          <w:shd w:fill="FFFFFF" w:val="clear"/>
        </w:rPr>
        <w:t xml:space="preserve">an effective tax benefit rate of 31.4% on income before income tax expense, </w:t>
      </w:r>
      <w:r>
        <w:rPr>
          <w:rFonts w:ascii="Times New Roman;Times;serif" w:hAnsi="Times New Roman;Times;serif"/>
          <w:sz w:val="20"/>
        </w:rPr>
        <w:t xml:space="preserve">compared to a tax expense of $4.1 million for fiscal year 2024, </w:t>
      </w:r>
      <w:r>
        <w:rPr>
          <w:rFonts w:ascii="Times New Roman;Times;serif" w:hAnsi="Times New Roman;Times;serif"/>
          <w:sz w:val="20"/>
          <w:shd w:fill="FFFFFF" w:val="clear"/>
        </w:rPr>
        <w:t>an effective tax rate of 15.4% on income before tax expense. The reduction in the effective tax rate resulted from increases in discrete items related to stock compensation deductions and additional energy-efficiency building deductions.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shd w:fill="FFFFFF" w:val="clear"/>
        </w:rPr>
        <w:t>. Our net income was $52.6 million for fiscal year 2025, as compared to a net income of $22.6 million for fiscal year 2024. The increase in net income was primarily attributable to the increase in income from operations combined with a lower effective tax rate.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Fiscal Year 2024 Compared to Fiscal Year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Contract revenue.</w:t>
      </w:r>
      <w:r>
        <w:rPr>
          <w:rFonts w:ascii="Times New Roman;Times;serif" w:hAnsi="Times New Roman;Times;serif"/>
          <w:sz w:val="20"/>
        </w:rPr>
        <w:t xml:space="preserve"> Consolidated contract revenue increased $55.7 million, or 10.9%, in fiscal year 2024 compared to fiscal year 2023, </w:t>
      </w:r>
      <w:r>
        <w:rPr>
          <w:rFonts w:ascii="Times New Roman;Times;serif" w:hAnsi="Times New Roman;Times;serif"/>
          <w:sz w:val="20"/>
          <w:shd w:fill="FFFFFF" w:val="clear"/>
        </w:rPr>
        <w:t>due to incremental revenues in both our Energy segment and in our Engineering and Consulting segment.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Contract revenue in our Energy segment increased $46.3 million, or 10.9%, in fiscal year 2024 compared to fiscal year 2023, </w:t>
      </w:r>
      <w:r>
        <w:rPr>
          <w:rFonts w:ascii="Times New Roman;Times;serif" w:hAnsi="Times New Roman;Times;serif"/>
          <w:sz w:val="20"/>
        </w:rPr>
        <w:t xml:space="preserve">primarily as a result of higher construction management revenues for government clients and increased demand for energy efficiency and electrification services under utility programs. </w:t>
      </w:r>
      <w:r>
        <w:rPr>
          <w:rFonts w:ascii="Times New Roman;Times;serif" w:hAnsi="Times New Roman;Times;serif"/>
          <w:sz w:val="20"/>
          <w:shd w:fill="FFFFFF" w:val="clear"/>
        </w:rPr>
        <w:t>Contract revenue in our Engineering and Consulting segment increased $9.4 million, or 11.3%, in fiscal year 2024 compared to fiscal year 2023, primarily due to increased demand for services provided to our clients.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Direct costs of contract revenue.</w:t>
      </w:r>
      <w:r>
        <w:rPr>
          <w:rFonts w:ascii="Times New Roman;Times;serif" w:hAnsi="Times New Roman;Times;serif"/>
          <w:sz w:val="20"/>
        </w:rPr>
        <w:t xml:space="preserve"> Direct costs of consolidated contract revenue increased $32.7 million, or 9.9%, in fiscal year 2024 compared to fiscal year 2023, primarily </w:t>
      </w:r>
      <w:r>
        <w:rPr>
          <w:rFonts w:ascii="Times New Roman;Times;serif" w:hAnsi="Times New Roman;Times;serif"/>
          <w:sz w:val="20"/>
          <w:shd w:fill="FFFFFF" w:val="clear"/>
        </w:rPr>
        <w:t>as a result of the increase, and change of mix, in contract revenues as described above. As a percentage of contract revenue, direct salaries and wages decreased to 16.5% in fiscal year 2024, from 17.6% in fiscal year 2023, while subcontractor services and other direct costs increased to 47.6% in fiscal year 2024, from 47.1% in fiscal year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in our Energy segment increased $30.2 million, or 10.4%, in fiscal year 2024 compared to fiscal year 2023. Direct costs of contract revenue in our Engineering and Consulting segment increased $2.5 million, or 6.4%, in fiscal year 2024 compared to fiscal year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Subcontractor services and other direct costs increased $29.1 million, or 12.1%, in fiscal year 2024 compared to fiscal year 2023, primarily due to the increase in construction management revenues, which utilize a higher percentage of material cost and installation subcontracting. Salaries and wages increased by $3.6 million, or 4.0%, in fiscal year 2024 compared to fiscal year 2023, primarily as a result of the increases in contract revenue as described above.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increased 12.8% to $202.8 million, or a 35.8% gross margin, for fiscal year 2024 compared to $179.8 million, or a 35.2% gross margin for fiscal year 2023. The increase in gross margin was primarily driven by changes in the mix of revenues as described above.</w:t>
      </w:r>
    </w:p>
    <w:p>
      <w:pPr>
        <w:pStyle w:val="TextBody"/>
        <w:bidi w:val="0"/>
        <w:spacing w:before="100" w:after="10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(“G&amp;A”) expenses increased by $13.7 million, or 8.7%, in fiscal year 2024 compared to fiscal year 2023. G&amp;A expenses consisted of an increase of $7.4 million in the Energy segment combined with an increase of $4.2 million in the Engineering and Consulting segment, and an increase of $2.1 million in unallocated corporate expenses.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Within G&amp;A expenses, the increase of $9.8 million in salaries and wages, payroll taxes and employee benefits, combined with the increase of $3.4 million in other general and administrative expenses, and the increase of $2.1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stock-based compensation was partially offset by a decrease of $1.7 million in depreciation and amortization. The increase in salaries and wages, payroll taxes and employee benefits was primarily due to an increase in incentive compensation, consistent with the improvement in operating profit, and higher fringe benefit costs, combined with increases in employee headcount. The increase in other general and administrative expenses was primarily due to increased professional service fees and computer-related expenses. The increase in stock-based compensation expenses was primarily related to new stock grants to current employees and executives at a higher stock price. The decrease in depreciation and amortization was primarily related to lower amortization of intangible assets from acquisitions prior to fiscal year 2024.</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i/>
          <w:sz w:val="20"/>
        </w:rPr>
        <w:t>Income (loss) from operations</w:t>
      </w:r>
      <w:r>
        <w:rPr>
          <w:rFonts w:ascii="Times New Roman;Times;serif" w:hAnsi="Times New Roman;Times;serif"/>
          <w:sz w:val="20"/>
        </w:rPr>
        <w:t xml:space="preserve">. Operating income increased 42.0% to $31.4 million for fiscal year 2024, compared to an operating income of $22.1 million for fiscal year 2023, as a result of the factors noted above. </w:t>
      </w:r>
    </w:p>
    <w:p>
      <w:pPr>
        <w:pStyle w:val="TextBody"/>
        <w:bidi w:val="0"/>
        <w:spacing w:before="0" w:after="200"/>
        <w:ind w:left="0" w:right="0" w:firstLine="720"/>
        <w:jc w:val="left"/>
        <w:rPr/>
      </w:pPr>
      <w:r>
        <w:rPr>
          <w:color w:val="212529"/>
          <w:shd w:fill="FFFFFF" w:val="clear"/>
        </w:rPr>
        <w:t> </w:t>
      </w:r>
      <w:r>
        <w:rPr>
          <w:rFonts w:ascii="Times New Roman;Times;serif" w:hAnsi="Times New Roman;Times;serif"/>
          <w:i/>
          <w:sz w:val="20"/>
        </w:rPr>
        <w:t>Total other expense, net</w:t>
      </w:r>
      <w:r>
        <w:rPr>
          <w:rFonts w:ascii="Times New Roman;Times;serif" w:hAnsi="Times New Roman;Times;serif"/>
          <w:sz w:val="20"/>
        </w:rPr>
        <w:t>. Total other expense, net, decreased $2.8 million, or 37.5%, in fiscal year 2024 compared to fiscal year 2023. The decrease in total other expense, net is primarily due to lower interest expense resulting from the reduced interest rate spread derived from lower debt leverage levels under our Credit Facilities, combined with increased income from interest as a result of our higher cash balances.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i/>
          <w:sz w:val="20"/>
        </w:rPr>
        <w:t>Income tax expense (benefit)</w:t>
      </w:r>
      <w:r>
        <w:rPr>
          <w:rFonts w:ascii="Times New Roman;Times;serif" w:hAnsi="Times New Roman;Times;serif"/>
          <w:sz w:val="20"/>
        </w:rPr>
        <w:t xml:space="preserve">. We recorded an income tax expense of $4.1 million for fiscal year 2024, compared to a tax expense of $3.7 million for fiscal year 2023. </w:t>
      </w:r>
      <w:r>
        <w:rPr>
          <w:rFonts w:ascii="Times New Roman;Times;serif" w:hAnsi="Times New Roman;Times;serif"/>
          <w:sz w:val="20"/>
          <w:shd w:fill="FFFFFF" w:val="clear"/>
        </w:rPr>
        <w:t>The tax expense is primarily attributable to the income before income tax combined with increases in discrete items related to stock compensation and additional energy efficiency building deductions. Compared to prior year, the lower effective tax rate in fiscal year 2024 resulted from increased deductions for energy efficiency building deductions.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Net income (loss)</w:t>
      </w:r>
      <w:r>
        <w:rPr>
          <w:rFonts w:ascii="Times New Roman;Times;serif" w:hAnsi="Times New Roman;Times;serif"/>
          <w:sz w:val="20"/>
          <w:shd w:fill="FFFFFF" w:val="clear"/>
        </w:rPr>
        <w:t>. Our net income was $22.6 million for fiscal year 2024, as compared to a net income of $10.9 million for fiscal year 2023. The increase in net income was primarily attributable to the increase in income from operations combined with the decrease in total other expense and lower effective tax rate.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tbl>
      <w:tblPr>
        <w:tblW w:w="7714" w:type="dxa"/>
        <w:jc w:val="left"/>
        <w:tblInd w:w="0" w:type="dxa"/>
        <w:tblLayout w:type="fixed"/>
        <w:tblCellMar>
          <w:top w:w="0" w:type="dxa"/>
          <w:left w:w="0" w:type="dxa"/>
          <w:bottom w:w="0" w:type="dxa"/>
          <w:right w:w="0" w:type="dxa"/>
        </w:tblCellMar>
      </w:tblPr>
      <w:tblGrid>
        <w:gridCol w:w="4321"/>
        <w:gridCol w:w="109"/>
        <w:gridCol w:w="211"/>
        <w:gridCol w:w="796"/>
        <w:gridCol w:w="109"/>
        <w:gridCol w:w="211"/>
        <w:gridCol w:w="796"/>
        <w:gridCol w:w="109"/>
        <w:gridCol w:w="211"/>
        <w:gridCol w:w="8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743835" cy="175260"/>
                      <wp:effectExtent l="0" t="0" r="0" b="0"/>
                      <wp:wrapNone/>
                      <wp:docPr id="75" name="Frame74"/>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05460" cy="175260"/>
                      <wp:effectExtent l="0" t="0" r="0" b="0"/>
                      <wp:wrapNone/>
                      <wp:docPr id="78" name="Frame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05460" cy="175260"/>
                      <wp:effectExtent l="0" t="0" r="0" b="0"/>
                      <wp:wrapNone/>
                      <wp:docPr id="81" name="Frame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34035" cy="175260"/>
                      <wp:effectExtent l="0" t="0" r="0" b="0"/>
                      <wp:wrapNone/>
                      <wp:docPr id="84" name="Frame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71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4" w:type="dxa"/>
            <w:gridSpan w:val="8"/>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39,214</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(11,457)</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(42,691)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3,912</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Sources of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primary sources of liquidity for the next 12 months and beyond are </w:t>
      </w:r>
      <w:r>
        <w:rPr>
          <w:rFonts w:ascii="Times New Roman;Times;serif" w:hAnsi="Times New Roman;Times;serif"/>
          <w:sz w:val="20"/>
          <w:shd w:fill="FFFFFF" w:val="clear"/>
        </w:rPr>
        <w:t xml:space="preserve">cash generated from operations, </w:t>
      </w:r>
      <w:r>
        <w:rPr>
          <w:rFonts w:ascii="Times New Roman;Times;serif" w:hAnsi="Times New Roman;Times;serif"/>
          <w:sz w:val="20"/>
        </w:rPr>
        <w:t xml:space="preserve">cash and cash equivalents, and available borrowings under our </w:t>
      </w:r>
      <w:r>
        <w:rPr>
          <w:rFonts w:ascii="Times New Roman;Times;serif" w:hAnsi="Times New Roman;Times;serif"/>
          <w:sz w:val="20"/>
          <w:shd w:fill="FFFFFF" w:val="clear"/>
        </w:rPr>
        <w:t>Revolving Credit Facility and Delayed Draw Term Loan under the Credit Agreement (the “Credit Facilities”)</w:t>
      </w:r>
      <w:r>
        <w:rPr>
          <w:rFonts w:ascii="Times New Roman;Times;serif" w:hAnsi="Times New Roman;Times;serif"/>
          <w:sz w:val="20"/>
        </w:rPr>
        <w:t xml:space="preserve">. We believe that these sources will be sufficient to finance our operating activities for at least the next 12 months. </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As of January 2, 2026, we had a fully drawn $50.0 million term loan with $48.8 million outstanding, a $100.0 million Revolving Credit Facility with no borrowed amounts and $1.6 million in letters of credit issued, and a $50.0 million Delayed Draw Term Loan which has not been drawn on. The Delayed Draw Term Loan must be drawn before May 2027. The Credit Facilities are each scheduled to mature on May 5, 2030. In addition to the Credit Facilities, as of January 2, 2026, we had $65.9 million of unrestricted cash and cash equivalents.</w:t>
      </w:r>
    </w:p>
    <w:p>
      <w:pPr>
        <w:pStyle w:val="TextBody"/>
        <w:bidi w:val="0"/>
        <w:spacing w:before="0" w:after="0"/>
        <w:ind w:left="0" w:right="0" w:hanging="0"/>
        <w:jc w:val="left"/>
        <w:rPr/>
      </w:pPr>
      <w:r>
        <w:rPr>
          <w:caps w:val="false"/>
          <w:smallCaps w:val="false"/>
          <w:shd w:fill="FFFFFF" w:val="clear"/>
        </w:rPr>
        <w:t> </w:t>
      </w:r>
      <w:r>
        <w:rPr>
          <w:rFonts w:ascii="Times New Roman;Times;serif" w:hAnsi="Times New Roman;Times;serif"/>
          <w:sz w:val="20"/>
          <w:shd w:fill="FFFFFF" w:val="clear"/>
        </w:rPr>
        <w:t>As of January 2, 2026, we were in compliance with the covenants contained in the Credit Agreement and unhedged b</w:t>
      </w:r>
      <w:r>
        <w:rPr>
          <w:rFonts w:ascii="Times New Roman;Times;serif" w:hAnsi="Times New Roman;Times;serif"/>
          <w:sz w:val="20"/>
        </w:rPr>
        <w:t>orrowings under our Credit Facilities, exclusive of the effects of upfront fees, undrawn fees and issuance cost amortization, bore interest at an annual rate of 5.3%. See Part II, Item 8, Note 5, “</w:t>
      </w:r>
      <w:r>
        <w:rPr>
          <w:rFonts w:ascii="Times New Roman;Times;serif" w:hAnsi="Times New Roman;Times;serif"/>
          <w:i/>
          <w:sz w:val="20"/>
        </w:rPr>
        <w:t>Debt Obligations”</w:t>
      </w:r>
      <w:r>
        <w:rPr>
          <w:rFonts w:ascii="Times New Roman;Times;serif" w:hAnsi="Times New Roman;Times;serif"/>
          <w:sz w:val="20"/>
        </w:rPr>
        <w:t xml:space="preserve">, of the Notes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Consolidated Financial Statements included in this Annual Report on Form 10-K, for information regarding our indebtedness, including information about new borrowings and repayments, principal repayment terms, interest rates, covenants, and other key terms of our outstanding indebtedness.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provided by operating activities were $80.1 million, $72.1 million, and $39.2 million for fiscal years 2025, 2024, and 2023, respectively. Cash flows from operating activities primarily consists of net income, adjusted for non-cash charges, such as depreciation and amortization and stock-based compensation, plus or minus changes in current operating assets and liabilities. </w:t>
      </w:r>
      <w:r>
        <w:rPr>
          <w:rFonts w:ascii="Times New Roman;Times;serif" w:hAnsi="Times New Roman;Times;serif"/>
          <w:sz w:val="20"/>
          <w:shd w:fill="FFFFFF" w:val="clear"/>
        </w:rPr>
        <w:t>Cash flows provided by operating activities for fiscal year 2025 resulted primarily from the increase in earnings supplemented by lower working capital requirements to support the expansion and changing mix of revenue. C</w:t>
      </w:r>
      <w:r>
        <w:rPr>
          <w:rFonts w:ascii="Times New Roman;Times;serif" w:hAnsi="Times New Roman;Times;serif"/>
          <w:sz w:val="20"/>
        </w:rPr>
        <w:t>ash flows provided by operating activities for fiscal year 2024</w:t>
      </w:r>
      <w:r>
        <w:rPr>
          <w:rFonts w:ascii="Times New Roman;Times;serif" w:hAnsi="Times New Roman;Times;serif"/>
          <w:sz w:val="20"/>
          <w:shd w:fill="FFFFFF" w:val="clear"/>
        </w:rPr>
        <w:t xml:space="preserve"> resulted primarily from the increase in earnings, and lower working capital requirements resulting from more robust billing and payment terms and the timing of collections at the end of the fiscal year. </w:t>
      </w:r>
      <w:r>
        <w:rPr>
          <w:rFonts w:ascii="Times New Roman;Times;serif" w:hAnsi="Times New Roman;Times;serif"/>
          <w:sz w:val="20"/>
        </w:rPr>
        <w:t>Cash flows provided by operating activities for fiscal year 2023</w:t>
      </w:r>
      <w:r>
        <w:rPr>
          <w:rFonts w:ascii="Times New Roman;Times;serif" w:hAnsi="Times New Roman;Times;serif"/>
          <w:sz w:val="20"/>
          <w:shd w:fill="FFFFFF" w:val="clear"/>
        </w:rPr>
        <w:t xml:space="preserve"> resulted primarily from the increase in earnings, combined with lower working capital requirements</w:t>
      </w:r>
      <w:r>
        <w:rPr>
          <w:rFonts w:ascii="Times New Roman;Times;serif" w:hAnsi="Times New Roman;Times;serif"/>
          <w:sz w:val="20"/>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flows used in investing activities were $45.6 million, $15.7 million, and $11.5 million for fiscal years 2025, 2024, and 2023, respectively. Cash flows used in investing activities for fiscal year 2025 w</w:t>
      </w:r>
      <w:r>
        <w:rPr>
          <w:rFonts w:ascii="Times New Roman;Times;serif" w:hAnsi="Times New Roman;Times;serif"/>
          <w:sz w:val="20"/>
          <w:shd w:fill="FFFFFF" w:val="clear"/>
        </w:rPr>
        <w:t>ere primarily due to cash paid for acquisitions, combined with cash paid for the internal development of proprietary software and the purchase of computers and equipment</w:t>
      </w:r>
      <w:r>
        <w:rPr>
          <w:rFonts w:ascii="Times New Roman;Times;serif" w:hAnsi="Times New Roman;Times;serif"/>
          <w:sz w:val="20"/>
        </w:rPr>
        <w:t xml:space="preserve">. Cash flows used in investing activities for fiscal year 2024 were primarily due to cash paid for an acquisition, combined with cash paid for the internal development of proprietary software and the purchase of computers and equipment. Cash flows used in investing activities for fiscal year 2023 were primarily due to cash paid for the development of proprietary software and the purchase of computers and other equipment.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Cash flows used in financing activities were $42.7 million, $5.6 million and $23.8 million for fiscal years 2025, 2024 and 2023, respectively. Cash flows used in financing activities for fiscal year 2025 were primarily attributable to </w:t>
      </w:r>
      <w:r>
        <w:rPr>
          <w:rFonts w:ascii="Times New Roman;Times;serif" w:hAnsi="Times New Roman;Times;serif"/>
          <w:sz w:val="20"/>
          <w:shd w:fill="FFFFFF" w:val="clear"/>
        </w:rPr>
        <w:t xml:space="preserve">the $39.7 million cash used to pay down our Revolving Credit Facility, $5.5 million cash used to pay withholding taxes on stock grants, $1.5 million principal payments on finance leases, partially offset by </w:t>
      </w:r>
      <w:r>
        <w:rPr>
          <w:rFonts w:ascii="Times New Roman;Times;serif" w:hAnsi="Times New Roman;Times;serif"/>
          <w:sz w:val="20"/>
        </w:rPr>
        <w:t xml:space="preserve">$3.2 million of proceeds from sales of common stock under employee stock purchase plan and $2.8 million in proceeds from stock option exercises. Cash flows used in financing activities for fiscal year 2024 were primarily attributable to the repayments of $8.1 million under our Term Loan, $1.4 million principal payments on finance leases, and $1.4 million cash used to pay withholding taxes on stock grants, partially offset by $2.8 million of proceeds from sales of common stock under employee stock purchase plan and $2.8 million in proceeds from stock option exercises. Cash flows used in financing activities for fiscal year 2023 were primarily attributable to the disbursement of $10.7 million in restricted cash for utility rebate incentives, payments of $4.0 million for contingent consideration related to prior acquisitions, combined with principal reductions of $7.9 million under our term loan facility and line of credit, which resulted primarily from refinancing our Prior Credit Facility.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we periodically receive cash deposits to be held in trust for the payment of energy incentive rebates to be sent directly to the utility’s end-customer on behalf of the utility. We act solely as the utility’s agent to distribute these funds to the end-customer and, accordingly, we classify these contractually restricted funds as restricted cash. Because these funds are held in trust for pass through to the utility’s customers and have no impact on our working capital or operating cash flows, these cash receipts are presented in the consolidated statement of cash flows as financing cash inflows, “Receipt of restricted cash”, with the subsequent payments classified as financing cash outflows, “Payment of restricted cash.”</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Off-Balance Sheet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have any off-balance sheet financing arrangements or liabilities. In addition, our policy is not to enter into futures or forward contracts. Finally, we do not have any majority-owned subsidiaries or any interests in,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relationships with, any special-purpose entities that are not included in the consolidated financial statements. We have, however, an administrative services agreement with Genesys in which we provide Genesys with ongoing administrative, operational and other non-professional support services. We manage Genesys and have the power to direct the activities that most significantly impact Genesys’ performance, in addition to being obligated to absorb expected losses from Genesys. Accordingly, we are the primary beneficiary of Genesys and consolidate Genesys as a variable interest entity.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Short and Long-term Uses of Cash</w:t>
      </w:r>
    </w:p>
    <w:p>
      <w:pPr>
        <w:pStyle w:val="TextBody"/>
        <w:pBdr/>
        <w:bidi w:val="0"/>
        <w:spacing w:before="0" w:after="160"/>
        <w:ind w:left="360" w:right="0" w:hanging="72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 xml:space="preserve">Our principal uses of cash are to fund operating expenses, support working capital requirements, finance capital expenditures, and pay down outstanding debt. From time to time, we also use cash to help fund business acquisitions. </w:t>
      </w:r>
      <w:r>
        <w:rPr>
          <w:rFonts w:ascii="Times New Roman;Times;serif" w:hAnsi="Times New Roman;Times;serif"/>
          <w:sz w:val="20"/>
          <w:shd w:fill="FFFFFF" w:val="clear"/>
        </w:rPr>
        <w:t>Our cash and cash equivalents are impacted by the timing of when we are paid by our customers for services rendered and when we pay expenses as reflected in the change in our outstanding accounts payable and accrued expenses.</w:t>
      </w:r>
    </w:p>
    <w:p>
      <w:pPr>
        <w:pStyle w:val="TextBody"/>
        <w:bidi w:val="0"/>
        <w:spacing w:before="0" w:after="160"/>
        <w:ind w:left="0" w:right="0" w:firstLine="360"/>
        <w:jc w:val="left"/>
        <w:rPr>
          <w:rFonts w:ascii="Times New Roman;Times;serif" w:hAnsi="Times New Roman;Times;serif"/>
          <w:i/>
          <w:sz w:val="20"/>
        </w:rPr>
      </w:pPr>
      <w:r>
        <w:rPr>
          <w:rFonts w:ascii="Times New Roman;Times;serif" w:hAnsi="Times New Roman;Times;serif"/>
          <w:i/>
          <w:sz w:val="20"/>
        </w:rPr>
        <w:t>Contractual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known contractual obligations as of January 2, 2026:</w:t>
      </w:r>
    </w:p>
    <w:tbl>
      <w:tblPr>
        <w:tblW w:w="10146" w:type="dxa"/>
        <w:jc w:val="left"/>
        <w:tblInd w:w="0" w:type="dxa"/>
        <w:tblLayout w:type="fixed"/>
        <w:tblCellMar>
          <w:top w:w="0" w:type="dxa"/>
          <w:left w:w="0" w:type="dxa"/>
          <w:bottom w:w="0" w:type="dxa"/>
          <w:right w:w="0" w:type="dxa"/>
        </w:tblCellMar>
      </w:tblPr>
      <w:tblGrid>
        <w:gridCol w:w="3436"/>
        <w:gridCol w:w="346"/>
        <w:gridCol w:w="211"/>
        <w:gridCol w:w="676"/>
        <w:gridCol w:w="346"/>
        <w:gridCol w:w="214"/>
        <w:gridCol w:w="687"/>
        <w:gridCol w:w="346"/>
        <w:gridCol w:w="239"/>
        <w:gridCol w:w="766"/>
        <w:gridCol w:w="346"/>
        <w:gridCol w:w="239"/>
        <w:gridCol w:w="766"/>
        <w:gridCol w:w="346"/>
        <w:gridCol w:w="267"/>
        <w:gridCol w:w="724"/>
        <w:gridCol w:w="19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81860" cy="175260"/>
                      <wp:effectExtent l="0" t="0" r="0" b="0"/>
                      <wp:wrapNone/>
                      <wp:docPr id="85" name="Frame84"/>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29260" cy="175260"/>
                      <wp:effectExtent l="0" t="0" r="0" b="0"/>
                      <wp:wrapNone/>
                      <wp:docPr id="88"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5890" cy="175260"/>
                      <wp:effectExtent l="0" t="0" r="0" b="0"/>
                      <wp:wrapNone/>
                      <wp:docPr id="90" name="Frame8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36245" cy="175260"/>
                      <wp:effectExtent l="0" t="0" r="0" b="0"/>
                      <wp:wrapNone/>
                      <wp:docPr id="91" name="Frame90"/>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1765" cy="175260"/>
                      <wp:effectExtent l="0" t="0" r="0" b="0"/>
                      <wp:wrapNone/>
                      <wp:docPr id="93" name="Frame9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86410" cy="175260"/>
                      <wp:effectExtent l="0" t="0" r="0" b="0"/>
                      <wp:wrapNone/>
                      <wp:docPr id="94" name="Frame9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51765" cy="175260"/>
                      <wp:effectExtent l="0" t="0" r="0" b="0"/>
                      <wp:wrapNone/>
                      <wp:docPr id="96" name="Frame9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86410" cy="175260"/>
                      <wp:effectExtent l="0" t="0" r="0" b="0"/>
                      <wp:wrapNone/>
                      <wp:docPr id="97" name="Frame9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69545" cy="175260"/>
                      <wp:effectExtent l="0" t="0" r="0" b="0"/>
                      <wp:wrapNone/>
                      <wp:docPr id="99" name="Frame98"/>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59740" cy="175260"/>
                      <wp:effectExtent l="0" t="0" r="0" b="0"/>
                      <wp:wrapNone/>
                      <wp:docPr id="100" name="Frame99"/>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1285" cy="175260"/>
                      <wp:effectExtent l="0" t="0" r="0" b="0"/>
                      <wp:wrapNone/>
                      <wp:docPr id="101" name="Frame10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Less than</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9"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More than</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Year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1 - 3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3 - 5 Years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 Years</w:t>
            </w:r>
          </w:p>
        </w:tc>
        <w:tc>
          <w:tcPr>
            <w:tcW w:w="191" w:type="dxa"/>
            <w:tcBorders/>
            <w:vAlign w:val="center"/>
          </w:tcPr>
          <w:p>
            <w:pPr>
              <w:pStyle w:val="TableContents"/>
              <w:bidi w:val="0"/>
              <w:spacing w:before="0" w:after="0"/>
              <w:ind w:left="0" w:right="0" w:hanging="0"/>
              <w:jc w:val="center"/>
              <w:rPr/>
            </w:pPr>
            <w:r>
              <w:rPr/>
              <w:t> </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173" w:type="dxa"/>
            <w:gridSpan w:val="14"/>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Debt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41,105</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payments on debt outstanding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10,450</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righ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contractual cash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79,731</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3,942</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 xml:space="preserve">Debt includes $48.5 million outstanding </w:t>
            </w:r>
            <w:r>
              <w:rPr>
                <w:rFonts w:ascii="Times New Roman;Times;serif" w:hAnsi="Times New Roman;Times;serif"/>
                <w:b w:val="false"/>
                <w:i w:val="false"/>
                <w:caps w:val="false"/>
                <w:smallCaps w:val="false"/>
                <w:sz w:val="18"/>
                <w:shd w:fill="FFFFFF" w:val="clear"/>
              </w:rPr>
              <w:t>on our Term Loan A (“TLA”), net of issuance costs, no borrowed amounts outstanding on our Revolving Credit Facility, and no borrowed amounts outstanding on our Delayed Draw Term Loan as of January 2, 2026. We have assumed no future borrowings or repayments after January 2, 2026 (other than at maturity) for purposes of this table. Our TLA and Revolving Credit Facility are scheduled to mature on May 5, 2030.</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shd w:fill="FFFFFF" w:val="clear"/>
              </w:rPr>
            </w:pPr>
            <w:r>
              <w:rPr>
                <w:rFonts w:ascii="Times New Roman;Times;serif" w:hAnsi="Times New Roman;Times;serif"/>
                <w:b w:val="false"/>
                <w:i w:val="false"/>
                <w:caps w:val="false"/>
                <w:smallCaps w:val="false"/>
                <w:sz w:val="18"/>
                <w:shd w:fill="FFFFFF" w:val="clear"/>
              </w:rPr>
              <w:t>Borrowings under our TLA and Revolving Credit Facility bear interest at a variable rate. Future interest payments on our Credit Facility are estimated using floating rates in effect as of January 2, 2026.</w:t>
            </w:r>
          </w:p>
        </w:tc>
      </w:tr>
    </w:tbl>
    <w:p>
      <w:pPr>
        <w:pStyle w:val="TextBody"/>
        <w:bidi w:val="0"/>
        <w:spacing w:before="0" w:after="0"/>
        <w:ind w:left="36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contingent obligations to make earnout payments in connection with our acquisitions of Enica Engineering, PLLC. (“Enica”), Alternative Power Generation, Inc. (“APG”) and Compass Municipal Advisors, LLC. (“Compass”), subject to their future financial performance. We are obligated to pay up to $6.0 million in cash if Enica exceeds certain financial targets during the two years after the Enica closing date of October 23, 2024. We are obligated to pay up to $18.0 million in cash if APG exceeds certain financial targets during the three years after the APG closing date of March 3, 2025. We are obligated to pay up to $1.0 million in cash if Compass exceeds certain financial targets during the one year after the Compass closing date of January 2, 2026. As of January 2, 2026, we had contingent consideration payable of $20.4 million related to the acquisitions of Enica, APG, and Compass. Through the twelve months ended January 2, 2026, our statement of operations includes $3.2 million of interest accretion (excluding fair value adjustments) related to the contingent consideration.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Outstanding Indebtedness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this Annual Report on Form 10-K for information regarding our indebtedness, including information about new borrowings and repayments, principal repayment terms, interest rates, covenants, and other key terms of our outstanding indebtedness.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Insurance Premiums</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financed, from time to time, insurance premiums by entering into unsecured notes payable with insurance companies. See part II, Item 8, Note 5, “</w:t>
      </w:r>
      <w:r>
        <w:rPr>
          <w:rFonts w:ascii="Times New Roman;Times;serif" w:hAnsi="Times New Roman;Times;serif"/>
          <w:i/>
          <w:sz w:val="20"/>
        </w:rPr>
        <w:t>Debt Obligations</w:t>
      </w:r>
      <w:r>
        <w:rPr>
          <w:rFonts w:ascii="Times New Roman;Times;serif" w:hAnsi="Times New Roman;Times;serif"/>
          <w:sz w:val="20"/>
        </w:rPr>
        <w:t xml:space="preserve">”, of the Notes to Consolidated Financial Statements included in this Annual Report on Form 10-K for information regarding our financing arrangements related to our insurance premiums.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Interest Rate Swap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enter into interest rate swap agreements to moderate our exposure to fluctuations in interest rates underlying our variable rate debt. For more information, see Part I, Item 7A, “</w:t>
      </w:r>
      <w:r>
        <w:rPr>
          <w:rFonts w:ascii="Times New Roman;Times;serif" w:hAnsi="Times New Roman;Times;serif"/>
          <w:i/>
          <w:sz w:val="20"/>
        </w:rPr>
        <w:t>Quantitative and Qualitative Disclosures About Market Risk</w:t>
      </w:r>
      <w:r>
        <w:rPr>
          <w:rFonts w:ascii="Times New Roman;Times;serif" w:hAnsi="Times New Roman;Times;serif"/>
          <w:sz w:val="20"/>
        </w:rPr>
        <w:t>”, and Note 4, “</w:t>
      </w:r>
      <w:r>
        <w:rPr>
          <w:rFonts w:ascii="Times New Roman;Times;serif" w:hAnsi="Times New Roman;Times;serif"/>
          <w:i/>
          <w:sz w:val="20"/>
        </w:rPr>
        <w:t>Derivatives</w:t>
      </w:r>
      <w:r>
        <w:rPr>
          <w:rFonts w:ascii="Times New Roman;Times;serif" w:hAnsi="Times New Roman;Times;serif"/>
          <w:sz w:val="20"/>
        </w:rPr>
        <w:t xml:space="preserve">”, to the Notes of Consolidated Financial Statements included in this Annual Report on Form 10-K. </w:t>
      </w:r>
    </w:p>
    <w:p>
      <w:pPr>
        <w:pStyle w:val="TextBody"/>
        <w:pBdr/>
        <w:bidi w:val="0"/>
        <w:spacing w:before="0" w:after="0"/>
        <w:ind w:left="0" w:right="0" w:hanging="0"/>
        <w:jc w:val="left"/>
        <w:rPr>
          <w:rFonts w:ascii="Times New Roman;Times;serif" w:hAnsi="Times New Roman;Times;serif"/>
          <w:b/>
          <w:sz w:val="20"/>
        </w:rPr>
      </w:pPr>
      <w:bookmarkStart w:id="77" w:name="_cp_text_1_490"/>
      <w:bookmarkEnd w:id="77"/>
      <w:r>
        <w:rPr>
          <w:rFonts w:ascii="Times New Roman;Times;serif" w:hAnsi="Times New Roman;Times;serif"/>
          <w:b/>
          <w:sz w:val="20"/>
        </w:rPr>
        <w:t>Impact of Inflation</w:t>
      </w:r>
    </w:p>
    <w:p>
      <w:pPr>
        <w:pStyle w:val="TextBody"/>
        <w:shd w:fill="FFFFFF" w:val="clear"/>
        <w:bidi w:val="0"/>
        <w:spacing w:before="0" w:after="0"/>
        <w:ind w:left="0" w:right="0" w:firstLine="720"/>
        <w:jc w:val="left"/>
        <w:rPr>
          <w:rFonts w:ascii="Times New Roman;Times;serif" w:hAnsi="Times New Roman;Times;serif"/>
          <w:sz w:val="20"/>
        </w:rPr>
      </w:pPr>
      <w:bookmarkStart w:id="78" w:name="_cp_text_1_491"/>
      <w:bookmarkEnd w:id="78"/>
      <w:r>
        <w:rPr>
          <w:rFonts w:ascii="Times New Roman;Times;serif" w:hAnsi="Times New Roman;Times;serif"/>
          <w:sz w:val="20"/>
        </w:rPr>
        <w:t>Due to the average duration of our projects and our ability to negotiate prices as contracts end and new contracts begin, historically, our operations have not been materially impacted by inflation. While immaterial to our results of operations and financial condition, we have experienced higher cost of materials and delays in our supply chain for equipment. The prices of finished products from manufacturers are subject to fluctuation and increases. It is difficult to accurately measure the impact of inflation, tariffs, price escalation, raw material costs, and other factors that impact the cost of finished goods due to the imprecise nature of the estimates required.</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often able to mitigate the impact of future price increases by entering into fixed price purchase orders for materials and equipment, and subcontracts on our projects, as well as, when appropriate, including cost escalation factors into our proposals. Despite our best mitigation efforts, significant price increases in equipment and disruptions to our supply chain could materially impact our results of operations and financial condition. In addition, inflationary pressures, including expectations of future inflation, may impact the customers of our utility clients, which may lead to delayed or deferred decisions regarding expenditures to improve energy efficiency, and therefore potentially impact our future revenues.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Revenue and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generally provide our services under contracts, purchase orders or retainer letters. The agreements we enter into with our clients typically incorporate one of three principal types of pricing provisions: time-and-materials, unit-based, and fixed price. Revenue on our time-and-materials and unit-based contracts are recognized as the work is performed in accordance with specific terms of the contract. As of January 2, 2026, 18% of our contracts are time-and-materials contracts, 35% are unit-based contracts, and 47% are fixed price contracts, compared to 18% for time-and-materials contracts, 40% for unit-based contracts, and 42% for fixed price contracts, as of December 27,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Some of these contracts include maximum contract prices, but contract maximums are often adjusted to reflect the level of effort to achieve client objectives and thus the majority of these contracts are not expected to exceed the maximum. Contract revenue on our fixed price contracts is determined on the percentage of completion method based generally on the ratio of direct costs incurred to date to estimated total direct costs at completion. Many of our fixed price contracts involve a high degree of subcontracted fixed price effort and are relatively short in duration, thereby lowering the risks of not properly estimating the percent complete.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Adjustments to contract cost estimates are made in the periods in which the facts requiring such revisions become known. When the revised estimate indicates a loss, such loss is recognized in the current period in its entirety. Claims and change orders that have not been finalized are evaluated to determine whether or not a change has occurred in the enforceable rights and obligations of the original contract. If these non-finalized changes qualify as a contract modification, a determination is made whether to account for the change in contract value as a modification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existing contract, or a separate contract and revenue under the claims or change orders is recognized accordingly. Costs related to un-priced change orders are expensed when incurred, and recognition of the related revenue is based on the assessment above of whether or not a contract modification has occurred. Estimated profit for un-priced change orders is recognized only if collection is probable.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contracts come up for renewal periodically and at the time of renewal may be subject to renegotiation, which could impact the profitability on that contract. In addition, during the term of a contract, public agencies may request additional or revised services which may impact the economics of the transaction. Most of our contracts permit our clients, with prior notice, to terminate the contracts at any time without cause. While we have a large volume of contracts, the renewal, termination or modification of a contract, in particular contracts with Consolidated Edison, the Dormitory Authority-State of New York, the New York City Housing Authority, and utility programs associated with Los Angeles Department of Water and Power, and Duke Energy Corp., may have a material effect on our consolidated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Some of our contracts include certain performance guarantees, such as a guaranteed energy saving quantity. Such guarantees are generally measured upon completion of a project. In the event that the measured performance level is less than the guaranteed level, any resulting financial penalty, including any additional work that may be required to fulfill the guarantee, is estimated and charged to direct expenses in the current period. We have not experienced any significant costs under such guarantees.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Direct Costs of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Direct costs of contract revenue consist primarily of that portion of salaries and wages that have been incurred in connection with revenue producing projects. Direct costs of contract revenue also include material costs, subcontractor services, equipment and other expenses that are incurred in connection with revenue producing projects. Direct costs of contract revenue exclude that portion of salaries and wages related to marketing efforts, vacations, holidays and other time not spent directly generating revenue under existing contracts. Such costs are included in general and administrative expenses. Additionally, payroll taxes, bonuses and employee benefit costs for all of our personnel are included in general and administrative expenses since no allocation of these costs is made to direct costs of contract revenue.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companies may classify as direct costs of contract revenue some of the costs that we classify as general and administrative costs. We expense direct costs of contract revenue when incurred.</w:t>
      </w:r>
    </w:p>
    <w:p>
      <w:pPr>
        <w:pStyle w:val="TextBody"/>
        <w:bidi w:val="0"/>
        <w:spacing w:before="0" w:after="1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G&amp;A expenses include the costs of the marketing and support staff, other marketing expenses, management and administrative personnel costs, payroll taxes, bonuses and employee benefits for all of our employees and the portion of salaries and wages not allocated to direct costs of contract revenue for those employees who provide our services. G&amp;A expenses also include facility costs, depreciation and amortization, stock-based compensation, professional services, legal and accounting fees and administrative operating costs. Within G&amp;A expenses, “Other” includes expenses such as professional services, legal and accounting, computer costs, travel and entertainment, marketing costs and acquisition costs, including interest accretion on contingent consideration. We expense general and administrative costs when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discussion and analysis of financial condition and results of operations is based upon our consolidated financial statements, which have been prepared in accordance with generally accepted accounting principles in the U.S. (“GAAP”). To prepare these financial statements in conformity with GAAP, we must make estimates and assumptions that affect the reported amounts of assets and liabilities at the date of the financial statements and the reported amount of revenue and expenses in the reporting period. Our actual results may differ from these estimates. We have provided a summary of our significant accounting policies in Part II, Item 8, Note 1, “</w:t>
      </w:r>
      <w:r>
        <w:rPr>
          <w:rFonts w:ascii="Times New Roman;Times;serif" w:hAnsi="Times New Roman;Times;serif"/>
          <w:i/>
          <w:sz w:val="20"/>
        </w:rPr>
        <w:t>Organization and Operations of the Company”</w:t>
      </w:r>
      <w:r>
        <w:rPr>
          <w:rFonts w:ascii="Times New Roman;Times;serif" w:hAnsi="Times New Roman;Times;serif"/>
          <w:sz w:val="20"/>
        </w:rPr>
        <w:t>, of the Notes to Consolidated Financial Statements included in this Annual Report on Form 10-K. We describe below those accounting policies that require material subjective or complex judgments and that have the most significant impact on our financial condition and results of operations. Our management evaluates these estimates on an ongoing basis, based upon information currently available and on various assumptions management believes are reasonable as of the date of this report.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in any given fiscal period do not necessarily correlate with revenue recognized for that period. Contract assets include unbilled amounts typically resulting from revenue under contracts where the percentage-of-completion method of revenue recognition is utilized and revenue recognized exceeds the amount billed to the customer and right to repayment is not unconditional. Contract assets also include retainage amounts withheld from billings to our clients pursuant to provisions in our contracts and other revenues earned but not billed in the current period. Contract liabilities consist of advance payments and billings in excess of revenue recognized and deferred revenue.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Contract Accounting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enter into contracts with our clients that contain various types of pricing provisions, including fixed price, time-and-materials, and unit-based provisions. We recognize revenues in accordance with ASU 2014-09, Revenue from Contracts with Customer, codified as ASC Topic 606 and the related amendments (collectively, “ASC 606”). As such, we identify a contract with a customer, identify the performance obligations in the contract, determine the transaction price, allocate the transaction price to each performance obligation in the contract and recognize revenue when (or as) we satisfy a performance obligation.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reflects our two reportable segments and the types of contracts that each most commonly enters into for revenue generating activities.</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543685" cy="175260"/>
                      <wp:effectExtent l="0" t="0" r="0" b="0"/>
                      <wp:wrapNone/>
                      <wp:docPr id="102" name="Frame10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067435" cy="175260"/>
                      <wp:effectExtent l="0" t="0" r="0" b="0"/>
                      <wp:wrapNone/>
                      <wp:docPr id="103" name="Frame10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48435" cy="175260"/>
                      <wp:effectExtent l="0" t="0" r="0" b="0"/>
                      <wp:wrapNone/>
                      <wp:docPr id="104" name="Frame103"/>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on the vast majority of our contracts will continue to be recognized over time because of the continuous transfer of control to the customer. Revenue on fixed price contracts is recognized on the percentage-of-completion method based generally on the ratio of direct costs incurred-to-date to estimated total direct costs at completion. We use the percentage-of-completion method to better match the level of work performed at a certain point in time in relation to our effort that will be required to complete a project. In addition, the percentage-of-completion method is a common method of revenue recognition in our industry.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Many of our fixed price contracts involve a high degree of subcontracted fixed price effort and are relatively short in duration, thereby lowering the risks of not properly estimating the percent complete. Revenue on time-and-materials and unit-based contracts is recognized as the work is performed in accordance with the specific rates and terms of the contract. We recognize revenues for time-and-materials contracts based upon the actual hours incurred during a reporting period at contractually agreed upon rates per hour and also includes in revenue all reimbursable costs incurred during a reporting period. Certain of our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we recognize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consolidated balance sheets. We also derive revenue from software licenses and professional services and maintenance fees. In accordance with ASC 606, we perform an assessment of each contract to identify the performance obligations, determine the overall transaction price for the contract, allocate the transaction price to the performance obligations, and recognize the revenue when the performance obligations are satisfied. In cases where the standalone selling price of the software license is not present, we utilize the residual approach by which we estimate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usually which is the life of the contract.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we evaluate whether two or more contracts should be combined and accounted for as one single contract and whether the combined contract should be accounted for as one performance obligation. With respect to our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we provide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may enter into contracts that include separate phases or elements. If each phase or element is negotiated separately based on the technical resources required and/or the supply and demand for the services being provided, we evaluate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2.0% to 3.0% of our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design, construction and maintenance and support) may be considered to have multiple performance obligations even when they are part of a single contract. For contracts with multiple performance obligations, we allocate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we do not provide the distinct good or service on a standalone basis, the primary method used to estimate standalone selling price is the expected cost plus a margin approach, under which we forecast our expected costs of satisfying a performance obligation and then adds an appropriate margin for the distinct good or service.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provide quality of workmanship warranties to customers that are included in the sale and are not priced or sold separately or do not provide customers with a service in addition to assurance of compliance with agreed-upon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specifications and industry standards. We do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we have a master service or blanket agreement with a customer under which each task order releases us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our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assessments of legal enforceability, our performance, and all information (historical, current and forecasted) that is reasonably available to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our performance obligations, the estimation of total revenue and cost at completion is complex, subject to many variables and requires significant judgment. As a significant change in one or more of these estimates could affect the profitability of our contracts, we review and update our contract-related estimates regularly through a company-wide disciplined project review process in which management reviews the progress and execution of our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recognize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we recognize the total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We consider contract modifications to exist when the modification either creates new rights or obligations or changes the existing enforceable rights or obligations.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our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we account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include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Accounts receivable are carried at original invoice amount less an estimate made for doubtful accounts based upon our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further information on the types of contracts under which we perform our services, see Part II, Item 8, Note 1, “</w:t>
      </w:r>
      <w:r>
        <w:rPr>
          <w:rFonts w:ascii="Times New Roman;Times;serif" w:hAnsi="Times New Roman;Times;serif"/>
          <w:i/>
          <w:sz w:val="20"/>
        </w:rPr>
        <w:t>Organization and Operations of the Company”,</w:t>
      </w:r>
      <w:r>
        <w:rPr>
          <w:rFonts w:ascii="Times New Roman;Times;serif" w:hAnsi="Times New Roman;Times;serif"/>
          <w:sz w:val="20"/>
        </w:rPr>
        <w:t xml:space="preserve"> of the Notes to Consolidated Financial Statements included in this Annual Report on Form 10-K.</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test our goodwill at least annually for possible impairment. We complete our annual testing of goodwill as of the last day of the first month of our fourth fiscal quarter each year to determine whether there is impairment. In addition to our annual test, we regularly evaluate whether events and circumstances have occurred that may indicate a potential impairment of goodwill. We did not recognize any goodwill impairment charges in fiscal years 2025, 2024, or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test our goodwill for impairment at the level of our reporting units, which are components of our operating segments. In January 2017, the Financial Accounting Standards Board (the “FASB”) issued Accounting Standards Update (“ASU”) Update No. 2017-04 (“ASU 2017-04”), </w:t>
      </w:r>
      <w:r>
        <w:rPr>
          <w:rFonts w:ascii="Times New Roman;Times;serif" w:hAnsi="Times New Roman;Times;serif"/>
          <w:i/>
          <w:sz w:val="20"/>
        </w:rPr>
        <w:t>Intangibles—Goodwill and Other (Topic 350): Testing Goodwill for Impairment</w:t>
      </w:r>
      <w:r>
        <w:rPr>
          <w:rFonts w:ascii="Times New Roman;Times;serif" w:hAnsi="Times New Roman;Times;serif"/>
          <w:sz w:val="20"/>
        </w:rPr>
        <w:t>. This accounting guidance eliminates the requirement to compare the implied fair value of reporting unit goodwill with the carrying amount of that goodwill (commonly referred to as Step 2) from the goodwill impairment test. The new standard does not change how a goodwill impairment is identified. We will continue to perform our quantitative and qualitative goodwill impairment test by comparing the fair value of each reporting unit to its carrying amount, but if we are required to recognize a goodwill impairment charge, under the new standard the amount of the charge will be calculated by subtracting the reporting unit’s fair value from its carrying amount. Under the prior standard, if we were required to recognize a goodwill impairment charge, Step 2 required us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estimate the fair value of our reporting units, we use both an income approach based on management’s estimates of future cash flows and other market data and a market approach based upon multiples of earnings before interest, taxes, depreciation and amortization, or EBITDA, earned by similar public companies. Once the fair value is determined, we then compare the fair value of the reporting unit to its carrying value, including goodwill. If the fair value of the reporting unit is determined to be less than the carrying value, we perform an additional assessment to determine the extent of the impairment based on the implied fair value of goodwill compared with the carrying amount of the goodwill. In the event that the current implied fair value of the goodwill is less than the carrying value, an impairment charge is recognized.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Inherent in such fair value determinations are significant judgments and estimates, including but not limited to assumptions about our future revenue, profitability and cash flows, our operational plans and our interpretation of current economic indicators and market valuations. To the extent these assumptions are incorrect or economic conditions that would impact the future operations of our reporting units change, any goodwill may be deemed to be impaired, and an impairment charge could have in a material impact on our financial position or results of operation. Almost all of our goodwill is contained in our Energy segment, with the remainder in our Engineering and Consulting segment. At our measurement date, the estimated fair value of our Energy segment exceeded its carrying value. Any reduction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estimated fair value of our Energy segment could result in an impairment charge of goodwill associated with this segment in future periods.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Business Combinations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method of accounting for business combinations requires us to use significant estimates and assumptions, including fair value estimates, as of the business combination date. For reporting periods prior to the completion of our procedures to value assets and liabilities, the acquisition method requires us to refine those estimates as necessary during the measurement period (defined as the period, not to exceed one year, in which we may adjust the provisional amounts recognized for a business combination) based upon new information about facts that existed on the business combination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acquisition method of accounting, we recognize separately from goodwill the identifiable assets acquired, the liabilities assumed, and any non-controlling interests in an acquiree, at the acquisition date fair value. We measure goodwill as of the acquisition date as the excess of consideration transferred over the net of the acquisition date amounts of the identifiable assets acquired and liabilities assumed. Costs that we incur to complete the business combination such as investment banking, legal and other professional fees are not considered part of consideration. We charge these acquisition costs to other general and administrative expense as they are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Should the initial accounting for a business combination be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and we record those adjustments to our financial statements. We recognize adjustments to provisional amounts that are identified during the measurement period in the reporting period in which the adjustment amounts are determined, including the effect on earnings of changes in depreciation, amortization or other income effects, if any, as a result of the change to the provisional amounts, calculated as if the accounting had been completed at the acquisition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fiscal year 2025, we acquired all the equity of Compass Municipal Advisors, LLC. (“Compass”), acquired all of the capital stock of Alternative Power Generation, Inc. (“APG”) and acquired all of the capital stock of Alpha Inspections, Inc. (“Alpha”). As of January 2, 2026, had completed our final estimate of fair value of the assets acquired relating to the acquisition of APG and Alpha but had not yet completed our final estimate of fair value of the assets acquired relating to the acquisition of Compass due to the timing of the transactions and lack of complete information necessary to finalize such estimates of fair value. Accordingly, we have preliminarily estimated the fair values of the Compass assets acquired and will finalize such fair value estimates within twelve months of the Compass Closing Date. During fiscal year 2024, we acquired substantially all of the assets of Enica on October 23, 2024. During fiscal year 2023, we did not have any material acquisitions.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further discussion of our acquisitions, see Part II, Item 8, Note 13, </w:t>
      </w:r>
      <w:r>
        <w:rPr>
          <w:rFonts w:ascii="Times New Roman;Times;serif" w:hAnsi="Times New Roman;Times;serif"/>
          <w:color w:val="212529"/>
          <w:sz w:val="20"/>
          <w:shd w:fill="FFFFFF" w:val="clear"/>
        </w:rPr>
        <w:t>“</w:t>
      </w:r>
      <w:r>
        <w:rPr>
          <w:rFonts w:ascii="Times New Roman;Times;serif" w:hAnsi="Times New Roman;Times;serif"/>
          <w:i/>
          <w:color w:val="212529"/>
          <w:sz w:val="20"/>
          <w:shd w:fill="FFFFFF" w:val="clear"/>
        </w:rPr>
        <w:t>Business Combinations</w:t>
      </w:r>
      <w:r>
        <w:rPr>
          <w:rFonts w:ascii="Times New Roman;Times;serif" w:hAnsi="Times New Roman;Times;serif"/>
          <w:color w:val="212529"/>
          <w:sz w:val="20"/>
          <w:shd w:fill="FFFFFF" w:val="clear"/>
        </w:rPr>
        <w:t xml:space="preserve">” </w:t>
      </w:r>
      <w:r>
        <w:rPr>
          <w:rFonts w:ascii="Times New Roman;Times;serif" w:hAnsi="Times New Roman;Times;serif"/>
          <w:sz w:val="20"/>
        </w:rPr>
        <w:t>of the Notes to Consolidated Financial Statements included in this Annual Report on Form 10-K.</w:t>
      </w:r>
    </w:p>
    <w:p>
      <w:pPr>
        <w:pStyle w:val="TextBody"/>
        <w:bidi w:val="0"/>
        <w:spacing w:before="1" w:after="0"/>
        <w:ind w:left="0" w:right="0" w:hanging="0"/>
        <w:jc w:val="left"/>
        <w:rPr>
          <w:rFonts w:ascii="Times New Roman;Times;serif" w:hAnsi="Times New Roman;Times;serif"/>
          <w:b/>
          <w:sz w:val="20"/>
        </w:rPr>
      </w:pPr>
      <w:r>
        <w:rPr>
          <w:rFonts w:ascii="Times New Roman;Times;serif" w:hAnsi="Times New Roman;Times;serif"/>
          <w:b/>
          <w:sz w:val="20"/>
        </w:rPr>
        <w:t>Recent Accounting Standards</w:t>
      </w:r>
    </w:p>
    <w:p>
      <w:pPr>
        <w:pStyle w:val="TextBody"/>
        <w:pBdr/>
        <w:bidi w:val="0"/>
        <w:spacing w:before="1" w:after="0"/>
        <w:ind w:left="720" w:right="0" w:hanging="202"/>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 description of recently issued and adopted accounting pronouncements, including adoption dates and expected effects on our results of operations and financial condition, see Part II, Item 8, Note 2, “</w:t>
      </w:r>
      <w:r>
        <w:rPr>
          <w:rFonts w:ascii="Times New Roman;Times;serif" w:hAnsi="Times New Roman;Times;serif"/>
          <w:i/>
          <w:sz w:val="20"/>
        </w:rPr>
        <w:t>Recent Accounting Pronouncements</w:t>
      </w:r>
      <w:r>
        <w:rPr>
          <w:rFonts w:ascii="Times New Roman;Times;serif" w:hAnsi="Times New Roman;Times;serif"/>
          <w:sz w:val="20"/>
        </w:rPr>
        <w:t>”, of the Notes to Consolidated Financial Statements included in this Annual Report on Form 10-K.</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79" w:name="ITEM7AQUANTITATIVEANDQUALITATIVE_562372"/>
      <w:bookmarkStart w:id="80" w:name="_10b82fc8_fbc7_4e46_ab6e_b6883c301149"/>
      <w:bookmarkEnd w:id="79"/>
      <w:bookmarkEnd w:id="80"/>
      <w:r>
        <w:rPr>
          <w:rFonts w:ascii="Times New Roman;Times;serif" w:hAnsi="Times New Roman;Times;serif"/>
          <w:b/>
          <w:sz w:val="20"/>
        </w:rPr>
        <w:t>ITEM 7A. QUANTITATIVE AND QUALITATIVE</w:t>
      </w:r>
      <w:r>
        <w:rPr>
          <w:rFonts w:ascii="Times New Roman;Times;serif" w:hAnsi="Times New Roman;Times;serif"/>
          <w:sz w:val="20"/>
        </w:rPr>
        <w:t xml:space="preserve"> </w:t>
      </w:r>
      <w:r>
        <w:rPr>
          <w:rFonts w:ascii="Times New Roman;Times;serif" w:hAnsi="Times New Roman;Times;serif"/>
          <w:b/>
          <w:sz w:val="20"/>
        </w:rPr>
        <w:t>DISCLOSURES ABOUT MARKET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Market risk is the risk of loss to future earnings, to fair values or to future cash flows that may result from changes in the price of a financial instrument. The value of a financial instrument may change as a result of changes in interest rates, exchange rates, commodity prices, equity prices and other market changes. Market risk is attributed to all market risk sensitive financial instruments, including long-term debt.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we had cash and cash equivalents of $65.9 million. This amount represents cash on hand in business checking accounts with our banks. We do not engage in trading activities and do not participate in foreign currency transactions.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subject to interest rate risk in connection with our Term Loan A (“TLA”) and borrowings, if any, under our Revolving Credit Facility, each of which bears interest at variable rates. As of January 2, 2026, the Company had a fully drawn $50.0 million TLA with $48.8 million outstanding, a $100.0 million Revolving Credit Facility with no borrowed amounts, and $1.6 million in letters of credit issued, and a $50.0 million Delayed Draw Term Loan with no borrowed amounts. Each of our TLA, Revolving Credit Facility and Delayed Draw Term Loan mature on May 5, 2030 and are governed by our 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Amended and Restated Credit Agreement, (as described in Part II, Item 8, Note 5, “</w:t>
      </w:r>
      <w:r>
        <w:rPr>
          <w:rFonts w:ascii="Times New Roman;Times;serif" w:hAnsi="Times New Roman;Times;serif"/>
          <w:i/>
          <w:sz w:val="20"/>
        </w:rPr>
        <w:t>Debt Obligations</w:t>
      </w:r>
      <w:r>
        <w:rPr>
          <w:rFonts w:ascii="Times New Roman;Times;serif" w:hAnsi="Times New Roman;Times;serif"/>
          <w:sz w:val="20"/>
        </w:rPr>
        <w:t>,” of the Notes to Consolidated Financial Statements included in this Annual Report on Form 10-K), borrowings under the Amended and Restated Credit Facilities bear interest at either a Base Rate (as defined in the Amended and Restated Credit Agreement) or the adjusted Secured Overnight Financing Rate (“SOFR”), at the Company’s option, and in each case, plus an applicable margin, which applicable margin ranges from 0.50% to 1.50% with respect to Base Rate borrowings and 1.50% to 2.50% with respect to SOFR borrowings, depending on the Company’s Total Net Leverage Ratio (as defined in the Amended and Restated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0.15% to 0.35% per annum depending on the Company’s Total Net Leverage Ratio, and fees on the face amount of any letters of credit outstanding under the Revolving Credit Facility, which range from 1.125% to 1.875% per annum, in each case, depending on the Company’s Total Net Leverage Ratio, as well as customary fronting fees payable to BMO as letter of credit issuer.</w:t>
      </w:r>
      <w:r>
        <w:rPr>
          <w:rFonts w:ascii="Times New Roman;Times;serif" w:hAnsi="Times New Roman;Times;serif"/>
          <w:sz w:val="20"/>
          <w:shd w:fill="FFFFFF" w:val="clear"/>
        </w:rPr>
        <w:t xml:space="preserve"> Based upon the amount of our outstanding indebtedness as of January 2, 2026, a one percentage point increase in the effective interest rate, inclusive of our interest rate swap agreement, would change our annual interest expense by approximately $0.5 million in fiscal year 2025.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TLA will amortize quarterly in an amount equal to 5.0% per annum beginning with the first full fiscal quarter ending after the Amended and Restated Credit Agreement Closing Date, with a final payment of all then remaining principal and interest due on the maturity date of May 5, 2030. Each borrowing under the Delayed Draw Term Loan will amortize in an amount equal to 5.0% per annum of the aggregate outstanding borrowings under the Delayed Draw Term Loan, beginning with the first full fiscal quarter ending after the initial borrowing date, with a final payment of all then remaining principal and interest due on the maturity date of May 5, 2030. The amounts outstanding under the Amended and Restated Credit Facilities may be prepaid in whole or in part at any time without penalty (other than customary breakage costs)</w:t>
      </w:r>
      <w:r>
        <w:rPr>
          <w:rFonts w:ascii="Times New Roman;Times;serif" w:hAnsi="Times New Roman;Times;serif"/>
          <w:sz w:val="20"/>
          <w:shd w:fill="FFFFFF" w:val="clea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we entered into an interest rate swap agreement for $50.0 million notional amount. The interest swap agreement was designated as a cash flow hedge to fix the variable interest rate on a portion of the outstanding principal amount under our Term Loan. The interest rate swap fixed rate is 4.77% and expires on September 29, 2026.</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1" w:name="ITEM8FINANCIALSTATEMENTS_262861"/>
      <w:bookmarkStart w:id="82" w:name="_1d543d93_d6a9_4684_a650_54ddf177fbbb"/>
      <w:bookmarkEnd w:id="81"/>
      <w:bookmarkEnd w:id="82"/>
      <w:r>
        <w:rPr>
          <w:rFonts w:ascii="Times New Roman;Times;serif" w:hAnsi="Times New Roman;Times;serif"/>
          <w:b/>
          <w:sz w:val="20"/>
        </w:rPr>
        <w:t>ITEM 8. FINANCIAL STATEMENTS</w:t>
      </w:r>
      <w:r>
        <w:rPr>
          <w:rFonts w:ascii="Times New Roman;Times;serif" w:hAnsi="Times New Roman;Times;serif"/>
          <w:sz w:val="20"/>
        </w:rPr>
        <w:t xml:space="preserve"> </w:t>
      </w:r>
      <w:r>
        <w:rPr>
          <w:rFonts w:ascii="Times New Roman;Times;serif" w:hAnsi="Times New Roman;Times;serif"/>
          <w:b/>
          <w:sz w:val="20"/>
        </w:rPr>
        <w:t>AND SUPPLEMENTARY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155690" cy="175260"/>
                      <wp:effectExtent l="0" t="0" r="0" b="0"/>
                      <wp:wrapNone/>
                      <wp:docPr id="105" name="Frame104"/>
                      <a:graphic xmlns:a="http://schemas.openxmlformats.org/drawingml/2006/main">
                        <a:graphicData uri="http://schemas.microsoft.com/office/word/2010/wordprocessingShape">
                          <wps:wsp>
                            <wps:cNvSpPr txBox="1"/>
                            <wps:spPr>
                              <a:xfrm>
                                <a:off x="0" y="0"/>
                                <a:ext cx="6155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24485" cy="29210"/>
                      <wp:effectExtent l="0" t="0" r="0" b="0"/>
                      <wp:wrapNone/>
                      <wp:docPr id="106" name="Frame10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94" w:type="dxa"/>
            <w:tcBorders/>
            <w:vAlign w:val="center"/>
          </w:tcPr>
          <w:p>
            <w:pPr>
              <w:pStyle w:val="TableContents"/>
              <w:bidi w:val="0"/>
              <w:spacing w:lineRule="auto" w:line="304" w:before="0" w:after="2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pBdr/>
              <w:bidi w:val="0"/>
              <w:spacing w:lineRule="auto" w:line="304"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173)</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r>
        <w:trPr/>
        <w:tc>
          <w:tcPr>
            <w:tcW w:w="9694" w:type="dxa"/>
            <w:tcBorders/>
            <w:vAlign w:val="center"/>
          </w:tcPr>
          <w:p>
            <w:pPr>
              <w:pStyle w:val="TableContents"/>
              <w:pBdr/>
              <w:bidi w:val="0"/>
              <w:spacing w:lineRule="auto" w:line="304" w:before="0" w:after="0"/>
              <w:ind w:left="0" w:right="0" w:hanging="0"/>
              <w:jc w:val="left"/>
              <w:rPr/>
            </w:pPr>
            <w:hyperlink w:anchor="BALANCESHEETS_75359">
              <w:r>
                <w:rPr>
                  <w:rStyle w:val="InternetLink"/>
                  <w:rFonts w:ascii="Times New Roman;Times;serif" w:hAnsi="Times New Roman;Times;serif"/>
                  <w:b w:val="false"/>
                  <w:i w:val="false"/>
                  <w:caps w:val="false"/>
                  <w:smallCaps w:val="false"/>
                  <w:sz w:val="20"/>
                </w:rPr>
                <w:t>Consolidated Balance Sheets as of January 2, 2026 and December 27, 2024</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56</w:t>
            </w:r>
          </w:p>
        </w:tc>
      </w:tr>
      <w:tr>
        <w:trPr/>
        <w:tc>
          <w:tcPr>
            <w:tcW w:w="9694" w:type="dxa"/>
            <w:tcBorders/>
            <w:vAlign w:val="center"/>
          </w:tcPr>
          <w:p>
            <w:pPr>
              <w:pStyle w:val="TableContents"/>
              <w:pBdr/>
              <w:bidi w:val="0"/>
              <w:spacing w:lineRule="auto" w:line="304" w:before="0" w:after="0"/>
              <w:ind w:left="0" w:right="0" w:hanging="0"/>
              <w:jc w:val="left"/>
              <w:rPr/>
            </w:pPr>
            <w:hyperlink w:anchor="OPERATIONS_940148">
              <w:r>
                <w:rPr>
                  <w:rStyle w:val="InternetLink"/>
                  <w:rFonts w:ascii="Times New Roman;Times;serif" w:hAnsi="Times New Roman;Times;serif"/>
                  <w:b w:val="false"/>
                  <w:i w:val="false"/>
                  <w:caps w:val="false"/>
                  <w:smallCaps w:val="false"/>
                  <w:sz w:val="20"/>
                </w:rPr>
                <w:t>Consolidated Statements of Comprehensive Income for each of the fiscal years in the three-year period ended January 2, 2026</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57</w:t>
            </w:r>
          </w:p>
        </w:tc>
      </w:tr>
      <w:tr>
        <w:trPr/>
        <w:tc>
          <w:tcPr>
            <w:tcW w:w="9694" w:type="dxa"/>
            <w:tcBorders/>
            <w:vAlign w:val="center"/>
          </w:tcPr>
          <w:p>
            <w:pPr>
              <w:pStyle w:val="TableContents"/>
              <w:pBdr/>
              <w:bidi w:val="0"/>
              <w:spacing w:lineRule="auto" w:line="304" w:before="0" w:after="0"/>
              <w:ind w:left="0" w:right="0" w:hanging="0"/>
              <w:jc w:val="left"/>
              <w:rPr/>
            </w:pPr>
            <w:hyperlink w:anchor="STOCKHOLDERSEQUITY_372544">
              <w:r>
                <w:rPr>
                  <w:rStyle w:val="InternetLink"/>
                  <w:rFonts w:ascii="Times New Roman;Times;serif" w:hAnsi="Times New Roman;Times;serif"/>
                  <w:b w:val="false"/>
                  <w:i w:val="false"/>
                  <w:caps w:val="false"/>
                  <w:smallCaps w:val="false"/>
                  <w:sz w:val="20"/>
                </w:rPr>
                <w:t>Consolidated Statements of Stockholders’ Equity for each of the fiscal years in the three-year period ended January 2, 2026</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58</w:t>
            </w:r>
          </w:p>
        </w:tc>
      </w:tr>
      <w:tr>
        <w:trPr/>
        <w:tc>
          <w:tcPr>
            <w:tcW w:w="9694" w:type="dxa"/>
            <w:tcBorders/>
            <w:vAlign w:val="center"/>
          </w:tcPr>
          <w:p>
            <w:pPr>
              <w:pStyle w:val="TableContents"/>
              <w:pBdr/>
              <w:bidi w:val="0"/>
              <w:spacing w:lineRule="auto" w:line="304" w:before="0" w:after="0"/>
              <w:ind w:left="0" w:right="0" w:hanging="0"/>
              <w:jc w:val="left"/>
              <w:rPr/>
            </w:pPr>
            <w:hyperlink w:anchor="CONSOLIDATEDSTATEMENTSOFCASHFLOWS_554577">
              <w:r>
                <w:rPr>
                  <w:rStyle w:val="InternetLink"/>
                  <w:rFonts w:ascii="Times New Roman;Times;serif" w:hAnsi="Times New Roman;Times;serif"/>
                  <w:b w:val="false"/>
                  <w:i w:val="false"/>
                  <w:caps w:val="false"/>
                  <w:smallCaps w:val="false"/>
                  <w:sz w:val="20"/>
                </w:rPr>
                <w:t>Consolidated Statements of Cash Flows for each of the fiscal years in the three-year period ended January 2, 2026</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59</w:t>
            </w:r>
          </w:p>
        </w:tc>
      </w:tr>
      <w:tr>
        <w:trPr/>
        <w:tc>
          <w:tcPr>
            <w:tcW w:w="9694" w:type="dxa"/>
            <w:tcBorders/>
            <w:vAlign w:val="center"/>
          </w:tcPr>
          <w:p>
            <w:pPr>
              <w:pStyle w:val="TableContents"/>
              <w:pBdr/>
              <w:bidi w:val="0"/>
              <w:spacing w:lineRule="auto" w:line="304" w:before="0" w:after="0"/>
              <w:ind w:left="0" w:right="0" w:hanging="0"/>
              <w:jc w:val="left"/>
              <w:rPr/>
            </w:pPr>
            <w:hyperlink w:anchor="ORGANIZATIONANDOPERATIONSOFTHECOMPANY_11">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7790" cy="175260"/>
                      <wp:effectExtent l="0" t="0" r="0" b="0"/>
                      <wp:wrapNone/>
                      <wp:docPr id="107" name="Frame10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154" w:type="dxa"/>
            <w:tcBorders/>
            <w:vAlign w:val="center"/>
          </w:tcPr>
          <w:p>
            <w:pPr>
              <w:pStyle w:val="TableContents"/>
              <w:bidi w:val="0"/>
              <w:spacing w:lineRule="auto" w:line="304" w:before="0" w:after="0"/>
              <w:ind w:left="0" w:right="0" w:hanging="0"/>
              <w:jc w:val="righ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100" w:after="100"/>
        <w:ind w:left="0" w:right="0" w:hanging="0"/>
        <w:jc w:val="center"/>
        <w:rPr/>
      </w:pPr>
      <w:r>
        <w:rPr/>
        <w:t>​</w:t>
      </w:r>
    </w:p>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3" w:name="ReportofIndependentRegisteredPublicAccou"/>
      <w:bookmarkStart w:id="84" w:name="_f65fc29f_0bf3_4164_a7cd_d263704a1cdd"/>
      <w:bookmarkEnd w:id="83"/>
      <w:bookmarkEnd w:id="84"/>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and the Board of Directors of Willdan Group,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Anaheim, California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Opinions on the Financial Statements and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Willdan Group, Inc. (the "Company") as of January 2, 2026 and December 27, 2024, the related consolidated statements of comprehensive income (loss), stockholders’ equity, and cash flows for each of the years in the three-year period ended January 2, 2026, and the related notes (collectively referred to as the "financial statements"). We also have audited the Company’s internal control over financial reporting as of January 2, 2026, based on criteria established in Internal Control – Integrated Framework: (2013) issued by the Committee of Sponsoring Organizations of the Treadway Commission (COSO).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our opinion, the financial statements referred to above present fairly, in all material respects, the financial position of the Company as of January 2, 2026 and December 27, 2024, and the results of its operations and its cash flows for each of the years in the three-year period ended January 2, 2026 in conformity with accounting principles generally accepted in the United States of America. Also in our opinion, the Company maintained, in all material respects, effective internal control over financial reporting as of January 2, 2026, based on criteria established in Internal Control – Integrated Framework: (2013) issued by COSO.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As permitted, the Company has excluded the operations of Compass Municipal Advisors, LLC, Alternative Power Generation, Inc., and Alpha Inspections, Inc., acquired during the fiscal year ended January 2, 2026, which is described in Note 13 of the consolidated financial statements, from the scope of management’s report on internal control over financial reporting. As such, they have also been excluded from the scope of our audit of internal control over financial reporting.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company’s internal control over financial reporting is a process designed to provide reasonable assurance regarding the reliability of financial reporting and the preparation of financial statements for external purposes in accordance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Estimated costs to complete on fixed price contracts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discussed in Note 1 to the consolidated financial statements, revenues from fixed price contracts are recognized over time since control of the services is transferred continuously to the client. Generally, revenue is recognized using costs incurred to date relative to total estimated costs at completion to measure progress toward satisfying the Company’s performance obligations.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identified auditing management’s estimates of costs to complete on select fixed price contracts to be a critical audit matter. The critical audit matter relates to select long-term fixed price construction contracts, based on magnitude of estimated costs to complete and the stage of completion of the contract. These estimates require management to make assumptions about future events and, as a result, a high degree of auditor judgment is involved in auditing these estimates. Due to the factors above, auditing management’s estimates of costs to complete required extensive audit procedures.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audit procedures related to the evaluation of estimated costs at completion for fixed price contracts included the following: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Tested the design, implementation, and operating effectiveness of controls that are designed to address the reasonableness of estimates of costs to complete fixed price contracts.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Evaluated the reasonableness of management’s estimates related to the cost to complete for fixed price contracts through testing of the key components of the estimated costs to complete, including, labor, materials, and subcontractor costs. </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Agreed a sample of contract costs incurred to supporting documentation.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Performed inquiries of management and project personnel regarding facts and circumstances relevant to the accounting for a sample of such contracts.</w:t>
            </w:r>
          </w:p>
        </w:tc>
      </w:tr>
    </w:tbl>
    <w:tbl>
      <w:tblPr>
        <w:tblW w:w="6501" w:type="dxa"/>
        <w:jc w:val="left"/>
        <w:tblInd w:w="0" w:type="dxa"/>
        <w:tblLayout w:type="fixed"/>
        <w:tblCellMar>
          <w:top w:w="28" w:type="dxa"/>
          <w:left w:w="28" w:type="dxa"/>
          <w:bottom w:w="28" w:type="dxa"/>
          <w:right w:w="28" w:type="dxa"/>
        </w:tblCellMar>
      </w:tblPr>
      <w:tblGrid>
        <w:gridCol w:w="124"/>
        <w:gridCol w:w="256"/>
        <w:gridCol w:w="6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Recalculated revenue recognition based on the percentage of completion.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Performed retrospective review procedures to assess management’s historical ability to accurately estimate the transaction price and cost to complete of fixed price contracts. </w:t>
            </w:r>
          </w:p>
        </w:tc>
      </w:tr>
    </w:tbl>
    <w:p>
      <w:pPr>
        <w:pStyle w:val="TextBody"/>
        <w:bidi w:val="0"/>
        <w:spacing w:before="0" w:after="0"/>
        <w:ind w:left="6480" w:right="0" w:hanging="0"/>
        <w:jc w:val="left"/>
        <w:rPr>
          <w:rFonts w:ascii="Times New Roman;Times;serif" w:hAnsi="Times New Roman;Times;serif"/>
          <w:sz w:val="20"/>
        </w:rPr>
      </w:pPr>
      <w:r>
        <w:rPr>
          <w:rFonts w:ascii="Times New Roman;Times;serif" w:hAnsi="Times New Roman;Times;serif"/>
          <w:sz w:val="20"/>
        </w:rPr>
        <w:t>/s/Crowe LLP</w:t>
      </w:r>
    </w:p>
    <w:p>
      <w:pPr>
        <w:pStyle w:val="TextBody"/>
        <w:bidi w:val="0"/>
        <w:spacing w:before="0" w:after="0"/>
        <w:ind w:left="648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 Angeles, California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5" w:name="_4405aa97_5462_41e3_b805_0905a18fa412"/>
      <w:bookmarkEnd w:id="85"/>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86" w:name="BALANCESHEETS_75359"/>
      <w:bookmarkEnd w:id="86"/>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 except par value)</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7" w:name="Tc_NhJDKbAfm0WqAXBJncohGA_45_5"/>
      <w:bookmarkStart w:id="88" w:name="Tc_ly76hAn_-kqMp1V6-P5dig_45_2"/>
      <w:bookmarkStart w:id="89" w:name="Tc_Wg8XkONdIEeZUVOTT8icJA_45_0"/>
      <w:bookmarkStart w:id="90" w:name="Tc_SvRCI_Xnq0yWLotxoUn_mw_44_0"/>
      <w:bookmarkStart w:id="91" w:name="Tc_OoSZxohjVkSSDbkuMCKM-Q_43_0"/>
      <w:bookmarkStart w:id="92" w:name="Tc_XYQD1XZLAUGeUvmPevh7hg_42_0"/>
      <w:bookmarkStart w:id="93" w:name="Tc_oXataUUTHkeYBEnqSbQYbQ_41_0"/>
      <w:bookmarkStart w:id="94" w:name="Tc_lkwFPqAsaEK_SmuOBPcE2A_40_0"/>
      <w:bookmarkStart w:id="95" w:name="Tc_OnBIRj0Hk0aYCDv2lf-kog_39_0"/>
      <w:bookmarkStart w:id="96" w:name="Tc_HoYJQ4kLBUWJ6VNhqF9cYg_38_0"/>
      <w:bookmarkStart w:id="97" w:name="Tc_rl-4wGmhm0CAf0fdynodeg_36_0"/>
      <w:bookmarkStart w:id="98" w:name="Tc_vBsGtugDzUiNZqakMJ6E4A_34_0"/>
      <w:bookmarkStart w:id="99" w:name="Tc_uOLbW4x1KEmgEQ_Locygwg_33_0"/>
      <w:bookmarkStart w:id="100" w:name="Tc_xM9pXhiZT0aOfzXa3DeAsw_32_0"/>
      <w:bookmarkStart w:id="101" w:name="Tc_9I_fyiddIEino6jj382k4A_31_0"/>
      <w:bookmarkStart w:id="102" w:name="Tc_QKEHsvOsN0aihMZAMKHZCw_30_0"/>
      <w:bookmarkStart w:id="103" w:name="Tc_h57pgihqRUy05iKgRNYsag_29_0"/>
      <w:bookmarkStart w:id="104" w:name="Tc_UYczCRIjZkWcX11ds4NZtw_28_0"/>
      <w:bookmarkStart w:id="105" w:name="Tc_oWsKr0Q-RUe521YsOKiCOw_27_0"/>
      <w:bookmarkStart w:id="106" w:name="Tc_oEg0oiD9q0SH6U6u6DCfpg_26_0"/>
      <w:bookmarkStart w:id="107" w:name="Tc_Tibs77lsXk-qq1QJPBvtCg_25_0"/>
      <w:bookmarkStart w:id="108" w:name="Tc_hjNckGBdGUGRd6Eit4b0wQ_24_0"/>
      <w:bookmarkStart w:id="109" w:name="Tc_le9atgyPR0OcqZ8omWW65g_23_0"/>
      <w:bookmarkStart w:id="110" w:name="Tc_RNp3GYU0d0u4J4jtk9fJrQ_22_0"/>
      <w:bookmarkStart w:id="111" w:name="Tc_nBdOlz5zLU-uZc3N6RC5bQ_21_5"/>
      <w:bookmarkStart w:id="112" w:name="Tc_x8ka_3jMjU-DSKqIh92_hg_21_2"/>
      <w:bookmarkStart w:id="113" w:name="Tc_ATs7TC1wyEWcRXrauYk6pw_21_0"/>
      <w:bookmarkStart w:id="114" w:name="Tc_q0BtTgZ1hU284uTCimB04w_20_0"/>
      <w:bookmarkStart w:id="115" w:name="Tc_UhsyAMB03k2w5_tHh7l03g_19_0"/>
      <w:bookmarkStart w:id="116" w:name="Tc_5_QCWQXGdUGGLUkbbPDy2w_18_5"/>
      <w:bookmarkStart w:id="117" w:name="Tc_by-R_UuQj0-ejgeRmKF7Nw_18_2"/>
      <w:bookmarkStart w:id="118" w:name="Tc_VVFqaj1XK0KW-xHzKroGCA_18_0"/>
      <w:bookmarkStart w:id="119" w:name="Tc_ZuSWC4ZQVUi0dr4b3SwaCw_17_0"/>
      <w:bookmarkStart w:id="120" w:name="Tc_0mC-9pbUpkOd4Yfz-Oom-A_16_0"/>
      <w:bookmarkStart w:id="121" w:name="Tc_sGTydpBf9UiHbLyui6-5UQ_15_0"/>
      <w:bookmarkStart w:id="122" w:name="Tc_I-L22hgiAE6IbnQNDUDMGA_14_0"/>
      <w:bookmarkStart w:id="123" w:name="Tc_zLT4Z5t9AkawV6XXoF2DLQ_13_0"/>
      <w:bookmarkStart w:id="124" w:name="Tc_xTnsVnteokm3T11RMOH4bQ_12_0"/>
      <w:bookmarkStart w:id="125" w:name="Tc_g4Zwg4rOqkqCh0yN4Z1Pbg_11_0"/>
      <w:bookmarkStart w:id="126" w:name="Tc_lzShU7Ikk0iDp-OJuUYCoA_10_0"/>
      <w:bookmarkStart w:id="127" w:name="Tc_HeOh20HdfU6ljOC8c7BmxQ_9_0"/>
      <w:bookmarkStart w:id="128" w:name="Tc_JtmZQJ4WFUiHWT6l27U0vQ_8_0"/>
      <w:bookmarkStart w:id="129" w:name="Tc_YhO-9dq3sE-4ijAnSqBOTA_7_0"/>
      <w:bookmarkStart w:id="130" w:name="Tc_gCS_BHzinUOnNg0yNf6Ynw_6_6"/>
      <w:bookmarkStart w:id="131" w:name="Tc_TlLQ9bql6Eu0L3R06I4GbA_6_3"/>
      <w:bookmarkStart w:id="132" w:name="Tc_W4LWDvO41UWUvKCarFaHTw_6_0"/>
      <w:bookmarkStart w:id="133" w:name="Tc_noXbqx0pxkmKQPbp5Ml6kA_5_5"/>
      <w:bookmarkStart w:id="134" w:name="Tc_0biEJX6VykiCeakob0t2Iw_5_2"/>
      <w:bookmarkStart w:id="135" w:name="Tc_IwkMlZTDU02bEw9jWzh79w_5_0"/>
      <w:bookmarkStart w:id="136" w:name="Tc_bGA0_Btfxkm0T9v9gVWCtQ_4_0"/>
      <w:bookmarkStart w:id="137" w:name="Tc_XRB0_AvmZkiTFPEPc7TtdQ_3_0"/>
      <w:bookmarkStart w:id="138" w:name="Tc_r4G4mwLnrkOXXYQbDm6Zzw_2_5"/>
      <w:bookmarkStart w:id="139" w:name="Tc_iQsCKhyMj0-ihjqQMfSGfA_2_2"/>
      <w:bookmarkStart w:id="140" w:name="Tc_Qbva3gheIkSdMAUczn-tag_1_5"/>
      <w:bookmarkStart w:id="141" w:name="Tc_K9s-4IvyIUuZq4WbvsMOXA_1_2"/>
      <w:bookmarkStart w:id="142" w:name="_b8c8293b_38b0_4d8d_9467_e053b9371b42"/>
      <w:bookmarkStart w:id="143" w:name="Tc_NhJDKbAfm0WqAXBJncohGA_45_5"/>
      <w:bookmarkStart w:id="144" w:name="Tc_ly76hAn_-kqMp1V6-P5dig_45_2"/>
      <w:bookmarkStart w:id="145" w:name="Tc_Wg8XkONdIEeZUVOTT8icJA_45_0"/>
      <w:bookmarkStart w:id="146" w:name="Tc_SvRCI_Xnq0yWLotxoUn_mw_44_0"/>
      <w:bookmarkStart w:id="147" w:name="Tc_OoSZxohjVkSSDbkuMCKM-Q_43_0"/>
      <w:bookmarkStart w:id="148" w:name="Tc_XYQD1XZLAUGeUvmPevh7hg_42_0"/>
      <w:bookmarkStart w:id="149" w:name="Tc_oXataUUTHkeYBEnqSbQYbQ_41_0"/>
      <w:bookmarkStart w:id="150" w:name="Tc_lkwFPqAsaEK_SmuOBPcE2A_40_0"/>
      <w:bookmarkStart w:id="151" w:name="Tc_OnBIRj0Hk0aYCDv2lf-kog_39_0"/>
      <w:bookmarkStart w:id="152" w:name="Tc_HoYJQ4kLBUWJ6VNhqF9cYg_38_0"/>
      <w:bookmarkStart w:id="153" w:name="Tc_rl-4wGmhm0CAf0fdynodeg_36_0"/>
      <w:bookmarkStart w:id="154" w:name="Tc_vBsGtugDzUiNZqakMJ6E4A_34_0"/>
      <w:bookmarkStart w:id="155" w:name="Tc_uOLbW4x1KEmgEQ_Locygwg_33_0"/>
      <w:bookmarkStart w:id="156" w:name="Tc_xM9pXhiZT0aOfzXa3DeAsw_32_0"/>
      <w:bookmarkStart w:id="157" w:name="Tc_9I_fyiddIEino6jj382k4A_31_0"/>
      <w:bookmarkStart w:id="158" w:name="Tc_QKEHsvOsN0aihMZAMKHZCw_30_0"/>
      <w:bookmarkStart w:id="159" w:name="Tc_h57pgihqRUy05iKgRNYsag_29_0"/>
      <w:bookmarkStart w:id="160" w:name="Tc_UYczCRIjZkWcX11ds4NZtw_28_0"/>
      <w:bookmarkStart w:id="161" w:name="Tc_oWsKr0Q-RUe521YsOKiCOw_27_0"/>
      <w:bookmarkStart w:id="162" w:name="Tc_oEg0oiD9q0SH6U6u6DCfpg_26_0"/>
      <w:bookmarkStart w:id="163" w:name="Tc_Tibs77lsXk-qq1QJPBvtCg_25_0"/>
      <w:bookmarkStart w:id="164" w:name="Tc_hjNckGBdGUGRd6Eit4b0wQ_24_0"/>
      <w:bookmarkStart w:id="165" w:name="Tc_le9atgyPR0OcqZ8omWW65g_23_0"/>
      <w:bookmarkStart w:id="166" w:name="Tc_RNp3GYU0d0u4J4jtk9fJrQ_22_0"/>
      <w:bookmarkStart w:id="167" w:name="Tc_nBdOlz5zLU-uZc3N6RC5bQ_21_5"/>
      <w:bookmarkStart w:id="168" w:name="Tc_x8ka_3jMjU-DSKqIh92_hg_21_2"/>
      <w:bookmarkStart w:id="169" w:name="Tc_ATs7TC1wyEWcRXrauYk6pw_21_0"/>
      <w:bookmarkStart w:id="170" w:name="Tc_q0BtTgZ1hU284uTCimB04w_20_0"/>
      <w:bookmarkStart w:id="171" w:name="Tc_UhsyAMB03k2w5_tHh7l03g_19_0"/>
      <w:bookmarkStart w:id="172" w:name="Tc_5_QCWQXGdUGGLUkbbPDy2w_18_5"/>
      <w:bookmarkStart w:id="173" w:name="Tc_by-R_UuQj0-ejgeRmKF7Nw_18_2"/>
      <w:bookmarkStart w:id="174" w:name="Tc_VVFqaj1XK0KW-xHzKroGCA_18_0"/>
      <w:bookmarkStart w:id="175" w:name="Tc_ZuSWC4ZQVUi0dr4b3SwaCw_17_0"/>
      <w:bookmarkStart w:id="176" w:name="Tc_0mC-9pbUpkOd4Yfz-Oom-A_16_0"/>
      <w:bookmarkStart w:id="177" w:name="Tc_sGTydpBf9UiHbLyui6-5UQ_15_0"/>
      <w:bookmarkStart w:id="178" w:name="Tc_I-L22hgiAE6IbnQNDUDMGA_14_0"/>
      <w:bookmarkStart w:id="179" w:name="Tc_zLT4Z5t9AkawV6XXoF2DLQ_13_0"/>
      <w:bookmarkStart w:id="180" w:name="Tc_xTnsVnteokm3T11RMOH4bQ_12_0"/>
      <w:bookmarkStart w:id="181" w:name="Tc_g4Zwg4rOqkqCh0yN4Z1Pbg_11_0"/>
      <w:bookmarkStart w:id="182" w:name="Tc_lzShU7Ikk0iDp-OJuUYCoA_10_0"/>
      <w:bookmarkStart w:id="183" w:name="Tc_HeOh20HdfU6ljOC8c7BmxQ_9_0"/>
      <w:bookmarkStart w:id="184" w:name="Tc_JtmZQJ4WFUiHWT6l27U0vQ_8_0"/>
      <w:bookmarkStart w:id="185" w:name="Tc_YhO-9dq3sE-4ijAnSqBOTA_7_0"/>
      <w:bookmarkStart w:id="186" w:name="Tc_gCS_BHzinUOnNg0yNf6Ynw_6_6"/>
      <w:bookmarkStart w:id="187" w:name="Tc_TlLQ9bql6Eu0L3R06I4GbA_6_3"/>
      <w:bookmarkStart w:id="188" w:name="Tc_W4LWDvO41UWUvKCarFaHTw_6_0"/>
      <w:bookmarkStart w:id="189" w:name="Tc_noXbqx0pxkmKQPbp5Ml6kA_5_5"/>
      <w:bookmarkStart w:id="190" w:name="Tc_0biEJX6VykiCeakob0t2Iw_5_2"/>
      <w:bookmarkStart w:id="191" w:name="Tc_IwkMlZTDU02bEw9jWzh79w_5_0"/>
      <w:bookmarkStart w:id="192" w:name="Tc_bGA0_Btfxkm0T9v9gVWCtQ_4_0"/>
      <w:bookmarkStart w:id="193" w:name="Tc_XRB0_AvmZkiTFPEPc7TtdQ_3_0"/>
      <w:bookmarkStart w:id="194" w:name="Tc_r4G4mwLnrkOXXYQbDm6Zzw_2_5"/>
      <w:bookmarkStart w:id="195" w:name="Tc_iQsCKhyMj0-ihjqQMfSGfA_2_2"/>
      <w:bookmarkStart w:id="196" w:name="Tc_Qbva3gheIkSdMAUczn-tag_1_5"/>
      <w:bookmarkStart w:id="197" w:name="Tc_K9s-4IvyIUuZq4WbvsMOXA_1_2"/>
      <w:bookmarkStart w:id="198" w:name="_b8c8293b_38b0_4d8d_9467_e053b9371b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tbl>
      <w:tblPr>
        <w:tblW w:w="10205" w:type="dxa"/>
        <w:jc w:val="left"/>
        <w:tblInd w:w="0" w:type="dxa"/>
        <w:tblLayout w:type="fixed"/>
        <w:tblCellMar>
          <w:top w:w="0" w:type="dxa"/>
          <w:left w:w="0" w:type="dxa"/>
          <w:bottom w:w="0" w:type="dxa"/>
          <w:right w:w="0" w:type="dxa"/>
        </w:tblCellMar>
      </w:tblPr>
      <w:tblGrid>
        <w:gridCol w:w="7638"/>
        <w:gridCol w:w="109"/>
        <w:gridCol w:w="211"/>
        <w:gridCol w:w="781"/>
        <w:gridCol w:w="346"/>
        <w:gridCol w:w="215"/>
        <w:gridCol w:w="905"/>
      </w:tblGrid>
      <w:tr>
        <w:trPr/>
        <w:tc>
          <w:tcPr>
            <w:tcW w:w="7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850130" cy="175260"/>
                      <wp:effectExtent l="0" t="0" r="0" b="0"/>
                      <wp:wrapNone/>
                      <wp:docPr id="108" name="Frame107"/>
                      <a:graphic xmlns:a="http://schemas.openxmlformats.org/drawingml/2006/main">
                        <a:graphicData uri="http://schemas.microsoft.com/office/word/2010/wordprocessingShape">
                          <wps:wsp>
                            <wps:cNvSpPr txBox="1"/>
                            <wps:spPr>
                              <a:xfrm>
                                <a:off x="0" y="0"/>
                                <a:ext cx="4850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6525" cy="175260"/>
                      <wp:effectExtent l="0" t="0" r="0" b="0"/>
                      <wp:wrapNone/>
                      <wp:docPr id="113" name="Frame11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4675" cy="175260"/>
                      <wp:effectExtent l="0" t="0" r="0" b="0"/>
                      <wp:wrapNone/>
                      <wp:docPr id="114" name="Frame11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3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center"/>
              <w:rPr/>
            </w:pPr>
            <w:r>
              <w:rPr/>
              <w:t>​</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763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205"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left"/>
              <w:rPr/>
            </w:pPr>
            <w:r>
              <w:rPr/>
              <w:t>​</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65,919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74,158</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Restricted cash</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Accounts receivable, net of allowance for doubtful accounts of $340</w:t>
            </w:r>
            <w:r>
              <w:rPr>
                <w:rFonts w:ascii="Times New Roman;Times;serif" w:hAnsi="Times New Roman;Times;serif"/>
                <w:sz w:val="18"/>
              </w:rPr>
              <w:t xml:space="preserve"> </w:t>
            </w:r>
            <w:r>
              <w:rPr>
                <w:rFonts w:ascii="Times New Roman;Times;serif" w:hAnsi="Times New Roman;Times;serif"/>
                <w:sz w:val="19"/>
              </w:rPr>
              <w:t>and $1,313</w:t>
            </w:r>
            <w:r>
              <w:rPr>
                <w:rFonts w:ascii="Times New Roman;Times;serif" w:hAnsi="Times New Roman;Times;serif"/>
                <w:sz w:val="18"/>
              </w:rPr>
              <w:t xml:space="preserve"> </w:t>
            </w:r>
            <w:r>
              <w:rPr>
                <w:rFonts w:ascii="Times New Roman;Times;serif" w:hAnsi="Times New Roman;Times;serif"/>
                <w:sz w:val="19"/>
              </w:rPr>
              <w:t>at January 2, 2026 and December 27, 2024,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64,604</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65,557</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107,296</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88,528</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2,302</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7,528</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4,979</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251,677</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235,524</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31,491</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29,534</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179,530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140,991</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Right-of-use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16,600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14,035</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35,521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29,414</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2,762</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2,019</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income taxes,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26,630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13,346</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464,863</w:t>
            </w:r>
          </w:p>
        </w:tc>
      </w:tr>
      <w:tr>
        <w:trPr/>
        <w:tc>
          <w:tcPr>
            <w:tcW w:w="10205" w:type="dxa"/>
            <w:gridSpan w:val="7"/>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left"/>
              <w:rPr/>
            </w:pPr>
            <w:r>
              <w:rPr/>
              <w:t>​</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45,628</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33,766</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82,434</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62,776</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3,732</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Contract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21,565</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21,556</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10,137</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1,225</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1,138</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4,670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5,804</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161,754</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137,677</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Contingent consideration payable,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16,651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1,713</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Notes payable, 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45,962</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79,350</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Finance lease obligations,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1,162</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1,379</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liability, 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13,762</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9,939</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462</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239,360</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230,520</w:t>
            </w:r>
          </w:p>
        </w:tc>
      </w:tr>
      <w:tr>
        <w:trPr/>
        <w:tc>
          <w:tcPr>
            <w:tcW w:w="76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76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905" w:type="dxa"/>
            <w:tcBorders/>
            <w:shd w:fill="CCEEFF" w:val="clear"/>
            <w:vAlign w:val="center"/>
          </w:tcPr>
          <w:p>
            <w:pPr>
              <w:pStyle w:val="TableContents"/>
              <w:bidi w:val="0"/>
              <w:spacing w:before="0" w:after="0"/>
              <w:ind w:left="0" w:right="0" w:hanging="0"/>
              <w:jc w:val="right"/>
              <w:rPr/>
            </w:pPr>
            <w:r>
              <w:rPr/>
              <w:t>​</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pPr>
            <w:r>
              <w:rPr/>
              <w:t>​</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$0.01</w:t>
            </w:r>
            <w:r>
              <w:rPr>
                <w:rFonts w:ascii="Times New Roman;Times;serif" w:hAnsi="Times New Roman;Times;serif"/>
                <w:sz w:val="18"/>
              </w:rPr>
              <w:t xml:space="preserve"> </w:t>
            </w:r>
            <w:r>
              <w:rPr>
                <w:rFonts w:ascii="Times New Roman;Times;serif" w:hAnsi="Times New Roman;Times;serif"/>
                <w:sz w:val="19"/>
              </w:rPr>
              <w:t>par value, 10,000</w:t>
            </w:r>
            <w:r>
              <w:rPr>
                <w:rFonts w:ascii="Times New Roman;Times;serif" w:hAnsi="Times New Roman;Times;serif"/>
                <w:sz w:val="18"/>
              </w:rPr>
              <w:t xml:space="preserve"> </w:t>
            </w:r>
            <w:r>
              <w:rPr>
                <w:rFonts w:ascii="Times New Roman;Times;serif" w:hAnsi="Times New Roman;Times;serif"/>
                <w:sz w:val="19"/>
              </w:rPr>
              <w:t>shares authorized, no</w:t>
            </w:r>
            <w:r>
              <w:rPr>
                <w:rFonts w:ascii="Times New Roman;Times;serif" w:hAnsi="Times New Roman;Times;serif"/>
                <w:sz w:val="18"/>
              </w:rPr>
              <w:t xml:space="preserve"> </w:t>
            </w:r>
            <w:r>
              <w:rPr>
                <w:rFonts w:ascii="Times New Roman;Times;serif" w:hAnsi="Times New Roman;Times;serif"/>
                <w:sz w:val="19"/>
              </w:rPr>
              <w:t>shares issued and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$0.01</w:t>
            </w:r>
            <w:r>
              <w:rPr>
                <w:rFonts w:ascii="Times New Roman;Times;serif" w:hAnsi="Times New Roman;Times;serif"/>
                <w:sz w:val="18"/>
              </w:rPr>
              <w:t xml:space="preserve"> </w:t>
            </w:r>
            <w:r>
              <w:rPr>
                <w:rFonts w:ascii="Times New Roman;Times;serif" w:hAnsi="Times New Roman;Times;serif"/>
                <w:sz w:val="19"/>
              </w:rPr>
              <w:t>par value, 40,000</w:t>
            </w:r>
            <w:r>
              <w:rPr>
                <w:rFonts w:ascii="Times New Roman;Times;serif" w:hAnsi="Times New Roman;Times;serif"/>
                <w:sz w:val="18"/>
              </w:rPr>
              <w:t xml:space="preserve"> </w:t>
            </w:r>
            <w:r>
              <w:rPr>
                <w:rFonts w:ascii="Times New Roman;Times;serif" w:hAnsi="Times New Roman;Times;serif"/>
                <w:sz w:val="19"/>
              </w:rPr>
              <w:t>shares authorized; 14,762</w:t>
            </w:r>
            <w:r>
              <w:rPr>
                <w:rFonts w:ascii="Times New Roman;Times;serif" w:hAnsi="Times New Roman;Times;serif"/>
                <w:sz w:val="18"/>
              </w:rPr>
              <w:t xml:space="preserve"> </w:t>
            </w:r>
            <w:r>
              <w:rPr>
                <w:rFonts w:ascii="Times New Roman;Times;serif" w:hAnsi="Times New Roman;Times;serif"/>
                <w:sz w:val="19"/>
              </w:rPr>
              <w:t>and 14,169</w:t>
            </w:r>
            <w:r>
              <w:rPr>
                <w:rFonts w:ascii="Times New Roman;Times;serif" w:hAnsi="Times New Roman;Times;serif"/>
                <w:sz w:val="18"/>
              </w:rPr>
              <w:t xml:space="preserve"> </w:t>
            </w:r>
            <w:r>
              <w:rPr>
                <w:rFonts w:ascii="Times New Roman;Times;serif" w:hAnsi="Times New Roman;Times;serif"/>
                <w:sz w:val="19"/>
              </w:rPr>
              <w:t>shares issued and outstanding at January 2, 2026 and December 27, 2024, respectively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142</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215,269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right"/>
              <w:rPr/>
            </w:pPr>
            <w:r>
              <w:rPr/>
              <w:t> </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197,368</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Accumulated other comprehensive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righ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89,704</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37,147</w:t>
            </w:r>
          </w:p>
        </w:tc>
      </w:tr>
      <w:tr>
        <w:trPr/>
        <w:tc>
          <w:tcPr>
            <w:tcW w:w="76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304,851</w:t>
            </w:r>
          </w:p>
        </w:tc>
        <w:tc>
          <w:tcPr>
            <w:tcW w:w="34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234,343</w:t>
            </w:r>
          </w:p>
        </w:tc>
      </w:tr>
      <w:tr>
        <w:trPr/>
        <w:tc>
          <w:tcPr>
            <w:tcW w:w="76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544,211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464,863</w:t>
            </w:r>
          </w:p>
        </w:tc>
      </w:tr>
    </w:tbl>
    <w:p>
      <w:pPr>
        <w:pStyle w:val="TextBody"/>
        <w:bidi w:val="0"/>
        <w:spacing w:lineRule="atLeast" w:line="142" w:before="0" w:after="0"/>
        <w:ind w:left="0" w:right="0" w:hanging="0"/>
        <w:jc w:val="left"/>
        <w:rPr/>
      </w:pPr>
      <w:r>
        <w:rPr/>
        <w:t>​</w:t>
      </w:r>
    </w:p>
    <w:p>
      <w:pPr>
        <w:pStyle w:val="TextBody"/>
        <w:bidi w:val="0"/>
        <w:spacing w:before="8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lineRule="atLeast" w:line="22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9" w:name="_8d5514ef_066f_418c_9b54_1fd6c7cf60d6"/>
      <w:bookmarkEnd w:id="199"/>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00" w:name="OPERATIONS_940148"/>
      <w:bookmarkEnd w:id="200"/>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1" w:name="Tc_0DWEgCJ5SE-Aniwn95a3FA_41_0"/>
      <w:bookmarkStart w:id="202" w:name="Tc_e5r4pcnLXkC9T0jBM5GzLg_40_0"/>
      <w:bookmarkStart w:id="203" w:name="Tc_OXUlDuxfCUevHPyiU0utHA_39_0"/>
      <w:bookmarkStart w:id="204" w:name="Tc_zPMDwmuIBUKiYyCNMxMgyg_37_8"/>
      <w:bookmarkStart w:id="205" w:name="Tc_W3DikeHogk2Guzmj9fqV3Q_37_5"/>
      <w:bookmarkStart w:id="206" w:name="Tc_q6u7dYNqAk-XkGcCVrcbkw_37_2"/>
      <w:bookmarkStart w:id="207" w:name="Tc_W-jSd0s2-kywRA5hG0suBg_37_0"/>
      <w:bookmarkStart w:id="208" w:name="Tc_u0D3WkQtsU6Q_c0iKJM0Rg_36_8"/>
      <w:bookmarkStart w:id="209" w:name="Tc_U3F1-yskMkCEtRke3kqbyw_36_5"/>
      <w:bookmarkStart w:id="210" w:name="Tc_8lou73ddTkOJOsuek95KvQ_36_2"/>
      <w:bookmarkStart w:id="211" w:name="Tc_4t-KY_oHCEeQnDvXbIXIpg_36_0"/>
      <w:bookmarkStart w:id="212" w:name="Tc_ELeRDSrlsUi9lbo3FYk-dg_35_0"/>
      <w:bookmarkStart w:id="213" w:name="Tc_5pPgqT3DS0aenee90f6EeA_33_8"/>
      <w:bookmarkStart w:id="214" w:name="Tc_qomssMvcLEWOzKZjh-RaUA_33_5"/>
      <w:bookmarkStart w:id="215" w:name="Tc_ZFoS2ifSDUaof_BIWylqbw_33_2"/>
      <w:bookmarkStart w:id="216" w:name="Tc_l0KUtzb5O0usmAPznEnnjw_33_0"/>
      <w:bookmarkStart w:id="217" w:name="Tc_pXNTdbbhyE6EABh9z56PAA_32_0"/>
      <w:bookmarkStart w:id="218" w:name="Tc_c3e4cfc8vUW8zD1VMiimhw_31_0"/>
      <w:bookmarkStart w:id="219" w:name="Tc_ImXwNtlQz0m3dm1tYT_huA_29_0"/>
      <w:bookmarkStart w:id="220" w:name="Tc_YkoDzBPmJ02M7UGLzYZ_mw_28_0"/>
      <w:bookmarkStart w:id="221" w:name="Tc_VeukqWdgFUm-OV8UtxKPnw_27_0"/>
      <w:bookmarkStart w:id="222" w:name="Tc_DAkR1a4sgkymy9a5X0fDHA_25_0"/>
      <w:bookmarkStart w:id="223" w:name="Tc_-R5v7_FoUku-gYiNBb-VGw_24_0"/>
      <w:bookmarkStart w:id="224" w:name="Tc_W5Ab0sbLRU-YDiB6-_HOeQ_23_0"/>
      <w:bookmarkStart w:id="225" w:name="Tc_skg762IUCUWqQD5rbG2i5w_22_0"/>
      <w:bookmarkStart w:id="226" w:name="Tc_yEe4NjQeCkmFSl_k5iG2ZA_20_0"/>
      <w:bookmarkStart w:id="227" w:name="Tc_bpZ4MhBGQECP1-B1weDGvQ_18_0"/>
      <w:bookmarkStart w:id="228" w:name="Tc_LrMScIcTz06hagnGcwmO0w_17_0"/>
      <w:bookmarkStart w:id="229" w:name="Tc_IXxj6rYcYUuudVoTt7MrxA_16_0"/>
      <w:bookmarkStart w:id="230" w:name="Tc_u4uCO-eRX0mXCwUNj49ABw_15_0"/>
      <w:bookmarkStart w:id="231" w:name="Tc_jaNIg4LMkUavVv_8mnltgw_14_0"/>
      <w:bookmarkStart w:id="232" w:name="Tc_q6rd0QHjTUyVSLKLw0ydzA_13_0"/>
      <w:bookmarkStart w:id="233" w:name="Tc_ckPZZ8P2WkuceMefBuV6cw_12_0"/>
      <w:bookmarkStart w:id="234" w:name="Tc_nskzYuJpJku7etaAi4XLLg_10_0"/>
      <w:bookmarkStart w:id="235" w:name="Tc_3R48oMFUtE2g-Ox5Wo_p3Q_8_0"/>
      <w:bookmarkStart w:id="236" w:name="Tc_3S4DovLrnku1ZtEcN1FjYg_7_0"/>
      <w:bookmarkStart w:id="237" w:name="Tc_c1hO1rejCUKFo4xwQVKltA_6_0"/>
      <w:bookmarkStart w:id="238" w:name="Tc_U1QqquzLM0iYb7qvB6pWOA_5_0"/>
      <w:bookmarkStart w:id="239" w:name="Tc_cL9luRdLAkeO94wV6bA2KA_3_8"/>
      <w:bookmarkStart w:id="240" w:name="Tc_XVcqdFVCykiShl2Q0BSBag_3_5"/>
      <w:bookmarkStart w:id="241" w:name="Tc_iQcu6yUGGU-0BSS-cRpxTw_3_2"/>
      <w:bookmarkStart w:id="242" w:name="Tc_W52ysqnj-kC7B5ej6_zmvQ_3_0"/>
      <w:bookmarkStart w:id="243" w:name="Tc_T_pVIYUrVkKojTxVGxy3Nw_2_8"/>
      <w:bookmarkStart w:id="244" w:name="Tc_tmKiLGHpaUSR-dp-NEK7gQ_2_5"/>
      <w:bookmarkStart w:id="245" w:name="Tc_zwS1DpVOS0WD1TXf3PlCVA_2_2"/>
      <w:bookmarkStart w:id="246" w:name="Tc_S-BPZWkjUky3CmagV4_-BQ_1_2"/>
      <w:bookmarkStart w:id="247" w:name="_0586fbfe_51ed_42fd_a738_4a98e6bc3582"/>
      <w:bookmarkStart w:id="248" w:name="Tc_0DWEgCJ5SE-Aniwn95a3FA_41_0"/>
      <w:bookmarkStart w:id="249" w:name="Tc_e5r4pcnLXkC9T0jBM5GzLg_40_0"/>
      <w:bookmarkStart w:id="250" w:name="Tc_OXUlDuxfCUevHPyiU0utHA_39_0"/>
      <w:bookmarkStart w:id="251" w:name="Tc_zPMDwmuIBUKiYyCNMxMgyg_37_8"/>
      <w:bookmarkStart w:id="252" w:name="Tc_W3DikeHogk2Guzmj9fqV3Q_37_5"/>
      <w:bookmarkStart w:id="253" w:name="Tc_q6u7dYNqAk-XkGcCVrcbkw_37_2"/>
      <w:bookmarkStart w:id="254" w:name="Tc_W-jSd0s2-kywRA5hG0suBg_37_0"/>
      <w:bookmarkStart w:id="255" w:name="Tc_u0D3WkQtsU6Q_c0iKJM0Rg_36_8"/>
      <w:bookmarkStart w:id="256" w:name="Tc_U3F1-yskMkCEtRke3kqbyw_36_5"/>
      <w:bookmarkStart w:id="257" w:name="Tc_8lou73ddTkOJOsuek95KvQ_36_2"/>
      <w:bookmarkStart w:id="258" w:name="Tc_4t-KY_oHCEeQnDvXbIXIpg_36_0"/>
      <w:bookmarkStart w:id="259" w:name="Tc_ELeRDSrlsUi9lbo3FYk-dg_35_0"/>
      <w:bookmarkStart w:id="260" w:name="Tc_5pPgqT3DS0aenee90f6EeA_33_8"/>
      <w:bookmarkStart w:id="261" w:name="Tc_qomssMvcLEWOzKZjh-RaUA_33_5"/>
      <w:bookmarkStart w:id="262" w:name="Tc_ZFoS2ifSDUaof_BIWylqbw_33_2"/>
      <w:bookmarkStart w:id="263" w:name="Tc_l0KUtzb5O0usmAPznEnnjw_33_0"/>
      <w:bookmarkStart w:id="264" w:name="Tc_pXNTdbbhyE6EABh9z56PAA_32_0"/>
      <w:bookmarkStart w:id="265" w:name="Tc_c3e4cfc8vUW8zD1VMiimhw_31_0"/>
      <w:bookmarkStart w:id="266" w:name="Tc_ImXwNtlQz0m3dm1tYT_huA_29_0"/>
      <w:bookmarkStart w:id="267" w:name="Tc_YkoDzBPmJ02M7UGLzYZ_mw_28_0"/>
      <w:bookmarkStart w:id="268" w:name="Tc_VeukqWdgFUm-OV8UtxKPnw_27_0"/>
      <w:bookmarkStart w:id="269" w:name="Tc_DAkR1a4sgkymy9a5X0fDHA_25_0"/>
      <w:bookmarkStart w:id="270" w:name="Tc_-R5v7_FoUku-gYiNBb-VGw_24_0"/>
      <w:bookmarkStart w:id="271" w:name="Tc_W5Ab0sbLRU-YDiB6-_HOeQ_23_0"/>
      <w:bookmarkStart w:id="272" w:name="Tc_skg762IUCUWqQD5rbG2i5w_22_0"/>
      <w:bookmarkStart w:id="273" w:name="Tc_yEe4NjQeCkmFSl_k5iG2ZA_20_0"/>
      <w:bookmarkStart w:id="274" w:name="Tc_bpZ4MhBGQECP1-B1weDGvQ_18_0"/>
      <w:bookmarkStart w:id="275" w:name="Tc_LrMScIcTz06hagnGcwmO0w_17_0"/>
      <w:bookmarkStart w:id="276" w:name="Tc_IXxj6rYcYUuudVoTt7MrxA_16_0"/>
      <w:bookmarkStart w:id="277" w:name="Tc_u4uCO-eRX0mXCwUNj49ABw_15_0"/>
      <w:bookmarkStart w:id="278" w:name="Tc_jaNIg4LMkUavVv_8mnltgw_14_0"/>
      <w:bookmarkStart w:id="279" w:name="Tc_q6rd0QHjTUyVSLKLw0ydzA_13_0"/>
      <w:bookmarkStart w:id="280" w:name="Tc_ckPZZ8P2WkuceMefBuV6cw_12_0"/>
      <w:bookmarkStart w:id="281" w:name="Tc_nskzYuJpJku7etaAi4XLLg_10_0"/>
      <w:bookmarkStart w:id="282" w:name="Tc_3R48oMFUtE2g-Ox5Wo_p3Q_8_0"/>
      <w:bookmarkStart w:id="283" w:name="Tc_3S4DovLrnku1ZtEcN1FjYg_7_0"/>
      <w:bookmarkStart w:id="284" w:name="Tc_c1hO1rejCUKFo4xwQVKltA_6_0"/>
      <w:bookmarkStart w:id="285" w:name="Tc_U1QqquzLM0iYb7qvB6pWOA_5_0"/>
      <w:bookmarkStart w:id="286" w:name="Tc_cL9luRdLAkeO94wV6bA2KA_3_8"/>
      <w:bookmarkStart w:id="287" w:name="Tc_XVcqdFVCykiShl2Q0BSBag_3_5"/>
      <w:bookmarkStart w:id="288" w:name="Tc_iQcu6yUGGU-0BSS-cRpxTw_3_2"/>
      <w:bookmarkStart w:id="289" w:name="Tc_W52ysqnj-kC7B5ej6_zmvQ_3_0"/>
      <w:bookmarkStart w:id="290" w:name="Tc_T_pVIYUrVkKojTxVGxy3Nw_2_8"/>
      <w:bookmarkStart w:id="291" w:name="Tc_tmKiLGHpaUSR-dp-NEK7gQ_2_5"/>
      <w:bookmarkStart w:id="292" w:name="Tc_zwS1DpVOS0WD1TXf3PlCVA_2_2"/>
      <w:bookmarkStart w:id="293" w:name="Tc_S-BPZWkjUky3CmagV4_-BQ_1_2"/>
      <w:bookmarkStart w:id="294" w:name="_0586fbfe_51ed_42fd_a738_4a98e6bc3582"/>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tbl>
      <w:tblPr>
        <w:tblW w:w="10205" w:type="dxa"/>
        <w:jc w:val="left"/>
        <w:tblInd w:w="0" w:type="dxa"/>
        <w:tblLayout w:type="fixed"/>
        <w:tblCellMar>
          <w:top w:w="0" w:type="dxa"/>
          <w:left w:w="0" w:type="dxa"/>
          <w:bottom w:w="0" w:type="dxa"/>
          <w:right w:w="0" w:type="dxa"/>
        </w:tblCellMar>
      </w:tblPr>
      <w:tblGrid>
        <w:gridCol w:w="6371"/>
        <w:gridCol w:w="109"/>
        <w:gridCol w:w="211"/>
        <w:gridCol w:w="792"/>
        <w:gridCol w:w="346"/>
        <w:gridCol w:w="211"/>
        <w:gridCol w:w="781"/>
        <w:gridCol w:w="346"/>
        <w:gridCol w:w="211"/>
        <w:gridCol w:w="827"/>
      </w:tblGrid>
      <w:tr>
        <w:trPr/>
        <w:tc>
          <w:tcPr>
            <w:tcW w:w="6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045585" cy="175260"/>
                      <wp:effectExtent l="0" t="0" r="0" b="0"/>
                      <wp:wrapNone/>
                      <wp:docPr id="115" name="Frame114"/>
                      <a:graphic xmlns:a="http://schemas.openxmlformats.org/drawingml/2006/main">
                        <a:graphicData uri="http://schemas.microsoft.com/office/word/2010/wordprocessingShape">
                          <wps:wsp>
                            <wps:cNvSpPr txBox="1"/>
                            <wps:spPr>
                              <a:xfrm>
                                <a:off x="0" y="0"/>
                                <a:ext cx="404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02920" cy="175260"/>
                      <wp:effectExtent l="0" t="0" r="0" b="0"/>
                      <wp:wrapNone/>
                      <wp:docPr id="118" name="Frame117"/>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21" name="Frame1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25145" cy="175260"/>
                      <wp:effectExtent l="0" t="0" r="0" b="0"/>
                      <wp:wrapNone/>
                      <wp:docPr id="124" name="Frame123"/>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7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63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510,095</w:t>
            </w:r>
          </w:p>
        </w:tc>
      </w:tr>
      <w:tr>
        <w:trPr/>
        <w:tc>
          <w:tcPr>
            <w:tcW w:w="6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costs of contract revenue (inclusive of directly related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89,915</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Subcontractor services and other direct costs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240,413</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direct costs of contract revenue</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363,016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330,328</w:t>
            </w:r>
          </w:p>
        </w:tc>
      </w:tr>
      <w:tr>
        <w:trPr/>
        <w:tc>
          <w:tcPr>
            <w:tcW w:w="63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179,767</w:t>
            </w:r>
          </w:p>
        </w:tc>
      </w:tr>
      <w:tr>
        <w:trPr/>
        <w:tc>
          <w:tcPr>
            <w:tcW w:w="63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wages, payroll taxes and employee benefits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95,556</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and facility related</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9,565</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16,431</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30,818</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157,693</w:t>
            </w:r>
          </w:p>
        </w:tc>
      </w:tr>
      <w:tr>
        <w:trPr/>
        <w:tc>
          <w:tcPr>
            <w:tcW w:w="63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22,074</w:t>
            </w:r>
          </w:p>
        </w:tc>
      </w:tr>
      <w:tr>
        <w:trPr/>
        <w:tc>
          <w:tcPr>
            <w:tcW w:w="63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(9,413)</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(7,483)</w:t>
            </w:r>
          </w:p>
        </w:tc>
      </w:tr>
      <w:tr>
        <w:trPr/>
        <w:tc>
          <w:tcPr>
            <w:tcW w:w="6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14,591</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r>
      <w:tr>
        <w:trPr/>
        <w:tc>
          <w:tcPr>
            <w:tcW w:w="6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on derivative contracts, net of tax</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10,262</w:t>
            </w:r>
          </w:p>
        </w:tc>
      </w:tr>
      <w:tr>
        <w:trPr/>
        <w:tc>
          <w:tcPr>
            <w:tcW w:w="6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r>
      <w:tr>
        <w:trPr/>
        <w:tc>
          <w:tcPr>
            <w:tcW w:w="6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6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13,394</w:t>
            </w:r>
          </w:p>
        </w:tc>
      </w:tr>
      <w:tr>
        <w:trPr/>
        <w:tc>
          <w:tcPr>
            <w:tcW w:w="6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13,606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5" w:name="_ca945dab_d7ee_431e_9f74_dd9fb8465879"/>
      <w:bookmarkEnd w:id="295"/>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296" w:name="STOCKHOLDERSEQUITY_372544"/>
      <w:bookmarkEnd w:id="296"/>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97" w:name="Tc_l7Ls-bZmCk-braHuGXGTiA_30_16"/>
      <w:bookmarkStart w:id="298" w:name="Tc_4lYXEnbZNEep5zhwkFw5Ng_30_13"/>
      <w:bookmarkStart w:id="299" w:name="Tc_v1pxd9KBu0K32N3ps_F9qQ_30_10"/>
      <w:bookmarkStart w:id="300" w:name="Tc_ZNDAiPjYaUqXn5DXnFpmkg_30_7"/>
      <w:bookmarkStart w:id="301" w:name="Tc_Ymq4xdCank6ATKMRxWXRiA_30_4"/>
      <w:bookmarkStart w:id="302" w:name="Tc_PgY5B--saECjr3oTuFC_Gg_30_0"/>
      <w:bookmarkStart w:id="303" w:name="Tc_NcYU7iXNSUWha0-nlmwnGA_29_14"/>
      <w:bookmarkStart w:id="304" w:name="Tc_EONwEZeoYEG1sYoQVXseVQ_29_8"/>
      <w:bookmarkStart w:id="305" w:name="Tc_fiQpjubSKU-kA8dAf455Gw_29_5"/>
      <w:bookmarkStart w:id="306" w:name="Tc_Hp18AXyHGkuEJzKVbykIqQ_29_2"/>
      <w:bookmarkStart w:id="307" w:name="Tc_DYEH5fSSikOP5MhQw3thuw_29_0"/>
      <w:bookmarkStart w:id="308" w:name="Tc_fKt1YCTJbUiXNTW5U8jHJg_28_11"/>
      <w:bookmarkStart w:id="309" w:name="Tc_ma5WObg9jkOSS07Rq79alQ_28_8"/>
      <w:bookmarkStart w:id="310" w:name="Tc_I344whxjFUGTfrD4bmrv1g_28_5"/>
      <w:bookmarkStart w:id="311" w:name="Tc__213lId810aE7zR2y-t5lQ_28_2"/>
      <w:bookmarkStart w:id="312" w:name="Tc__GyuxSFSWU21DS_bex29hg_28_0"/>
      <w:bookmarkStart w:id="313" w:name="Tc_1eYvJcYOIka3RQW0d8zTdg_27_14"/>
      <w:bookmarkStart w:id="314" w:name="Tc_8iS1GKebRU2V6_Dnl1P8cg_27_11"/>
      <w:bookmarkStart w:id="315" w:name="Tc_ERGzhzjxWUiOB36aaVEKZQ_27_5"/>
      <w:bookmarkStart w:id="316" w:name="Tc_sle2xIMIOUydNmqbrDaWkQ_27_2"/>
      <w:bookmarkStart w:id="317" w:name="Tc_g2YObW1GbUW6Z2DtTLDTAw_27_0"/>
      <w:bookmarkStart w:id="318" w:name="Tc_FxWla8eUrEOAjPvvu1dj6Q_26_14"/>
      <w:bookmarkStart w:id="319" w:name="Tc_CyZ6jAIKuEKJolycY_hI5g_26_11"/>
      <w:bookmarkStart w:id="320" w:name="Tc_vPj7qBpEAU6x1Cr_YRHopw_26_0"/>
      <w:bookmarkStart w:id="321" w:name="Tc_v_P26OI3VUWGD5Vo8vqo_A_25_17"/>
      <w:bookmarkStart w:id="322" w:name="Tc_IBjR3oryV0KnE2wSltOQOQ_25_14"/>
      <w:bookmarkStart w:id="323" w:name="Tc_wM94cWLYj06n1vcdEZHyPg_25_11"/>
      <w:bookmarkStart w:id="324" w:name="Tc_HSA9hbIcBEyIKvzqTGb8pg_25_0"/>
      <w:bookmarkStart w:id="325" w:name="Tc_rPRmYvBa6EiVzUgG3uK3mA_24_14"/>
      <w:bookmarkStart w:id="326" w:name="Tc_fAtkUcQjvE21bhc6jAxDLg_24_11"/>
      <w:bookmarkStart w:id="327" w:name="Tc_fM53uE2vU0aGSn-sW8ZdCQ_24_0"/>
      <w:bookmarkStart w:id="328" w:name="Tc_Y2634fuuQEy5tcHDDCohhg_23_14"/>
      <w:bookmarkStart w:id="329" w:name="Tc_51EbPG2G5k-sr-0fRqU6LA_23_11"/>
      <w:bookmarkStart w:id="330" w:name="Tc_lwu1fz9sr0iLEg_HNCXvmw_23_0"/>
      <w:bookmarkStart w:id="331" w:name="Tc_YtKKrkI5Uki87jW-4Ab9Tw_22_14"/>
      <w:bookmarkStart w:id="332" w:name="Tc_q3dztMj0Ckyj7FayYf9Y4g_22_11"/>
      <w:bookmarkStart w:id="333" w:name="Tc_vBRBL-Rx7kSJR5VL97yiuw_22_0"/>
      <w:bookmarkStart w:id="334" w:name="Tc_S0hToHzsMEeffDgIPkrl9g_21_16"/>
      <w:bookmarkStart w:id="335" w:name="Tc_OvZs1js5uke7jCkNEaKWog_21_13"/>
      <w:bookmarkStart w:id="336" w:name="Tc_bKZ3gB6NAEO_H4m1LPu0Xw_21_10"/>
      <w:bookmarkStart w:id="337" w:name="Tc_XOCLWC7QNE-sbW1sinQIoQ_21_7"/>
      <w:bookmarkStart w:id="338" w:name="Tc_VOuk9Hf-lUCnRUcN7WdVvA_21_4"/>
      <w:bookmarkStart w:id="339" w:name="Tc_21bmp9aai0qjvzIok04oLg_21_0"/>
      <w:bookmarkStart w:id="340" w:name="Tc_FWI0XQie7kan_YW5Xg2Adg_20_14"/>
      <w:bookmarkStart w:id="341" w:name="Tc_tarzf4U9xU6pXg5x3wfCMw_20_8"/>
      <w:bookmarkStart w:id="342" w:name="Tc_tRvSfHk5wkqDnih85J1cyg_20_5"/>
      <w:bookmarkStart w:id="343" w:name="Tc_29tTEIvIp0-tS1pd1gj0Zw_20_2"/>
      <w:bookmarkStart w:id="344" w:name="Tc_fXXOk08pXkSErx6-vknjfQ_20_0"/>
      <w:bookmarkStart w:id="345" w:name="Tc_bzvcJ8-O7ESUicMQpDSOvA_19_11"/>
      <w:bookmarkStart w:id="346" w:name="Tc_fx2b6QyCEEieseprpaW1Mg_19_8"/>
      <w:bookmarkStart w:id="347" w:name="Tc_unjeenO8UkuR5-z3REpXMA_19_5"/>
      <w:bookmarkStart w:id="348" w:name="Tc_XmopvnF9IU6zFwXVYuqC9A_19_2"/>
      <w:bookmarkStart w:id="349" w:name="Tc_RCl2Tx0REUKEFB1k8cM6tA_19_0"/>
      <w:bookmarkStart w:id="350" w:name="Tc_LfWuDfy8xE-4qQcliEs-9Q_18_14"/>
      <w:bookmarkStart w:id="351" w:name="Tc_lrQY7ijnWku-2zVveDmcoQ_18_11"/>
      <w:bookmarkStart w:id="352" w:name="Tc_KrLERj0aBUapRhkTlqUTcQ_18_5"/>
      <w:bookmarkStart w:id="353" w:name="Tc_FLYW_6sauk-hST7On2Up_g_18_2"/>
      <w:bookmarkStart w:id="354" w:name="Tc_Cl5COTOhoUCLpVISuyr3Pw_18_0"/>
      <w:bookmarkStart w:id="355" w:name="Tc_MlO9l52AKkKo8DkeihMDqg_17_17"/>
      <w:bookmarkStart w:id="356" w:name="Tc_dv-rhpQiWkiJv_Dl8rIQKA_17_14"/>
      <w:bookmarkStart w:id="357" w:name="Tc_dW_V9Fw5A0OWBugYMK1lww_17_11"/>
      <w:bookmarkStart w:id="358" w:name="Tc_-kyzFNHYxUm2GzygCZjVmw_17_0"/>
      <w:bookmarkStart w:id="359" w:name="Tc_2FLQ6i4t90iPntuBqnM6aA_16_14"/>
      <w:bookmarkStart w:id="360" w:name="Tc_nCeBH1Rld0yALNeE87Fx6Q_16_11"/>
      <w:bookmarkStart w:id="361" w:name="Tc_L95GVkZfFUOueOsARSMB5Q_16_0"/>
      <w:bookmarkStart w:id="362" w:name="Tc_efTZLSSnmECDK_kHvagIKw_15_14"/>
      <w:bookmarkStart w:id="363" w:name="Tc_u-C6Js1BsU6bovKICHLuxg_15_11"/>
      <w:bookmarkStart w:id="364" w:name="Tc_rasL5-8IzkmsDQY-reGZHA_15_0"/>
      <w:bookmarkStart w:id="365" w:name="Tc_Cvk7JkBQ20qSSLEBDUcc-w_14_14"/>
      <w:bookmarkStart w:id="366" w:name="Tc_ysXtqjIKXEycPtOICf6Jnw_14_11"/>
      <w:bookmarkStart w:id="367" w:name="Tc_5LUrCYUP2UK7MPNVBc1IIA_14_0"/>
      <w:bookmarkStart w:id="368" w:name="Tc_tNM6lLX2u0e0vkwoN82fBA_13_16"/>
      <w:bookmarkStart w:id="369" w:name="Tc_usm_a0FkmEugrnW5EqQe9w_13_13"/>
      <w:bookmarkStart w:id="370" w:name="Tc_l2DK7oqae0-gB8BnWi0nog_13_10"/>
      <w:bookmarkStart w:id="371" w:name="Tc_wT8kUxHpwEiURMR7R3HfQg_13_7"/>
      <w:bookmarkStart w:id="372" w:name="Tc_vSrpxDtXSU6DMa0qScmN9Q_13_4"/>
      <w:bookmarkStart w:id="373" w:name="Tc_-nN3bh7ghkKV64rjHK8BQw_13_0"/>
      <w:bookmarkStart w:id="374" w:name="Tc__jydDGSsXkO17s8UemM6Xw_12_14"/>
      <w:bookmarkStart w:id="375" w:name="Tc_VBZIbBqPCkmdtd9L4e6Xow_12_8"/>
      <w:bookmarkStart w:id="376" w:name="Tc_QgJ3zR5Vikmi7Ssr448Pqg_12_5"/>
      <w:bookmarkStart w:id="377" w:name="Tc_LNrBKJ8KJkeyujRhzN6QCA_12_2"/>
      <w:bookmarkStart w:id="378" w:name="Tc_jwtqw_oNWUK9JJx0d1Ip6w_12_0"/>
      <w:bookmarkStart w:id="379" w:name="Tc_YcXaWDx96UqgCeaUErluhw_11_11"/>
      <w:bookmarkStart w:id="380" w:name="Tc_uYkcaOYmSUKUiogcyyNdOg_11_8"/>
      <w:bookmarkStart w:id="381" w:name="Tc_EbqlFK0XqUCfPgZJ0mn45A_11_5"/>
      <w:bookmarkStart w:id="382" w:name="Tc_pgE-5Lo5JkSsLuafopSuGg_11_2"/>
      <w:bookmarkStart w:id="383" w:name="Tc_h4RTgU5aR0O99_z4IInRoQ_11_0"/>
      <w:bookmarkStart w:id="384" w:name="Tc_uIT6cQhEQUuEGigiUFz67A_10_14"/>
      <w:bookmarkStart w:id="385" w:name="Tc_EV1wqZHbl02MNRcknGVQQw_10_11"/>
      <w:bookmarkStart w:id="386" w:name="Tc_SPYkrpeweUqe4xsVOooGDA_10_5"/>
      <w:bookmarkStart w:id="387" w:name="Tc_41nCYgFPrkurCjwaHG0mrQ_10_2"/>
      <w:bookmarkStart w:id="388" w:name="Tc_JXpa4zvzLEaF_QKCkhRA6w_10_0"/>
      <w:bookmarkStart w:id="389" w:name="Tc_8pzfcxpv10Gy1GgZxrWL-w_9_17"/>
      <w:bookmarkStart w:id="390" w:name="Tc_rOzLjSom4kSKWPifyylknA_9_14"/>
      <w:bookmarkStart w:id="391" w:name="Tc_sVFb1qljYkea1Rr-dDvmHA_9_11"/>
      <w:bookmarkStart w:id="392" w:name="Tc_GUiV-0BrJkyxKwBxVUWGuA_9_0"/>
      <w:bookmarkStart w:id="393" w:name="Tc_lM-Ht4EAQU-4BjY6gZpUYw_8_14"/>
      <w:bookmarkStart w:id="394" w:name="Tc_jzN6xnnrk0ufZtuFSy-lVg_8_11"/>
      <w:bookmarkStart w:id="395" w:name="Tc_kZeM1iJrDkaE_r_vhxW4iQ_8_5"/>
      <w:bookmarkStart w:id="396" w:name="Tc_PIYr4LxRHk6J2JAmzfN_Xw_8_0"/>
      <w:bookmarkStart w:id="397" w:name="Tc_CwMZjZkByEigyksalPkY3g_7_14"/>
      <w:bookmarkStart w:id="398" w:name="Tc_RnBUnvNclkGp-ebg8A5UrA_7_11"/>
      <w:bookmarkStart w:id="399" w:name="Tc_XxMDgEHG2U6uVXin1_HJug_7_5"/>
      <w:bookmarkStart w:id="400" w:name="Tc_H0unvw8ZYEmA6_bAM9DKxw_7_0"/>
      <w:bookmarkStart w:id="401" w:name="Tc_Z1zHozN-PEGWsrPSjrIs_w_6_14"/>
      <w:bookmarkStart w:id="402" w:name="Tc_2-_2zb5nUkOoEOUjGjr5BQ_6_11"/>
      <w:bookmarkStart w:id="403" w:name="Tc_oTBP1sJqz0CK0KuLQzuQSA_6_0"/>
      <w:bookmarkStart w:id="404" w:name="Tc_OfVuUQmEtEehPCekU2fnqA_5_16"/>
      <w:bookmarkStart w:id="405" w:name="Tc_5clBLRHZkUqc_2V2rNnvyQ_5_13"/>
      <w:bookmarkStart w:id="406" w:name="Tc_sUGfoJXePUiBbU8-9fCQyg_5_10"/>
      <w:bookmarkStart w:id="407" w:name="Tc_1GDI5dHCBESsaBL-HcrL_Q_5_7"/>
      <w:bookmarkStart w:id="408" w:name="Tc_xKWtywijoUaN7yBlh18xPQ_5_4"/>
      <w:bookmarkStart w:id="409" w:name="Tc_ndlEvT3QN0GqiwsIbnAtdg_5_0"/>
      <w:bookmarkStart w:id="410" w:name="Tc_0WJPWzFc-kmWcGnJUDMpwQ_4_16"/>
      <w:bookmarkStart w:id="411" w:name="Tc_ocmlTU2QA0iO99-WKYdgvA_4_13"/>
      <w:bookmarkStart w:id="412" w:name="Tc_r0vdkuCQiUC5ROmqJTtWQw_4_10"/>
      <w:bookmarkStart w:id="413" w:name="Tc_bT6Od6JG0EqRT7DuRtoSBw_4_7"/>
      <w:bookmarkStart w:id="414" w:name="Tc_nYx0DaI8akK9yozadJfxxw_4_4"/>
      <w:bookmarkStart w:id="415" w:name="Tc_h01WR_2eDEmKfVh_mGVzcw_4_2"/>
      <w:bookmarkStart w:id="416" w:name="Tc_pWo-HbofIk6cFnEnFkWRrw_3_13"/>
      <w:bookmarkStart w:id="417" w:name="Tc_2W2mw7vCwkOgZGguZ2ihlA_3_10"/>
      <w:bookmarkStart w:id="418" w:name="Tc_ZxC951giKEWSfWOriq4oLw_3_7"/>
      <w:bookmarkStart w:id="419" w:name="Tc_9hPvHFwdekSn7D95f6XlFw_3_2"/>
      <w:bookmarkStart w:id="420" w:name="Tc_4wfb4gXXQEG02ZVYwdw2DQ_2_10"/>
      <w:bookmarkStart w:id="421" w:name="Tc_D_FBA7ZgU0GWMKq3yyqEBQ_2_7"/>
      <w:bookmarkStart w:id="422" w:name="Tc_LF5lQhE-yk-sp_nVJEqcpQ_1_10"/>
      <w:bookmarkStart w:id="423" w:name="_e9a885f9_7b7a_4c9c_8400_f83051165430"/>
      <w:bookmarkStart w:id="424" w:name="Tc_l7Ls-bZmCk-braHuGXGTiA_30_16"/>
      <w:bookmarkStart w:id="425" w:name="Tc_4lYXEnbZNEep5zhwkFw5Ng_30_13"/>
      <w:bookmarkStart w:id="426" w:name="Tc_v1pxd9KBu0K32N3ps_F9qQ_30_10"/>
      <w:bookmarkStart w:id="427" w:name="Tc_ZNDAiPjYaUqXn5DXnFpmkg_30_7"/>
      <w:bookmarkStart w:id="428" w:name="Tc_Ymq4xdCank6ATKMRxWXRiA_30_4"/>
      <w:bookmarkStart w:id="429" w:name="Tc_PgY5B--saECjr3oTuFC_Gg_30_0"/>
      <w:bookmarkStart w:id="430" w:name="Tc_NcYU7iXNSUWha0-nlmwnGA_29_14"/>
      <w:bookmarkStart w:id="431" w:name="Tc_EONwEZeoYEG1sYoQVXseVQ_29_8"/>
      <w:bookmarkStart w:id="432" w:name="Tc_fiQpjubSKU-kA8dAf455Gw_29_5"/>
      <w:bookmarkStart w:id="433" w:name="Tc_Hp18AXyHGkuEJzKVbykIqQ_29_2"/>
      <w:bookmarkStart w:id="434" w:name="Tc_DYEH5fSSikOP5MhQw3thuw_29_0"/>
      <w:bookmarkStart w:id="435" w:name="Tc_fKt1YCTJbUiXNTW5U8jHJg_28_11"/>
      <w:bookmarkStart w:id="436" w:name="Tc_ma5WObg9jkOSS07Rq79alQ_28_8"/>
      <w:bookmarkStart w:id="437" w:name="Tc_I344whxjFUGTfrD4bmrv1g_28_5"/>
      <w:bookmarkStart w:id="438" w:name="Tc__213lId810aE7zR2y-t5lQ_28_2"/>
      <w:bookmarkStart w:id="439" w:name="Tc__GyuxSFSWU21DS_bex29hg_28_0"/>
      <w:bookmarkStart w:id="440" w:name="Tc_1eYvJcYOIka3RQW0d8zTdg_27_14"/>
      <w:bookmarkStart w:id="441" w:name="Tc_8iS1GKebRU2V6_Dnl1P8cg_27_11"/>
      <w:bookmarkStart w:id="442" w:name="Tc_ERGzhzjxWUiOB36aaVEKZQ_27_5"/>
      <w:bookmarkStart w:id="443" w:name="Tc_sle2xIMIOUydNmqbrDaWkQ_27_2"/>
      <w:bookmarkStart w:id="444" w:name="Tc_g2YObW1GbUW6Z2DtTLDTAw_27_0"/>
      <w:bookmarkStart w:id="445" w:name="Tc_FxWla8eUrEOAjPvvu1dj6Q_26_14"/>
      <w:bookmarkStart w:id="446" w:name="Tc_CyZ6jAIKuEKJolycY_hI5g_26_11"/>
      <w:bookmarkStart w:id="447" w:name="Tc_vPj7qBpEAU6x1Cr_YRHopw_26_0"/>
      <w:bookmarkStart w:id="448" w:name="Tc_v_P26OI3VUWGD5Vo8vqo_A_25_17"/>
      <w:bookmarkStart w:id="449" w:name="Tc_IBjR3oryV0KnE2wSltOQOQ_25_14"/>
      <w:bookmarkStart w:id="450" w:name="Tc_wM94cWLYj06n1vcdEZHyPg_25_11"/>
      <w:bookmarkStart w:id="451" w:name="Tc_HSA9hbIcBEyIKvzqTGb8pg_25_0"/>
      <w:bookmarkStart w:id="452" w:name="Tc_rPRmYvBa6EiVzUgG3uK3mA_24_14"/>
      <w:bookmarkStart w:id="453" w:name="Tc_fAtkUcQjvE21bhc6jAxDLg_24_11"/>
      <w:bookmarkStart w:id="454" w:name="Tc_fM53uE2vU0aGSn-sW8ZdCQ_24_0"/>
      <w:bookmarkStart w:id="455" w:name="Tc_Y2634fuuQEy5tcHDDCohhg_23_14"/>
      <w:bookmarkStart w:id="456" w:name="Tc_51EbPG2G5k-sr-0fRqU6LA_23_11"/>
      <w:bookmarkStart w:id="457" w:name="Tc_lwu1fz9sr0iLEg_HNCXvmw_23_0"/>
      <w:bookmarkStart w:id="458" w:name="Tc_YtKKrkI5Uki87jW-4Ab9Tw_22_14"/>
      <w:bookmarkStart w:id="459" w:name="Tc_q3dztMj0Ckyj7FayYf9Y4g_22_11"/>
      <w:bookmarkStart w:id="460" w:name="Tc_vBRBL-Rx7kSJR5VL97yiuw_22_0"/>
      <w:bookmarkStart w:id="461" w:name="Tc_S0hToHzsMEeffDgIPkrl9g_21_16"/>
      <w:bookmarkStart w:id="462" w:name="Tc_OvZs1js5uke7jCkNEaKWog_21_13"/>
      <w:bookmarkStart w:id="463" w:name="Tc_bKZ3gB6NAEO_H4m1LPu0Xw_21_10"/>
      <w:bookmarkStart w:id="464" w:name="Tc_XOCLWC7QNE-sbW1sinQIoQ_21_7"/>
      <w:bookmarkStart w:id="465" w:name="Tc_VOuk9Hf-lUCnRUcN7WdVvA_21_4"/>
      <w:bookmarkStart w:id="466" w:name="Tc_21bmp9aai0qjvzIok04oLg_21_0"/>
      <w:bookmarkStart w:id="467" w:name="Tc_FWI0XQie7kan_YW5Xg2Adg_20_14"/>
      <w:bookmarkStart w:id="468" w:name="Tc_tarzf4U9xU6pXg5x3wfCMw_20_8"/>
      <w:bookmarkStart w:id="469" w:name="Tc_tRvSfHk5wkqDnih85J1cyg_20_5"/>
      <w:bookmarkStart w:id="470" w:name="Tc_29tTEIvIp0-tS1pd1gj0Zw_20_2"/>
      <w:bookmarkStart w:id="471" w:name="Tc_fXXOk08pXkSErx6-vknjfQ_20_0"/>
      <w:bookmarkStart w:id="472" w:name="Tc_bzvcJ8-O7ESUicMQpDSOvA_19_11"/>
      <w:bookmarkStart w:id="473" w:name="Tc_fx2b6QyCEEieseprpaW1Mg_19_8"/>
      <w:bookmarkStart w:id="474" w:name="Tc_unjeenO8UkuR5-z3REpXMA_19_5"/>
      <w:bookmarkStart w:id="475" w:name="Tc_XmopvnF9IU6zFwXVYuqC9A_19_2"/>
      <w:bookmarkStart w:id="476" w:name="Tc_RCl2Tx0REUKEFB1k8cM6tA_19_0"/>
      <w:bookmarkStart w:id="477" w:name="Tc_LfWuDfy8xE-4qQcliEs-9Q_18_14"/>
      <w:bookmarkStart w:id="478" w:name="Tc_lrQY7ijnWku-2zVveDmcoQ_18_11"/>
      <w:bookmarkStart w:id="479" w:name="Tc_KrLERj0aBUapRhkTlqUTcQ_18_5"/>
      <w:bookmarkStart w:id="480" w:name="Tc_FLYW_6sauk-hST7On2Up_g_18_2"/>
      <w:bookmarkStart w:id="481" w:name="Tc_Cl5COTOhoUCLpVISuyr3Pw_18_0"/>
      <w:bookmarkStart w:id="482" w:name="Tc_MlO9l52AKkKo8DkeihMDqg_17_17"/>
      <w:bookmarkStart w:id="483" w:name="Tc_dv-rhpQiWkiJv_Dl8rIQKA_17_14"/>
      <w:bookmarkStart w:id="484" w:name="Tc_dW_V9Fw5A0OWBugYMK1lww_17_11"/>
      <w:bookmarkStart w:id="485" w:name="Tc_-kyzFNHYxUm2GzygCZjVmw_17_0"/>
      <w:bookmarkStart w:id="486" w:name="Tc_2FLQ6i4t90iPntuBqnM6aA_16_14"/>
      <w:bookmarkStart w:id="487" w:name="Tc_nCeBH1Rld0yALNeE87Fx6Q_16_11"/>
      <w:bookmarkStart w:id="488" w:name="Tc_L95GVkZfFUOueOsARSMB5Q_16_0"/>
      <w:bookmarkStart w:id="489" w:name="Tc_efTZLSSnmECDK_kHvagIKw_15_14"/>
      <w:bookmarkStart w:id="490" w:name="Tc_u-C6Js1BsU6bovKICHLuxg_15_11"/>
      <w:bookmarkStart w:id="491" w:name="Tc_rasL5-8IzkmsDQY-reGZHA_15_0"/>
      <w:bookmarkStart w:id="492" w:name="Tc_Cvk7JkBQ20qSSLEBDUcc-w_14_14"/>
      <w:bookmarkStart w:id="493" w:name="Tc_ysXtqjIKXEycPtOICf6Jnw_14_11"/>
      <w:bookmarkStart w:id="494" w:name="Tc_5LUrCYUP2UK7MPNVBc1IIA_14_0"/>
      <w:bookmarkStart w:id="495" w:name="Tc_tNM6lLX2u0e0vkwoN82fBA_13_16"/>
      <w:bookmarkStart w:id="496" w:name="Tc_usm_a0FkmEugrnW5EqQe9w_13_13"/>
      <w:bookmarkStart w:id="497" w:name="Tc_l2DK7oqae0-gB8BnWi0nog_13_10"/>
      <w:bookmarkStart w:id="498" w:name="Tc_wT8kUxHpwEiURMR7R3HfQg_13_7"/>
      <w:bookmarkStart w:id="499" w:name="Tc_vSrpxDtXSU6DMa0qScmN9Q_13_4"/>
      <w:bookmarkStart w:id="500" w:name="Tc_-nN3bh7ghkKV64rjHK8BQw_13_0"/>
      <w:bookmarkStart w:id="501" w:name="Tc__jydDGSsXkO17s8UemM6Xw_12_14"/>
      <w:bookmarkStart w:id="502" w:name="Tc_VBZIbBqPCkmdtd9L4e6Xow_12_8"/>
      <w:bookmarkStart w:id="503" w:name="Tc_QgJ3zR5Vikmi7Ssr448Pqg_12_5"/>
      <w:bookmarkStart w:id="504" w:name="Tc_LNrBKJ8KJkeyujRhzN6QCA_12_2"/>
      <w:bookmarkStart w:id="505" w:name="Tc_jwtqw_oNWUK9JJx0d1Ip6w_12_0"/>
      <w:bookmarkStart w:id="506" w:name="Tc_YcXaWDx96UqgCeaUErluhw_11_11"/>
      <w:bookmarkStart w:id="507" w:name="Tc_uYkcaOYmSUKUiogcyyNdOg_11_8"/>
      <w:bookmarkStart w:id="508" w:name="Tc_EbqlFK0XqUCfPgZJ0mn45A_11_5"/>
      <w:bookmarkStart w:id="509" w:name="Tc_pgE-5Lo5JkSsLuafopSuGg_11_2"/>
      <w:bookmarkStart w:id="510" w:name="Tc_h4RTgU5aR0O99_z4IInRoQ_11_0"/>
      <w:bookmarkStart w:id="511" w:name="Tc_uIT6cQhEQUuEGigiUFz67A_10_14"/>
      <w:bookmarkStart w:id="512" w:name="Tc_EV1wqZHbl02MNRcknGVQQw_10_11"/>
      <w:bookmarkStart w:id="513" w:name="Tc_SPYkrpeweUqe4xsVOooGDA_10_5"/>
      <w:bookmarkStart w:id="514" w:name="Tc_41nCYgFPrkurCjwaHG0mrQ_10_2"/>
      <w:bookmarkStart w:id="515" w:name="Tc_JXpa4zvzLEaF_QKCkhRA6w_10_0"/>
      <w:bookmarkStart w:id="516" w:name="Tc_8pzfcxpv10Gy1GgZxrWL-w_9_17"/>
      <w:bookmarkStart w:id="517" w:name="Tc_rOzLjSom4kSKWPifyylknA_9_14"/>
      <w:bookmarkStart w:id="518" w:name="Tc_sVFb1qljYkea1Rr-dDvmHA_9_11"/>
      <w:bookmarkStart w:id="519" w:name="Tc_GUiV-0BrJkyxKwBxVUWGuA_9_0"/>
      <w:bookmarkStart w:id="520" w:name="Tc_lM-Ht4EAQU-4BjY6gZpUYw_8_14"/>
      <w:bookmarkStart w:id="521" w:name="Tc_jzN6xnnrk0ufZtuFSy-lVg_8_11"/>
      <w:bookmarkStart w:id="522" w:name="Tc_kZeM1iJrDkaE_r_vhxW4iQ_8_5"/>
      <w:bookmarkStart w:id="523" w:name="Tc_PIYr4LxRHk6J2JAmzfN_Xw_8_0"/>
      <w:bookmarkStart w:id="524" w:name="Tc_CwMZjZkByEigyksalPkY3g_7_14"/>
      <w:bookmarkStart w:id="525" w:name="Tc_RnBUnvNclkGp-ebg8A5UrA_7_11"/>
      <w:bookmarkStart w:id="526" w:name="Tc_XxMDgEHG2U6uVXin1_HJug_7_5"/>
      <w:bookmarkStart w:id="527" w:name="Tc_H0unvw8ZYEmA6_bAM9DKxw_7_0"/>
      <w:bookmarkStart w:id="528" w:name="Tc_Z1zHozN-PEGWsrPSjrIs_w_6_14"/>
      <w:bookmarkStart w:id="529" w:name="Tc_2-_2zb5nUkOoEOUjGjr5BQ_6_11"/>
      <w:bookmarkStart w:id="530" w:name="Tc_oTBP1sJqz0CK0KuLQzuQSA_6_0"/>
      <w:bookmarkStart w:id="531" w:name="Tc_OfVuUQmEtEehPCekU2fnqA_5_16"/>
      <w:bookmarkStart w:id="532" w:name="Tc_5clBLRHZkUqc_2V2rNnvyQ_5_13"/>
      <w:bookmarkStart w:id="533" w:name="Tc_sUGfoJXePUiBbU8-9fCQyg_5_10"/>
      <w:bookmarkStart w:id="534" w:name="Tc_1GDI5dHCBESsaBL-HcrL_Q_5_7"/>
      <w:bookmarkStart w:id="535" w:name="Tc_xKWtywijoUaN7yBlh18xPQ_5_4"/>
      <w:bookmarkStart w:id="536" w:name="Tc_ndlEvT3QN0GqiwsIbnAtdg_5_0"/>
      <w:bookmarkStart w:id="537" w:name="Tc_0WJPWzFc-kmWcGnJUDMpwQ_4_16"/>
      <w:bookmarkStart w:id="538" w:name="Tc_ocmlTU2QA0iO99-WKYdgvA_4_13"/>
      <w:bookmarkStart w:id="539" w:name="Tc_r0vdkuCQiUC5ROmqJTtWQw_4_10"/>
      <w:bookmarkStart w:id="540" w:name="Tc_bT6Od6JG0EqRT7DuRtoSBw_4_7"/>
      <w:bookmarkStart w:id="541" w:name="Tc_nYx0DaI8akK9yozadJfxxw_4_4"/>
      <w:bookmarkStart w:id="542" w:name="Tc_h01WR_2eDEmKfVh_mGVzcw_4_2"/>
      <w:bookmarkStart w:id="543" w:name="Tc_pWo-HbofIk6cFnEnFkWRrw_3_13"/>
      <w:bookmarkStart w:id="544" w:name="Tc_2W2mw7vCwkOgZGguZ2ihlA_3_10"/>
      <w:bookmarkStart w:id="545" w:name="Tc_ZxC951giKEWSfWOriq4oLw_3_7"/>
      <w:bookmarkStart w:id="546" w:name="Tc_9hPvHFwdekSn7D95f6XlFw_3_2"/>
      <w:bookmarkStart w:id="547" w:name="Tc_4wfb4gXXQEG02ZVYwdw2DQ_2_10"/>
      <w:bookmarkStart w:id="548" w:name="Tc_D_FBA7ZgU0GWMKq3yyqEBQ_2_7"/>
      <w:bookmarkStart w:id="549" w:name="Tc_LF5lQhE-yk-sp_nVJEqcpQ_1_10"/>
      <w:bookmarkStart w:id="550" w:name="_e9a885f9_7b7a_4c9c_8400_f83051165430"/>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tbl>
      <w:tblPr>
        <w:tblW w:w="10205" w:type="dxa"/>
        <w:jc w:val="left"/>
        <w:tblInd w:w="0" w:type="dxa"/>
        <w:tblLayout w:type="fixed"/>
        <w:tblCellMar>
          <w:top w:w="0" w:type="dxa"/>
          <w:left w:w="0" w:type="dxa"/>
          <w:bottom w:w="0" w:type="dxa"/>
          <w:right w:w="0" w:type="dxa"/>
        </w:tblCellMar>
      </w:tblPr>
      <w:tblGrid>
        <w:gridCol w:w="2516"/>
        <w:gridCol w:w="346"/>
        <w:gridCol w:w="686"/>
        <w:gridCol w:w="346"/>
        <w:gridCol w:w="230"/>
        <w:gridCol w:w="462"/>
        <w:gridCol w:w="346"/>
        <w:gridCol w:w="211"/>
        <w:gridCol w:w="791"/>
        <w:gridCol w:w="346"/>
        <w:gridCol w:w="370"/>
        <w:gridCol w:w="846"/>
        <w:gridCol w:w="346"/>
        <w:gridCol w:w="211"/>
        <w:gridCol w:w="686"/>
        <w:gridCol w:w="346"/>
        <w:gridCol w:w="221"/>
        <w:gridCol w:w="899"/>
      </w:tblGrid>
      <w:tr>
        <w:trPr/>
        <w:tc>
          <w:tcPr>
            <w:tcW w:w="2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35610" cy="175260"/>
                      <wp:effectExtent l="0" t="0" r="0" b="0"/>
                      <wp:wrapNone/>
                      <wp:docPr id="126" name="Frame12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6050" cy="175260"/>
                      <wp:effectExtent l="0" t="0" r="0" b="0"/>
                      <wp:wrapNone/>
                      <wp:docPr id="128" name="Frame12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93370" cy="175260"/>
                      <wp:effectExtent l="0" t="0" r="0" b="0"/>
                      <wp:wrapNone/>
                      <wp:docPr id="129" name="Frame128"/>
                      <a:graphic xmlns:a="http://schemas.openxmlformats.org/drawingml/2006/main">
                        <a:graphicData uri="http://schemas.microsoft.com/office/word/2010/wordprocessingShape">
                          <wps:wsp>
                            <wps:cNvSpPr txBox="1"/>
                            <wps:spPr>
                              <a:xfrm>
                                <a:off x="0" y="0"/>
                                <a:ext cx="29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2285" cy="175260"/>
                      <wp:effectExtent l="0" t="0" r="0" b="0"/>
                      <wp:wrapNone/>
                      <wp:docPr id="132" name="Frame13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34950" cy="175260"/>
                      <wp:effectExtent l="0" t="0" r="0" b="0"/>
                      <wp:wrapNone/>
                      <wp:docPr id="134" name="Frame13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37210" cy="175260"/>
                      <wp:effectExtent l="0" t="0" r="0" b="0"/>
                      <wp:wrapNone/>
                      <wp:docPr id="135" name="Frame13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35610" cy="175260"/>
                      <wp:effectExtent l="0" t="0" r="0" b="0"/>
                      <wp:wrapNone/>
                      <wp:docPr id="138" name="Frame13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0335" cy="175260"/>
                      <wp:effectExtent l="0" t="0" r="0" b="0"/>
                      <wp:wrapNone/>
                      <wp:docPr id="140" name="Frame13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70865" cy="175260"/>
                      <wp:effectExtent l="0" t="0" r="0" b="0"/>
                      <wp:wrapNone/>
                      <wp:docPr id="141" name="Frame14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2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89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Retained </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r>
      <w:tr>
        <w:trPr/>
        <w:tc>
          <w:tcPr>
            <w:tcW w:w="2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46" w:type="dxa"/>
            <w:tcBorders/>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30, 2022</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13,296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133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177,718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3,651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181,502 </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5,323</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29, 2023</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13,682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137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185,795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14,577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199,845 </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7,388</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22,570</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22,570</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December 27, 2024</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14,169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142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197,368 </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37,147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234,343 </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employee stock purchase plan</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3,248</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of common stock issued in connection with incentive stock plan</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pay taxes on stock grants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restricted stock award and units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issued to acquire businesses</w:t>
            </w:r>
          </w:p>
        </w:tc>
        <w:tc>
          <w:tcPr>
            <w:tcW w:w="346"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5,555</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4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11,825</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11,825</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4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52,557</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52,557</w:t>
            </w:r>
          </w:p>
        </w:tc>
      </w:tr>
      <w:tr>
        <w:trPr/>
        <w:tc>
          <w:tcPr>
            <w:tcW w:w="2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5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2, 2026</w:t>
            </w:r>
          </w:p>
        </w:tc>
        <w:tc>
          <w:tcPr>
            <w:tcW w:w="346" w:type="dxa"/>
            <w:tcBorders/>
            <w:vAlign w:val="center"/>
          </w:tcPr>
          <w:p>
            <w:pPr>
              <w:pStyle w:val="TableContents"/>
              <w:bidi w:val="0"/>
              <w:spacing w:before="0" w:after="0"/>
              <w:ind w:left="0" w:right="0" w:hanging="0"/>
              <w:jc w:val="left"/>
              <w:rPr/>
            </w:pPr>
            <w:r>
              <w:rPr/>
              <w:t> </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14,762 </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148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215,269 </w:t>
            </w:r>
          </w:p>
        </w:tc>
        <w:tc>
          <w:tcPr>
            <w:tcW w:w="34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89,704 </w:t>
            </w:r>
          </w:p>
        </w:tc>
        <w:tc>
          <w:tcPr>
            <w:tcW w:w="34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 xml:space="preserve">304,851 </w:t>
            </w:r>
          </w:p>
        </w:tc>
      </w:tr>
    </w:tbl>
    <w:p>
      <w:pPr>
        <w:pStyle w:val="TextBody"/>
        <w:bidi w:val="0"/>
        <w:spacing w:before="0" w:after="0"/>
        <w:ind w:left="0" w:right="0" w:hanging="0"/>
        <w:jc w:val="center"/>
        <w:rPr/>
      </w:pPr>
      <w:r>
        <w:rPr/>
        <w:t>​</w:t>
      </w:r>
    </w:p>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1" w:name="_bdb29fc9_9a78_496e_bfbb_f0a35cbfc942"/>
      <w:bookmarkEnd w:id="551"/>
      <w:r>
        <w:rPr>
          <w:rFonts w:ascii="Times New Roman;Times;serif" w:hAnsi="Times New Roman;Times;serif"/>
          <w:b/>
          <w:sz w:val="20"/>
        </w:rPr>
        <w:t>WILLDAN GROUP, INC. AND SUBSIDIARIES</w:t>
      </w:r>
    </w:p>
    <w:p>
      <w:pPr>
        <w:pStyle w:val="TextBody"/>
        <w:bidi w:val="0"/>
        <w:spacing w:before="0" w:after="0"/>
        <w:ind w:left="0" w:right="0" w:hanging="0"/>
        <w:jc w:val="center"/>
        <w:rPr>
          <w:rFonts w:ascii="Times New Roman;Times;serif" w:hAnsi="Times New Roman;Times;serif"/>
          <w:b/>
          <w:sz w:val="20"/>
        </w:rPr>
      </w:pPr>
      <w:bookmarkStart w:id="552" w:name="CONSOLIDATEDSTATEMENTSOFCASHFLOWS_554577"/>
      <w:bookmarkEnd w:id="552"/>
      <w:r>
        <w:rPr>
          <w:rFonts w:ascii="Times New Roman;Times;serif" w:hAnsi="Times New Roman;Times;serif"/>
          <w:b/>
          <w:sz w:val="20"/>
        </w:rPr>
        <w:t>CONSOLIDATED STATEMENTS OF CASH FLOWS</w:t>
      </w:r>
    </w:p>
    <w:p>
      <w:pPr>
        <w:pStyle w:val="TextBody"/>
        <w:bidi w:val="0"/>
        <w:spacing w:before="0" w:after="120"/>
        <w:ind w:left="0" w:right="0" w:hanging="0"/>
        <w:jc w:val="center"/>
        <w:rPr>
          <w:rFonts w:ascii="Times New Roman;Times;serif" w:hAnsi="Times New Roman;Times;serif"/>
          <w:b/>
          <w:sz w:val="19"/>
        </w:rPr>
      </w:pPr>
      <w:r>
        <w:rPr>
          <w:rFonts w:ascii="Times New Roman;Times;serif" w:hAnsi="Times New Roman;Times;serif"/>
          <w:b/>
          <w:sz w:val="19"/>
        </w:rPr>
        <w:t>(in thousands)</w:t>
      </w:r>
    </w:p>
    <w:p>
      <w:pPr>
        <w:pStyle w:val="Normal"/>
        <w:bidi w:val="0"/>
        <w:spacing w:before="0" w:after="0"/>
        <w:jc w:val="left"/>
        <w:rPr>
          <w:sz w:val="4"/>
          <w:szCs w:val="4"/>
        </w:rPr>
      </w:pPr>
      <w:r>
        <w:rPr>
          <w:sz w:val="4"/>
          <w:szCs w:val="4"/>
        </w:rPr>
      </w:r>
      <w:bookmarkStart w:id="553" w:name="Tc_UCgYDV_Qj067McGFcDkL9w_53_0"/>
      <w:bookmarkStart w:id="554" w:name="Tc_qh64_8UJAU2HSYz8L3rrVQ_52_9"/>
      <w:bookmarkStart w:id="555" w:name="Tc_PpJVzrkY6UK3DMw2kIsBKg_52_0"/>
      <w:bookmarkStart w:id="556" w:name="Tc_sM_SpcfAjUGXDVbmcHs4xg_51_9"/>
      <w:bookmarkStart w:id="557" w:name="Tc_YrKRCTfocE6uTO060AXKZg_51_8"/>
      <w:bookmarkStart w:id="558" w:name="Tc_FcE5zP7YuE2NoIlJfYVuSQ_51_6"/>
      <w:bookmarkStart w:id="559" w:name="Tc_65wRGFFSJ0K1f5UtfuNf-w_51_5"/>
      <w:bookmarkStart w:id="560" w:name="Tc__xbduKlpiEOm-hjID7-22w_51_2"/>
      <w:bookmarkStart w:id="561" w:name="Tc_Zg7aJ1WK00GntbQfzZrWdA_51_0"/>
      <w:bookmarkStart w:id="562" w:name="Tc_KyC7WWM2bk2mR9UOxGUozQ_50_0"/>
      <w:bookmarkStart w:id="563" w:name="Tc_6C0rqf0F7kO_Jwlm-r_X7Q_49_0"/>
      <w:bookmarkStart w:id="564" w:name="Tc_-I_438JTqESU_pRkMZJk0Q_48_8"/>
      <w:bookmarkStart w:id="565" w:name="Tc_HmKs5lkPzkO_mvLrUaTBow_48_5"/>
      <w:bookmarkStart w:id="566" w:name="Tc_EEmLouiZSEK0K6uWWr5SSA_48_2"/>
      <w:bookmarkStart w:id="567" w:name="Tc_9SNDhiXERkqXrL6Ewijw8Q_48_0"/>
      <w:bookmarkStart w:id="568" w:name="Tc_25PoqjndPEeVOOsGUk7H6A_47_0"/>
      <w:bookmarkStart w:id="569" w:name="Tc_v2Ugw_Vq1UeLPNv9uNhEdQ_46_0"/>
      <w:bookmarkStart w:id="570" w:name="Tc_wR0yEICyHUSpX2Anmwc5HQ_45_8"/>
      <w:bookmarkStart w:id="571" w:name="Tc_wK4oLw0cmU6WkJnwLm-lmA_45_5"/>
      <w:bookmarkStart w:id="572" w:name="Tc_7VI70U-R4EW_Vf6owhD8hQ_45_2"/>
      <w:bookmarkStart w:id="573" w:name="Tc_ee7ALXBxxESybn6VkPeYGw_45_0"/>
      <w:bookmarkStart w:id="574" w:name="Tc_73DM00_fz0qYIFg96_z4_g_44_0"/>
      <w:bookmarkStart w:id="575" w:name="Tc_i6HLkSak9kOnLKO9K15tGw_43_0"/>
      <w:bookmarkStart w:id="576" w:name="Tc_lHxF6HKu1UWKzwaIjTXibQ_42_0"/>
      <w:bookmarkStart w:id="577" w:name="Tc_-YA42On8IEC4bW5u1Ja9OA_41_0"/>
      <w:bookmarkStart w:id="578" w:name="Tc_Z-QBK8DoE0SpnIZw_sRRaA_40_0"/>
      <w:bookmarkStart w:id="579" w:name="Tc_bP9ZRY_zJk-exDlbwsuTRw_39_0"/>
      <w:bookmarkStart w:id="580" w:name="Tc_i86QupLs_keSJ8CBbqmsDQ_38_0"/>
      <w:bookmarkStart w:id="581" w:name="Tc_6DBUAatap0Or1ev5s04dMw_37_0"/>
      <w:bookmarkStart w:id="582" w:name="Tc_DEchMrV8qEWJjx7i8DKF_Q_36_6"/>
      <w:bookmarkStart w:id="583" w:name="Tc_AK3CcCBe9k-Up4uxQHBo3g_36_0"/>
      <w:bookmarkStart w:id="584" w:name="Tc_NpvASo8lsEOUFw6rTDssJA_35_6"/>
      <w:bookmarkStart w:id="585" w:name="Tc_z7MsEeUJckCVUr09u0UXNg_35_0"/>
      <w:bookmarkStart w:id="586" w:name="Tc_ehqFM-hQkkCFh39jtIXyqg_34_6"/>
      <w:bookmarkStart w:id="587" w:name="Tc_3QL0MKtRIkC7T-S4KBUCBA_34_3"/>
      <w:bookmarkStart w:id="588" w:name="Tc_BzJQbJGa3E-uWLe9Wf3FLA_34_0"/>
      <w:bookmarkStart w:id="589" w:name="Tc_fGTzoir6YUe0jYD5dbtpEA_33_6"/>
      <w:bookmarkStart w:id="590" w:name="Tc_jtcwa2LPIUCkvc-_nc1eaw_33_0"/>
      <w:bookmarkStart w:id="591" w:name="Tc_Acsqt4gWj0u7XJ4I8KouRA_32_0"/>
      <w:bookmarkStart w:id="592" w:name="Tc_pWC7YK3xbkqpjcAavUNqWg_31_6"/>
      <w:bookmarkStart w:id="593" w:name="Tc_B4F6H-LFt02bHnIlzWX6AQ_31_3"/>
      <w:bookmarkStart w:id="594" w:name="Tc_g6zGxMcJA0G_1IkhL_lr2A_31_0"/>
      <w:bookmarkStart w:id="595" w:name="Tc_kWw-X7_DbEGs2FKWuOqW1A_30_6"/>
      <w:bookmarkStart w:id="596" w:name="Tc_Aku7e4_qk0mWFcf9YzUBdQ_30_3"/>
      <w:bookmarkStart w:id="597" w:name="Tc_aZnY7phnTkijeulWRHbNyg_30_0"/>
      <w:bookmarkStart w:id="598" w:name="Tc_UdLa4VTfP0KMyPBQFQE0Iw_29_0"/>
      <w:bookmarkStart w:id="599" w:name="Tc_1mQyi-p9Bk-W-PRNd005LA_28_0"/>
      <w:bookmarkStart w:id="600" w:name="Tc_S5kkTZfzVUC5PhY9Ii8drw_27_0"/>
      <w:bookmarkStart w:id="601" w:name="Tc_m0QkRaW8qEqb-NPLLoEHWg_26_0"/>
      <w:bookmarkStart w:id="602" w:name="Tc_maed5Im_LECvuekPiGMCNw_25_0"/>
      <w:bookmarkStart w:id="603" w:name="Tc_q06MJVDasUuQKf1J9FUKrA_24_0"/>
      <w:bookmarkStart w:id="604" w:name="Tc_BxSaV55j4UGbJ9V3TicBJw_23_0"/>
      <w:bookmarkStart w:id="605" w:name="Tc_bxRwE7KpMEqft4T_Towekg_22_0"/>
      <w:bookmarkStart w:id="606" w:name="Tc_EsUUG8dHaEOJVX4sKl68cA_21_0"/>
      <w:bookmarkStart w:id="607" w:name="Tc_BefSgpnIskCmm6DsXSL8hw_20_0"/>
      <w:bookmarkStart w:id="608" w:name="Tc_8YguNUIAY0m3yZHvkqBXbQ_19_0"/>
      <w:bookmarkStart w:id="609" w:name="Tc_DR-SvsZviEyZ9Y5ArqDTMg_18_0"/>
      <w:bookmarkStart w:id="610" w:name="Tc_b36TQV7BLUGGPeMn0KovNQ_17_0"/>
      <w:bookmarkStart w:id="611" w:name="Tc_-c__bodFL0OKio2K8PGWRQ_16_0"/>
      <w:bookmarkStart w:id="612" w:name="Tc_LcCWseoKAUmL5c6fC04AOw_15_0"/>
      <w:bookmarkStart w:id="613" w:name="Tc_t-aaBahaPEGnWYZSQZvshQ_14_0"/>
      <w:bookmarkStart w:id="614" w:name="Tc_wkesGvaoKk6VX5bO7UkPRw_13_0"/>
      <w:bookmarkStart w:id="615" w:name="Tc_aY0fpvKG9kaPCJfxNDviNw_12_9"/>
      <w:bookmarkStart w:id="616" w:name="Tc_i1QpYBlPvUCEtzAEr58zEg_12_0"/>
      <w:bookmarkStart w:id="617" w:name="Tc_eHIwS9gFTUyE1o0DE39utQ_11_0"/>
      <w:bookmarkStart w:id="618" w:name="Tc_hlzbEOuVT0q3hmYMprksgA_10_0"/>
      <w:bookmarkStart w:id="619" w:name="Tc_I4MImJC_JE6x2leWS50yOQ_9_0"/>
      <w:bookmarkStart w:id="620" w:name="Tc_JZzcsbWRY06Wb-L2sUonCg_8_0"/>
      <w:bookmarkStart w:id="621" w:name="Tc_iqvGAitFtk-L6HeCPSKycA_7_0"/>
      <w:bookmarkStart w:id="622" w:name="Tc_yqsR0BCkV025NjFLBaQIkg_6_0"/>
      <w:bookmarkStart w:id="623" w:name="Tc_zYenCfn5R0a7w63898K1qA_5_0"/>
      <w:bookmarkStart w:id="624" w:name="Tc_Xh6hmq7RIUio3ZqAKUrdlw_4_8"/>
      <w:bookmarkStart w:id="625" w:name="Tc_PNBwtalsvESoHWkUrZbBlg_4_5"/>
      <w:bookmarkStart w:id="626" w:name="Tc_t4IG0r28ZE6w5skf1LILHA_4_2"/>
      <w:bookmarkStart w:id="627" w:name="Tc_YxqH2ssaJ0SFQG_iqP56sw_4_0"/>
      <w:bookmarkStart w:id="628" w:name="Tc_1dwelyGfdEuFI-LW3bBE2A_3_0"/>
      <w:bookmarkStart w:id="629" w:name="Tc_B8SyMi4ioUqBnUX8YwFMTg_2_8"/>
      <w:bookmarkStart w:id="630" w:name="Tc_oLNlsnGsakCq43QozqHNng_2_5"/>
      <w:bookmarkStart w:id="631" w:name="Tc_BYW0oZfno0GpeI6r0WPB0Q_2_2"/>
      <w:bookmarkStart w:id="632" w:name="Tc_SOcMiH-Moka3X-cNtv1qaw_1_2"/>
      <w:bookmarkStart w:id="633" w:name="_760a381e_e7ed_4962_94a2_6c2d8cdd9d6d"/>
      <w:bookmarkStart w:id="634" w:name="Tc_UCgYDV_Qj067McGFcDkL9w_53_0"/>
      <w:bookmarkStart w:id="635" w:name="Tc_qh64_8UJAU2HSYz8L3rrVQ_52_9"/>
      <w:bookmarkStart w:id="636" w:name="Tc_PpJVzrkY6UK3DMw2kIsBKg_52_0"/>
      <w:bookmarkStart w:id="637" w:name="Tc_sM_SpcfAjUGXDVbmcHs4xg_51_9"/>
      <w:bookmarkStart w:id="638" w:name="Tc_YrKRCTfocE6uTO060AXKZg_51_8"/>
      <w:bookmarkStart w:id="639" w:name="Tc_FcE5zP7YuE2NoIlJfYVuSQ_51_6"/>
      <w:bookmarkStart w:id="640" w:name="Tc_65wRGFFSJ0K1f5UtfuNf-w_51_5"/>
      <w:bookmarkStart w:id="641" w:name="Tc__xbduKlpiEOm-hjID7-22w_51_2"/>
      <w:bookmarkStart w:id="642" w:name="Tc_Zg7aJ1WK00GntbQfzZrWdA_51_0"/>
      <w:bookmarkStart w:id="643" w:name="Tc_KyC7WWM2bk2mR9UOxGUozQ_50_0"/>
      <w:bookmarkStart w:id="644" w:name="Tc_6C0rqf0F7kO_Jwlm-r_X7Q_49_0"/>
      <w:bookmarkStart w:id="645" w:name="Tc_-I_438JTqESU_pRkMZJk0Q_48_8"/>
      <w:bookmarkStart w:id="646" w:name="Tc_HmKs5lkPzkO_mvLrUaTBow_48_5"/>
      <w:bookmarkStart w:id="647" w:name="Tc_EEmLouiZSEK0K6uWWr5SSA_48_2"/>
      <w:bookmarkStart w:id="648" w:name="Tc_9SNDhiXERkqXrL6Ewijw8Q_48_0"/>
      <w:bookmarkStart w:id="649" w:name="Tc_25PoqjndPEeVOOsGUk7H6A_47_0"/>
      <w:bookmarkStart w:id="650" w:name="Tc_v2Ugw_Vq1UeLPNv9uNhEdQ_46_0"/>
      <w:bookmarkStart w:id="651" w:name="Tc_wR0yEICyHUSpX2Anmwc5HQ_45_8"/>
      <w:bookmarkStart w:id="652" w:name="Tc_wK4oLw0cmU6WkJnwLm-lmA_45_5"/>
      <w:bookmarkStart w:id="653" w:name="Tc_7VI70U-R4EW_Vf6owhD8hQ_45_2"/>
      <w:bookmarkStart w:id="654" w:name="Tc_ee7ALXBxxESybn6VkPeYGw_45_0"/>
      <w:bookmarkStart w:id="655" w:name="Tc_73DM00_fz0qYIFg96_z4_g_44_0"/>
      <w:bookmarkStart w:id="656" w:name="Tc_i6HLkSak9kOnLKO9K15tGw_43_0"/>
      <w:bookmarkStart w:id="657" w:name="Tc_lHxF6HKu1UWKzwaIjTXibQ_42_0"/>
      <w:bookmarkStart w:id="658" w:name="Tc_-YA42On8IEC4bW5u1Ja9OA_41_0"/>
      <w:bookmarkStart w:id="659" w:name="Tc_Z-QBK8DoE0SpnIZw_sRRaA_40_0"/>
      <w:bookmarkStart w:id="660" w:name="Tc_bP9ZRY_zJk-exDlbwsuTRw_39_0"/>
      <w:bookmarkStart w:id="661" w:name="Tc_i86QupLs_keSJ8CBbqmsDQ_38_0"/>
      <w:bookmarkStart w:id="662" w:name="Tc_6DBUAatap0Or1ev5s04dMw_37_0"/>
      <w:bookmarkStart w:id="663" w:name="Tc_DEchMrV8qEWJjx7i8DKF_Q_36_6"/>
      <w:bookmarkStart w:id="664" w:name="Tc_AK3CcCBe9k-Up4uxQHBo3g_36_0"/>
      <w:bookmarkStart w:id="665" w:name="Tc_NpvASo8lsEOUFw6rTDssJA_35_6"/>
      <w:bookmarkStart w:id="666" w:name="Tc_z7MsEeUJckCVUr09u0UXNg_35_0"/>
      <w:bookmarkStart w:id="667" w:name="Tc_ehqFM-hQkkCFh39jtIXyqg_34_6"/>
      <w:bookmarkStart w:id="668" w:name="Tc_3QL0MKtRIkC7T-S4KBUCBA_34_3"/>
      <w:bookmarkStart w:id="669" w:name="Tc_BzJQbJGa3E-uWLe9Wf3FLA_34_0"/>
      <w:bookmarkStart w:id="670" w:name="Tc_fGTzoir6YUe0jYD5dbtpEA_33_6"/>
      <w:bookmarkStart w:id="671" w:name="Tc_jtcwa2LPIUCkvc-_nc1eaw_33_0"/>
      <w:bookmarkStart w:id="672" w:name="Tc_Acsqt4gWj0u7XJ4I8KouRA_32_0"/>
      <w:bookmarkStart w:id="673" w:name="Tc_pWC7YK3xbkqpjcAavUNqWg_31_6"/>
      <w:bookmarkStart w:id="674" w:name="Tc_B4F6H-LFt02bHnIlzWX6AQ_31_3"/>
      <w:bookmarkStart w:id="675" w:name="Tc_g6zGxMcJA0G_1IkhL_lr2A_31_0"/>
      <w:bookmarkStart w:id="676" w:name="Tc_kWw-X7_DbEGs2FKWuOqW1A_30_6"/>
      <w:bookmarkStart w:id="677" w:name="Tc_Aku7e4_qk0mWFcf9YzUBdQ_30_3"/>
      <w:bookmarkStart w:id="678" w:name="Tc_aZnY7phnTkijeulWRHbNyg_30_0"/>
      <w:bookmarkStart w:id="679" w:name="Tc_UdLa4VTfP0KMyPBQFQE0Iw_29_0"/>
      <w:bookmarkStart w:id="680" w:name="Tc_1mQyi-p9Bk-W-PRNd005LA_28_0"/>
      <w:bookmarkStart w:id="681" w:name="Tc_S5kkTZfzVUC5PhY9Ii8drw_27_0"/>
      <w:bookmarkStart w:id="682" w:name="Tc_m0QkRaW8qEqb-NPLLoEHWg_26_0"/>
      <w:bookmarkStart w:id="683" w:name="Tc_maed5Im_LECvuekPiGMCNw_25_0"/>
      <w:bookmarkStart w:id="684" w:name="Tc_q06MJVDasUuQKf1J9FUKrA_24_0"/>
      <w:bookmarkStart w:id="685" w:name="Tc_BxSaV55j4UGbJ9V3TicBJw_23_0"/>
      <w:bookmarkStart w:id="686" w:name="Tc_bxRwE7KpMEqft4T_Towekg_22_0"/>
      <w:bookmarkStart w:id="687" w:name="Tc_EsUUG8dHaEOJVX4sKl68cA_21_0"/>
      <w:bookmarkStart w:id="688" w:name="Tc_BefSgpnIskCmm6DsXSL8hw_20_0"/>
      <w:bookmarkStart w:id="689" w:name="Tc_8YguNUIAY0m3yZHvkqBXbQ_19_0"/>
      <w:bookmarkStart w:id="690" w:name="Tc_DR-SvsZviEyZ9Y5ArqDTMg_18_0"/>
      <w:bookmarkStart w:id="691" w:name="Tc_b36TQV7BLUGGPeMn0KovNQ_17_0"/>
      <w:bookmarkStart w:id="692" w:name="Tc_-c__bodFL0OKio2K8PGWRQ_16_0"/>
      <w:bookmarkStart w:id="693" w:name="Tc_LcCWseoKAUmL5c6fC04AOw_15_0"/>
      <w:bookmarkStart w:id="694" w:name="Tc_t-aaBahaPEGnWYZSQZvshQ_14_0"/>
      <w:bookmarkStart w:id="695" w:name="Tc_wkesGvaoKk6VX5bO7UkPRw_13_0"/>
      <w:bookmarkStart w:id="696" w:name="Tc_aY0fpvKG9kaPCJfxNDviNw_12_9"/>
      <w:bookmarkStart w:id="697" w:name="Tc_i1QpYBlPvUCEtzAEr58zEg_12_0"/>
      <w:bookmarkStart w:id="698" w:name="Tc_eHIwS9gFTUyE1o0DE39utQ_11_0"/>
      <w:bookmarkStart w:id="699" w:name="Tc_hlzbEOuVT0q3hmYMprksgA_10_0"/>
      <w:bookmarkStart w:id="700" w:name="Tc_I4MImJC_JE6x2leWS50yOQ_9_0"/>
      <w:bookmarkStart w:id="701" w:name="Tc_JZzcsbWRY06Wb-L2sUonCg_8_0"/>
      <w:bookmarkStart w:id="702" w:name="Tc_iqvGAitFtk-L6HeCPSKycA_7_0"/>
      <w:bookmarkStart w:id="703" w:name="Tc_yqsR0BCkV025NjFLBaQIkg_6_0"/>
      <w:bookmarkStart w:id="704" w:name="Tc_zYenCfn5R0a7w63898K1qA_5_0"/>
      <w:bookmarkStart w:id="705" w:name="Tc_Xh6hmq7RIUio3ZqAKUrdlw_4_8"/>
      <w:bookmarkStart w:id="706" w:name="Tc_PNBwtalsvESoHWkUrZbBlg_4_5"/>
      <w:bookmarkStart w:id="707" w:name="Tc_t4IG0r28ZE6w5skf1LILHA_4_2"/>
      <w:bookmarkStart w:id="708" w:name="Tc_YxqH2ssaJ0SFQG_iqP56sw_4_0"/>
      <w:bookmarkStart w:id="709" w:name="Tc_1dwelyGfdEuFI-LW3bBE2A_3_0"/>
      <w:bookmarkStart w:id="710" w:name="Tc_B8SyMi4ioUqBnUX8YwFMTg_2_8"/>
      <w:bookmarkStart w:id="711" w:name="Tc_oLNlsnGsakCq43QozqHNng_2_5"/>
      <w:bookmarkStart w:id="712" w:name="Tc_BYW0oZfno0GpeI6r0WPB0Q_2_2"/>
      <w:bookmarkStart w:id="713" w:name="Tc_SOcMiH-Moka3X-cNtv1qaw_1_2"/>
      <w:bookmarkStart w:id="714" w:name="_760a381e_e7ed_4962_94a2_6c2d8cdd9d6d"/>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tbl>
      <w:tblPr>
        <w:tblW w:w="10205" w:type="dxa"/>
        <w:jc w:val="left"/>
        <w:tblInd w:w="0" w:type="dxa"/>
        <w:tblLayout w:type="fixed"/>
        <w:tblCellMar>
          <w:top w:w="0" w:type="dxa"/>
          <w:left w:w="0" w:type="dxa"/>
          <w:bottom w:w="0" w:type="dxa"/>
          <w:right w:w="0" w:type="dxa"/>
        </w:tblCellMar>
      </w:tblPr>
      <w:tblGrid>
        <w:gridCol w:w="5961"/>
        <w:gridCol w:w="346"/>
        <w:gridCol w:w="196"/>
        <w:gridCol w:w="712"/>
        <w:gridCol w:w="346"/>
        <w:gridCol w:w="196"/>
        <w:gridCol w:w="712"/>
        <w:gridCol w:w="346"/>
        <w:gridCol w:w="196"/>
        <w:gridCol w:w="802"/>
        <w:gridCol w:w="392"/>
      </w:tblGrid>
      <w:tr>
        <w:trPr/>
        <w:tc>
          <w:tcPr>
            <w:tcW w:w="5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785235" cy="175260"/>
                      <wp:effectExtent l="0" t="0" r="0" b="0"/>
                      <wp:wrapNone/>
                      <wp:docPr id="142" name="Frame141"/>
                      <a:graphic xmlns:a="http://schemas.openxmlformats.org/drawingml/2006/main">
                        <a:graphicData uri="http://schemas.microsoft.com/office/word/2010/wordprocessingShape">
                          <wps:wsp>
                            <wps:cNvSpPr txBox="1"/>
                            <wps:spPr>
                              <a:xfrm>
                                <a:off x="0" y="0"/>
                                <a:ext cx="378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44" name="Frame1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52120" cy="175260"/>
                      <wp:effectExtent l="0" t="0" r="0" b="0"/>
                      <wp:wrapNone/>
                      <wp:docPr id="145" name="Frame144"/>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7" name="Frame1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52120" cy="175260"/>
                      <wp:effectExtent l="0" t="0" r="0" b="0"/>
                      <wp:wrapNone/>
                      <wp:docPr id="148" name="Frame147"/>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4460" cy="175260"/>
                      <wp:effectExtent l="0" t="0" r="0" b="0"/>
                      <wp:wrapNone/>
                      <wp:docPr id="150" name="Frame1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09270" cy="175260"/>
                      <wp:effectExtent l="0" t="0" r="0" b="0"/>
                      <wp:wrapNone/>
                      <wp:docPr id="151" name="Frame150"/>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8920" cy="175260"/>
                      <wp:effectExtent l="0" t="0" r="0" b="0"/>
                      <wp:wrapNone/>
                      <wp:docPr id="152" name="Frame15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50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2" w:type="dxa"/>
            <w:tcBorders/>
            <w:vAlign w:val="center"/>
          </w:tcPr>
          <w:p>
            <w:pPr>
              <w:pStyle w:val="TableContents"/>
              <w:bidi w:val="0"/>
              <w:spacing w:before="0" w:after="0"/>
              <w:ind w:left="0" w:right="0" w:hanging="0"/>
              <w:jc w:val="left"/>
              <w:rPr/>
            </w:pPr>
            <w:r>
              <w:rPr/>
              <w:t>  ​ ​ ​</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52,557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10,926</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income (loss) to net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18,686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14,745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16,431</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non-cash items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1,445</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income taxes,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(13,284)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2,582</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 loss on sale/disposal of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Provision for doubtful accounts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825</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11,825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5,323</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Accretion and fair value adjustments of contingent consideration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 net of effects from business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(10,300)</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(18,303)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(10,825)</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receivables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3,604</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2,566</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5,717</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7,740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4,360</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20,513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4,707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5,030</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598</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995</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80,084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72,073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39,214</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 of equipment, software, and 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(9,387)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(8,413)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(9,925)</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 of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paid for acquisitions,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(36,291)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(7,364)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(1,600)</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(45,632)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(15,743)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(11,457)</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contingent consideration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 on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(10,679)</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notes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(1,631)</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(1,114)</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Borrowings under prior term loan and line of credit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5,000</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made to retire prior credit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(111,000)</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Borrowing to fund new credit agreement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88,414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100,000</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Principal payments on outstanding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(39,664)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(8,125)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(1,875)</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Principal payments on finance leases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(1,304)</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stock option exercise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182</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sales of common stock under employee stock purchase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3,249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2,781</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used to pay taxes on stock grants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(205)</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provided by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(42,691)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(5,569)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(23,845)</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increase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(8,239)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50,761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3,912</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74,158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23,397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19,485</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65,919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74,158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23,397</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paid (received) during the period for: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7,520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10,193</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(3,072)</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Supplemental disclosures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Issuance of common stock related to business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5,557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02" w:type="dxa"/>
            <w:tcBorders/>
            <w:shd w:fill="CCEEFF" w:val="clear"/>
            <w:vAlign w:val="center"/>
          </w:tcPr>
          <w:p>
            <w:pPr>
              <w:pStyle w:val="TableContents"/>
              <w:bidi w:val="0"/>
              <w:spacing w:before="0" w:after="0"/>
              <w:ind w:left="0" w:right="0" w:hanging="0"/>
              <w:jc w:val="right"/>
              <w:rPr/>
            </w:pPr>
            <w:r>
              <w:rPr/>
              <w:t>—</w:t>
            </w:r>
          </w:p>
        </w:tc>
        <w:tc>
          <w:tcPr>
            <w:tcW w:w="392" w:type="dxa"/>
            <w:tcBorders/>
            <w:shd w:fill="CCEEFF" w:val="clear"/>
            <w:vAlign w:val="center"/>
          </w:tcPr>
          <w:p>
            <w:pPr>
              <w:pStyle w:val="TableContents"/>
              <w:bidi w:val="0"/>
              <w:spacing w:before="0" w:after="0"/>
              <w:ind w:left="0" w:right="0" w:hanging="0"/>
              <w:jc w:val="left"/>
              <w:rPr/>
            </w:pPr>
            <w:r>
              <w:rPr/>
              <w:t>​</w:t>
            </w:r>
          </w:p>
        </w:tc>
      </w:tr>
      <w:tr>
        <w:trPr/>
        <w:tc>
          <w:tcPr>
            <w:tcW w:w="596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Contingent consideration related to business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13,075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02"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r>
      <w:tr>
        <w:trPr/>
        <w:tc>
          <w:tcPr>
            <w:tcW w:w="596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Equipment acquired under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961</w:t>
            </w:r>
          </w:p>
        </w:tc>
        <w:tc>
          <w:tcPr>
            <w:tcW w:w="3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80" w:after="0"/>
        <w:ind w:left="0" w:right="0" w:hanging="0"/>
        <w:jc w:val="center"/>
        <w:rPr>
          <w:rFonts w:ascii="Times New Roman;Times;serif" w:hAnsi="Times New Roman;Times;serif"/>
          <w:sz w:val="16"/>
        </w:rPr>
      </w:pPr>
      <w:r>
        <w:rPr>
          <w:rFonts w:ascii="Times New Roman;Times;serif" w:hAnsi="Times New Roman;Times;serif"/>
          <w:sz w:val="16"/>
        </w:rPr>
        <w:t xml:space="preserve">See accompanying notes to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left"/>
        <w:rPr>
          <w:rFonts w:ascii="Times New Roman;Times;serif" w:hAnsi="Times New Roman;Times;serif"/>
          <w:b/>
          <w:sz w:val="20"/>
        </w:rPr>
      </w:pPr>
      <w:bookmarkStart w:id="715" w:name="ORGANIZATIONANDOPERATIONSOFTHECOMPANY_11"/>
      <w:bookmarkEnd w:id="715"/>
      <w:r>
        <w:rPr>
          <w:rFonts w:ascii="Times New Roman;Times;serif" w:hAnsi="Times New Roman;Times;serif"/>
          <w:b/>
          <w:sz w:val="20"/>
        </w:rPr>
        <w:t>1. ORGANIZATION AND OPERATIONS OF THE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(“Willdan” or the “Company”) is a provider of professional, technical and consulting services to utilities, private industry, and public agencies at all levels of government. As resources and infrastructures undergo continuous change, the Company helps organizations and their communities evolve and thrive by providing a wide range of technical services for energy solutions and government infrastructure. Through engineering, program management, policy advisory, and software and data management, the Company designs and delivers trusted, comprehensive, innovative, and proven solutions to improve efficiency, resiliency, and sustainability in energy and infrastructure.</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prepared its Consolidated Financial Statements in accordance with accounting principles generally accepted in the United States (“U.S. GAAP”).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statement of stockholders' equity includes repurchases of shares of the Company’s common stock from employees to satisfy tax withholding obligations incurred in connection with the vesting of restricted stock or performance stock units, which amount is presented as a reduction of additional paid-in capital and common stock.</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Fiscal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and reports its annual financial results based on 52 or 53-week periods ending on the Friday closest to December 31. The Company operates and reports its quarterly financial results based on the 13-week period ending on the Friday closest to June 30, September 30, and December 31 and the 13 or 14-week period ending on the Friday closest to March 31, as applicable. Fiscal year 2025, which ended on January 2, 2026, was comprised of 53 weeks, with the first quarter consisting of 14 weeks and the remaining quarters consisting of 13 weeks each. Fiscal year 2024 and fiscal year 2023, which ended on December 27, 2024, December 29, 2023, respectively, were both comprised of 52 weeks, with all quarters presented consisting of 13 weeks.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Willdan Group, Inc. and its wholly-owned subsidiaries and their respective subsidiaries. All significant intercompany balances and transactions have been eliminated in consolidation.</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Certain prior year amounts have been reclassified in the consolidated financial statements to conform to the current year presentation.</w:t>
      </w:r>
    </w:p>
    <w:p>
      <w:pPr>
        <w:pStyle w:val="TextBody"/>
        <w:pBdr/>
        <w:bidi w:val="0"/>
        <w:spacing w:lineRule="atLeast" w:line="220" w:before="0" w:after="200"/>
        <w:ind w:left="360" w:right="0" w:hanging="72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lineRule="atLeast" w:line="220"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generally accepted accounting principles in the U.S.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highly liquid investments purchased with a remaining maturity of three months or less are considered to be cash equivalents. The Company from time to time may be exposed to credit risk with its bank deposits in excess of the FDIC insurance limits and with uninsured money market investments. The Company has not experienced any losses in such accounts and believes it is not exposed to any significant credit risk on cash and cash equivalents.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from time to time, has restricted cash that represents amounts not readily available for current operations due to contractual restrictions which designate these restricted cash balances for specific purposes.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uses the three-tier hierarchy of fair value measurement, which prioritizes the inputs.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financial instruments consist primarily of cash, cash equivalents, accounts receivable, contract assets, other receivables, prepaid expenses and other current assets, accounts payable, accrued liabilities and contract liabilities. The carrying amounts of certain other assets and contingent consideration are discounted to their present value because the time between the origination of these instruments and their expected realization or payment is greater than one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and December 27, 2024, the carrying amounts of the Company's cash and cash equivalents, accounts receivable, contract assets, other receivables, prepaid expenses and other current assets, accounts payable, accrued liabilities and contract liabilities, approximate their fair values because of the relatively short period of time between the origination of these instruments and their expected realization or payment. The carrying amounts of debt obligations approximate their fair values since the terms are comparable to terms currently offered by local lending institutions for loans of similar terms to companies with comparable 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carrying amounts of the derivative financial instrument is valued based on Level 2 inputs and the fair value of the contingent consideration liability is valued on Level 3 inputs.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variable interest entities in accordance with Accounting Standards Codification (“ASC”) 810, Consolidation. Under ASC 810, a variable interest entity (“VIE”) is created when any of the following criteria are present: (a) the equity investment at risk in the entity is not sufficient to permit the entity to finance its activities without additional subordinated financial support provided by other parties, including the equity holders; (b) the entity’s equity holders as a group either (i) lack the direct or indirect ability to make decisions about the entity, (ii) are not obligated to absorb expected losses of the entity or (iii) do not have the right to receive expected residual returns of the entity; or (c) the entity’s equity holders have voting rights that are not proportionate to their economic interests, and the activities of the entity involve or are conducted on behalf of the equity holder with disproportionately few voting rights. If an entity is deemed to be a VIE pursuant to ASC 810, the enterprise that has both (i) the power to direct the activities of a VIE that most significantly impact the entity’s economic performance and (ii) the obligation to absorb the expected losses of the entity or right to receive benefits from the entity that could be potentially significant to the VIE is considered the primary beneficiary and must consolidate the VIE. In accordance with ASC 810, the Company performs ongoing reassessments of whether an enterprise is the primary beneficiary of a VIE.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the Company had one VIE — Genesys Engineering, P.C. (“Genesys”). Pursuant to New York law, the Company does not own capital stock of Genesys and does not have control over the professional decision making of Genesys’s engineering services. The Company, however, has entered into an administrative services agreement with Genesys pursuant to which WES, the Company’s wholly-owned subsidiary, will provide Genesys with ongoing administrative, operational and other non-professional support services. 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VIE.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also concluded there is no noncontrolling interest related to the consolidation of Genesys because management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For more information regarding Genesys, see Note 8 “</w:t>
      </w:r>
      <w:r>
        <w:rPr>
          <w:rFonts w:ascii="Times New Roman;Times;serif" w:hAnsi="Times New Roman;Times;serif"/>
          <w:i/>
          <w:sz w:val="20"/>
        </w:rPr>
        <w:t>Commitments and Variable Interest Entities</w:t>
      </w:r>
      <w:r>
        <w:rPr>
          <w:rFonts w:ascii="Times New Roman;Times;serif" w:hAnsi="Times New Roman;Times;serif"/>
          <w:sz w:val="20"/>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presents segment information externally consistent with the manner in which the Company’s chief operating decision maker reviews information to assess performance and allocate resources. The Company’s two segments are (i) Energy, and (ii) Engineering and Consulting.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Willdan Group, Inc. (“WGI”) is a holding company and performs administrative functions on behalf of its subsidiaries, such as treasury, legal, accounting, information systems, human resources and certain business development activities, and earns revenue that is only incidental to the activities of the enterprise. As a result, WGI does not meet the definition of an operating segment.</w:t>
      </w:r>
    </w:p>
    <w:p>
      <w:pPr>
        <w:pStyle w:val="TextBody"/>
        <w:pBdr/>
        <w:bidi w:val="0"/>
        <w:spacing w:before="0" w:after="240"/>
        <w:ind w:left="360" w:right="0" w:hanging="36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 Contract assets include unbilled amounts typically resulting from revenue under contracts where the percentage-of-completion method of revenue recognition is utilized and revenue recognized exceeds the amount billed to the customer. In addition, contract assets include retainage amounts withheld from billings to the Company’s clients pursuant to provisions in our contracts. Contract liabilities consist of advance payments and billings in excess of revenue recognized and deferred revenue.</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Contract Accounting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contracts with its clients that contain various types of pricing provisions, including fixed price, time-and-materials, and unit-based provisions. The Company recognizes revenues in accordance with ASU 2014-09, Revenue from Contracts with Customer, codified as ASC Topic 606 and the related amendments (collectively “ASC 606”).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716" w:name="Tc_UpWFkkwT8kWC5fL0rU3wHQ_8_2"/>
      <w:bookmarkStart w:id="717" w:name="Tc_Dq7HJH2mnEyueEWA5C8ZeQ_8_1"/>
      <w:bookmarkStart w:id="718" w:name="Tc_f03zGLnYyUuRqgK-MRp91w_7_2"/>
      <w:bookmarkStart w:id="719" w:name="Tc_Osha2FzXSEORVR62S7tqjw_7_1"/>
      <w:bookmarkStart w:id="720" w:name="Tc_6TCCt8q4XU-JYyiRwsw89w_7_0"/>
      <w:bookmarkStart w:id="721" w:name="Tc_MkfCn-DZ7EWUywnBl5Hl9g_6_2"/>
      <w:bookmarkStart w:id="722" w:name="Tc_ede0GdmFMUKYz2GRb_ij-A_6_1"/>
      <w:bookmarkStart w:id="723" w:name="Tc_P_KW5upcu0eOokfNup6VVw_5_2"/>
      <w:bookmarkStart w:id="724" w:name="Tc_tVHc9DOLdEmFvnqvFXI_bw_5_1"/>
      <w:bookmarkStart w:id="725" w:name="Tc_Jl3WIS82H0WjDtZqfJDWXA_4_2"/>
      <w:bookmarkStart w:id="726" w:name="Tc_X01sY_zD_km96ooHrAvuAA_4_1"/>
      <w:bookmarkStart w:id="727" w:name="Tc_jvQyd0iq4USI8kHF983Jkg_3_2"/>
      <w:bookmarkStart w:id="728" w:name="Tc_7qgWQcteAEWqCpom1Wne2A_3_1"/>
      <w:bookmarkStart w:id="729" w:name="Tc_TdgjC5LG-k-6CKmxYI4BuA_3_0"/>
      <w:bookmarkStart w:id="730" w:name="Tc_CuVOkrYD0km7ceaJTqFbVw_2_2"/>
      <w:bookmarkStart w:id="731" w:name="Tc_K1yWeSdJ2UiKt_UPthj0wA_2_1"/>
      <w:bookmarkStart w:id="732" w:name="Tc_uFmZR3zh1Uyf3yI5yrjxLw_1_2"/>
      <w:bookmarkStart w:id="733" w:name="Tc_5gKDLADevEqLtp_J_oQHjQ_1_1"/>
      <w:bookmarkStart w:id="734" w:name="Tc_D0yCPJRnskqdUslJ4UlEEQ_1_0"/>
      <w:bookmarkStart w:id="735" w:name="_a6473540_cfe0_4b4c_b9da_ad3a2da23e02"/>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r>
        <w:rPr>
          <w:rFonts w:ascii="Times New Roman;Times;serif" w:hAnsi="Times New Roman;Times;serif"/>
          <w:sz w:val="20"/>
        </w:rPr>
        <w:t>The following table reflects the Company’s two reportable segments and the types of contracts that each most commonly enters into for revenue generating activities.</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2431"/>
        <w:gridCol w:w="1681"/>
        <w:gridCol w:w="22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43685" cy="29210"/>
                      <wp:effectExtent l="0" t="0" r="0" b="0"/>
                      <wp:wrapNone/>
                      <wp:docPr id="153" name="Frame152"/>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067435" cy="29210"/>
                      <wp:effectExtent l="0" t="0" r="0" b="0"/>
                      <wp:wrapNone/>
                      <wp:docPr id="154" name="Frame153"/>
                      <a:graphic xmlns:a="http://schemas.openxmlformats.org/drawingml/2006/main">
                        <a:graphicData uri="http://schemas.microsoft.com/office/word/2010/wordprocessingShape">
                          <wps:wsp>
                            <wps:cNvSpPr txBox="1"/>
                            <wps:spPr>
                              <a:xfrm>
                                <a:off x="0" y="0"/>
                                <a:ext cx="1067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48435" cy="29210"/>
                      <wp:effectExtent l="0" t="0" r="0" b="0"/>
                      <wp:wrapNone/>
                      <wp:docPr id="155" name="Frame154"/>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16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Type</w:t>
            </w:r>
          </w:p>
        </w:tc>
        <w:tc>
          <w:tcPr>
            <w:tcW w:w="228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Recognition Method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Software license</w:t>
            </w:r>
          </w:p>
        </w:tc>
        <w:tc>
          <w:tcPr>
            <w:tcW w:w="2281" w:type="dxa"/>
            <w:tcBorders>
              <w:top w:val="single" w:sz="2" w:space="0" w:color="000000"/>
              <w:left w:val="single" w:sz="2" w:space="0" w:color="000000"/>
              <w:bottom w:val="single" w:sz="2" w:space="0" w:color="000000"/>
              <w:right w:val="single" w:sz="2"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r>
        <w:trPr/>
        <w:tc>
          <w:tcPr>
            <w:tcW w:w="2431"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Time-and-materials</w:t>
            </w:r>
          </w:p>
        </w:tc>
      </w:tr>
      <w:tr>
        <w:trPr/>
        <w:tc>
          <w:tcPr>
            <w:tcW w:w="2431"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Engineering and Consulting</w:t>
            </w:r>
          </w:p>
        </w:tc>
        <w:tc>
          <w:tcPr>
            <w:tcW w:w="16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c>
          <w:tcPr>
            <w:tcW w:w="228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Unit-based</w:t>
            </w:r>
          </w:p>
        </w:tc>
      </w:tr>
      <w:tr>
        <w:trPr/>
        <w:tc>
          <w:tcPr>
            <w:tcW w:w="243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pPr>
            <w:r>
              <w:rPr/>
              <w:t>​</w:t>
            </w:r>
          </w:p>
        </w:tc>
        <w:tc>
          <w:tcPr>
            <w:tcW w:w="16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Fixed price</w:t>
            </w:r>
          </w:p>
        </w:tc>
        <w:tc>
          <w:tcPr>
            <w:tcW w:w="2281" w:type="dxa"/>
            <w:tcBorders>
              <w:left w:val="single" w:sz="2" w:space="0" w:color="000000"/>
              <w:bottom w:val="single" w:sz="2" w:space="0" w:color="000000"/>
              <w:right w:val="single" w:sz="2" w:space="0" w:color="000000"/>
            </w:tcBorders>
            <w:shd w:fill="CCEEFF" w:val="clear"/>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Percentage-of-completion</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on the vast majority of the Company’s contracts is recognized over time because of the continuous transfer of control to the customer. Revenue on fixed price contracts is recognized on the percentage-of-completion method based generally on the ratio of direct costs incurred-to-date to estimated total direct costs at completion. The Company uses the percentage-of-completion method to better match the level of work performed at a certain point in time in relation to the effort that will be required to complete a project. In addition, the percentage-of-completion method is a common method of revenue recognition in the Company’s industry. Many of the Company’s fixed price contracts involve a high degree of subcontracted fixed price effort and, usually, are relatively short in duration, thereby lowering the risks of not properly estimating the percent complete. As of January 2, 2026, the Company had $179.7 million related to fixed price contract obligations of which $107.9 million related to fixed price contract obligations in excess of twelve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on time-and-materials and unit-based contracts is recognized as the work is performed in accordance with the specific rates and terms of the contract. The Company recognizes revenues for time-and-materials contracts based upon the actual hours incurred during a reporting period at contractually agreed upon rates per hour and also includes in revenue all reimbursable costs incurred during a reporting period. Certain of the Company’s time-and-materials contracts are subject to maximum contract values and, accordingly, when revenue is expected to exceed the maximum contract value, these contracts are generally recognized under the percentage-of-completion method, consistent with fixed price contracts. For unit-based contracts, the Company recognizes the contract price of units of a basic production product as revenue when the production product is delivered during a period. Revenue for amounts that have been billed but not earned is deferred, and such deferred revenue is referred to as contract liabilities in the accompanying consolidated balance sheets. The Company also derives revenue from software licenses and professional services and maintenance fees. In accordance with ASC 606, the Company performs an assessment of each contract to identify the performance obligations, determine the overall transaction price for the contract, allocate the transaction price to the performance obligations, and recognize the revenue when the performance obligations are satisfied. In cases where the standalone selling price of the software licenses is not present, the Company utilizes the residual approach by which it estimates the standalone selling price by reference to the total transaction price less the sum of the observable standalone selling prices of other goods or services promised in the contract. The software license revenue is typically recognized at a point in time when control is transferred to the client, which is defined as the point in time when the client can use and benefit from the license. The software license is delivered before related services are provided and is functional without services, updates, or technical support. Related professional services include training and support services in which the standalone selling price is determined based on an input measure of hours incurred to total estimated hours and is recognized over time, which usually is the life of the contract.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determine the proper revenue recognition method for contracts, the Company evaluates whether two or more contracts should be combined and accounted for as one single contract and whether the combined contract should be accounted for as one performance obligation. With respect to the Company’s contracts, it is rare that multiple contracts should be combined into a single performance obligation. This evaluation requires significant judgment and the decision to combine a group of contracts or separate a single contract into multiple performance obligations could change the amount of revenue and profit recorded in a given period. Contracts are considered to have a single performance obligation if the promise to transfer the individual goods or services is not separately identifiable from other promises in the contracts, which is mainly because the Company provides a significant service of integrating a complex set of tasks and components into a single project or capability.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may enter into contracts that include separate phases or elements. If each phase or element is negotiated separately based on the technical resources required and/or the supply and demand for the services being provided, the Company evaluates if the contracts should be segmented. If certain criteria are met, the contracts would be segmented which could result in revenues being assigned to the different elements or phases with different rates of profitability based on the relative value of each element or phase to the estimated total contract revenue. Segmented contracts may comprise up to approximately 1.0% to 2.0% of the Company’s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that cover multiple phases or elements of the project or service lifecycle (development, construction and maintenance and support) may be considered to have multiple performance obligations even when they are part of a single contract. For contracts with multiple performance obligations, the Company allocates the transaction price to each performance obligation using the best estimate of the standalone selling price of each distinct good or service in the contract. For the periods presented, the value of the separate performance obligations under contracts with multiple performance obligations (generally measurement and verification tasks under certain energy performance contracts) were not material. In cases where the Company does not provide the distinct good or service on a standalone basis, the primary method used to estimate standalone selling price is the expected cost plus a margin approach, under which the Company forecasts the Company’s expected costs of satisfying a performance obligation and then adds an appropriate margin for the distinct good or service.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provides quality of workmanship warranties to customers that are included in the sale and are not priced or sold separately or do not provide customers with a service in addition to assurance of compliance with agreed-upon specifications and industry standards. The Company does not consider these types of warranties to be separate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some cases, the Company has a master service or blanket agreement with a customer under which each task order releases the Company to perform specific portions of the overall scope in the service contract. Each task order is typically accounted for as a separate contract because the task order establishes the enforceable rights and obligations, and payment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ASC 606, variable consideration should be considered when determining the transaction price and estimates should be made for the variable consideration component of the transaction price, as well as assessing whether an estimate of variable consideration is constrained. For certain of the Company’s contracts, variable consideration can arise from modifications to the scope of services resulting from unapproved change orders or customer claims. Variable consideration is included in the transaction price to the extent it is probable that a significant reversal of cumulative revenue recognized will not occur when the uncertainty associated with the variable consideration is resolved. The Company estimates of variable consideration and determination of whether to include estimated amounts in the transaction price are based largely on assessments of legal enforceability, the Company’s performance, and all information (historical, current and forecasted) that is reasonably available to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the Company’s performance obligations, the estimation of total revenue and cost at completion is complex, subject to many variables and requires significant judgment. As a significant change in one or more of these estimates could affect the profitability of the Company’s contracts, the Company reviews and updates the Company’s contract-related estimates regularly through a company-wide disciplined project review process in which management reviews the progress and execution of the Company’s performance obligations and the estimate at completion (“EAC”). As part of this process, management reviews information including, but not limited to, any outstanding key contract matters, progress towards completion and the related program schedule and the related changes in estimates of revenues and costs.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full amount of estimated loss in the period it is identified.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Contracts are often modified to account for changes in contract specifications and requirements. The Company considers contract modifications to exist when the modification either creates new rights or obligations or changes the existing enforceable rights or obligations.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that is not distinct from the existing contract on the transaction price and the Company’s measure of progress for the performance obligation to which it relates is recognized as an adjustment to revenue (either as an increase in or a reduction of revenue) on a cumulative catch-up basis.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contract modifications that result in the promise to deliver goods or services that are distinct from the existing contract and the increase in price of the contract is for the same amount as the standalone selling price of the additional goods or services included in the modification, the Company accounts for such contract modifications as a separate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includes claims to vendors, subcontractors and others as a receivable and a reduction in recognized costs when enforceability of the claim is established by the contract and the amounts are reasonably estimable and probable of being recovered. The amounts are recorded up to the extent of the lesser of the amounts management expects to recover or to costs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Billing practices are governed by the contract terms of each project based upon costs incurred, achievement of milestones or pre-agreed schedules. Billings do not necessarily correlate with revenue recognized using the percentage-of-completion method of 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consist primarily of that portion of technical and nontechnical salaries and wages that has been incurred in connection with revenue producing projects. Direct costs of contract revenue also include production expenses, subcontractor services and other expenses that are incurred in connection with revenue producing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Direct costs of contract revenue exclude that portion of technical and nontechnical salaries and wages related to marketing efforts, vacations, holidays and other time not spent directly generating revenue under existing contracts. Such costs are included in general and administrative expenses. Additionally, payroll taxes, bonuses and employee benefit costs for all Company personnel are included in general and administrative expenses in the accompanying consolidated statements of comprehensive income since no allocation of these costs is made to direct costs of contract revenue. No allocation of facilities costs is made to direct costs of contract revenue. Other companies may classify as direct costs of contract revenue some of the costs that the Company classifies as general and administrative costs. The Company expenses direct costs of contract revenue when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revenue and costs are all reimbursable costs for which the Company has the risk or on which the fee was based at the time of bid or negotiation. No revenue or cost is recorded for costs in which the Company acts solely in the capacity of an agent and has no risks associated with such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carried at original invoice amount less an estimate made for doubtful accounts based upon a review of all outstanding amounts on a quarterly basis. Management determines allowances for doubtful accounts through specific identification of amounts considered to be uncollectible and potential write-offs, plus a non-specific allowance for other amounts for which some potential loss has been determined to be probable based on current and past experience. The Company’s historical credit losses have been minimal with governmental entities and large public utilities, but disputes may arise related to these receivable amounts. Accounts receivable are written off when deemed uncollectible. Recoveries of accounts receivable previously written off are recorded when received.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Retainage, included in contract assets, represents amounts withheld from billings to the Company’s clients pursuant to provisions in the contracts and may not be paid to the Company until specific tasks are completed or the project is completed and, in some instances, for even longer periods. As of January 2, 2026 and December 27, 2024, contract assets included retainage of $29.5 million and $22.0 million,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the costs of the marketing and support staff, other marketing expenses, management and administrative personnel costs, payroll taxes, bonuses and employee benefits for all of the Company’s employees and the portion of salaries and wages not allocated to direct costs of contract revenue for those employees who provide the Company’s services. General and administrative expenses also include facility costs, depreciation and amortization, professional services, legal and accounting fees and administrative operating costs. Within general and administrative expenses, “Other” includes expenses such as provision for billed or unbilled receivables, professional services, legal and accounting, computer costs, travel and entertainment, marketing costs and acquisition costs. The Company expenses general and administrative costs when incurred.</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leases in accordance with ASC 842 which requires lessees to recognize a right-of-use asset and a lease liability on the balance sheet measured as the net present value of future lease payments, with the exception of short-term leases which are defined as those less than 12 months. The lease expense is then recognized over the term of the lease.</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 elected the ‘package</w:t>
      </w:r>
      <w:r>
        <w:rPr>
          <w:rFonts w:ascii="Times New Roman;Times;serif" w:hAnsi="Times New Roman;Times;serif"/>
          <w:sz w:val="24"/>
        </w:rPr>
        <w:t xml:space="preserve"> </w:t>
      </w:r>
      <w:r>
        <w:rPr>
          <w:rFonts w:ascii="Times New Roman;Times;serif" w:hAnsi="Times New Roman;Times;serif"/>
          <w:sz w:val="20"/>
        </w:rPr>
        <w:t>of practical expedients’ permitted under the transition guidance of ASC 842, which among other things, allowed the Company to carry forward the historical lease classification. In addition, the Company elected not to utilize the hindsight</w:t>
      </w:r>
      <w:r>
        <w:rPr>
          <w:rFonts w:ascii="Times New Roman;Times;serif" w:hAnsi="Times New Roman;Times;serif"/>
          <w:sz w:val="24"/>
        </w:rPr>
        <w:t xml:space="preserve"> </w:t>
      </w:r>
      <w:r>
        <w:rPr>
          <w:rFonts w:ascii="Times New Roman;Times;serif" w:hAnsi="Times New Roman;Times;serif"/>
          <w:sz w:val="20"/>
        </w:rPr>
        <w:t>practical expedient to determine the lease term for existing leases. The Company also elected the practical expedient to not separate lease and non-lease components for its facilities leases.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736" w:name="Tc_fmM1VQNUk0G-zrYHogVRJQ_6_3"/>
      <w:bookmarkStart w:id="737" w:name="Tc_yEctcUSW-ECgO-gdm0YgFQ_6_0"/>
      <w:bookmarkStart w:id="738" w:name="Tc_MhyFieygH0--tkJsVfUSrg_5_3"/>
      <w:bookmarkStart w:id="739" w:name="Tc_r96gy4bK0UCQ7SyFbmTpuA_5_0"/>
      <w:bookmarkStart w:id="740" w:name="Tc_9FsX6tOsGEavqbfUPal8Hw_4_3"/>
      <w:bookmarkStart w:id="741" w:name="Tc_S4DRn3Oa8Emx-cTunnJEHA_4_0"/>
      <w:bookmarkStart w:id="742" w:name="Tc_CXqUWVTjKEGNHf5M-s-GEw_3_3"/>
      <w:bookmarkStart w:id="743" w:name="Tc_fxvomhcKjk-XC5GNUzGLQg_3_0"/>
      <w:bookmarkStart w:id="744" w:name="Tc_9wnQfFzcvkSyDG-DJwKTwA_2_3"/>
      <w:bookmarkStart w:id="745" w:name="Tc_nnL_mzh3Hkq-bkz2CW-btg_2_0"/>
      <w:bookmarkStart w:id="746" w:name="Tc_GBGVBBcDpUuUkb4VgSyF2g_1_2"/>
      <w:bookmarkStart w:id="747" w:name="Tc__8p87HE8Bk-FiA1H_HpuKQ_1_0"/>
      <w:bookmarkStart w:id="748" w:name="_b15db521_c86b_4bf5_84a1_4916afe075c3"/>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Times New Roman;Times;serif" w:hAnsi="Times New Roman;Times;serif"/>
          <w:sz w:val="20"/>
        </w:rPr>
        <w:t>The Company also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in the statements of comprehensive income. The interest associated with financing lease obligations is included in interest expense in the statements of comprehensive income. For more information, see Note 7, “</w:t>
      </w:r>
      <w:r>
        <w:rPr>
          <w:rFonts w:ascii="Times New Roman;Times;serif" w:hAnsi="Times New Roman;Times;serif"/>
          <w:i/>
          <w:sz w:val="20"/>
        </w:rPr>
        <w:t>Leases</w:t>
      </w:r>
      <w:r>
        <w:rPr>
          <w:rFonts w:ascii="Times New Roman;Times;serif" w:hAnsi="Times New Roman;Times;serif"/>
          <w:sz w:val="20"/>
        </w:rPr>
        <w:t>”.</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Equipment and leasehold improvements are stated at cost less accumulated depreciation and amortization. Equipment under finance leases is stated at the present value of the minimum lease payments as of the acquisition date. Depreciation and amortization on equipment are calculated using the straight-line method over estimated useful lives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Leasehold improvements and assets under capital leases are amortized using the straight-line method over the </w:t>
      </w:r>
      <w:r>
        <w:rPr>
          <w:rFonts w:ascii="Times New Roman;Times;serif" w:hAnsi="Times New Roman;Times;serif"/>
          <w:b w:val="false"/>
          <w:i w:val="false"/>
          <w:caps w:val="false"/>
          <w:smallCaps w:val="false"/>
          <w:sz w:val="20"/>
        </w:rPr>
        <w:t>shorter of estimated useful lives or the term of the related lease</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are the estimated useful lives used to calculate depreciation and amortization:</w:t>
      </w:r>
    </w:p>
    <w:p>
      <w:pPr>
        <w:pStyle w:val="TextBody"/>
        <w:bidi w:val="0"/>
        <w:spacing w:before="0" w:after="0"/>
        <w:ind w:left="0" w:right="0" w:hanging="0"/>
        <w:jc w:val="left"/>
        <w:rPr/>
      </w:pPr>
      <w:r>
        <w:rPr/>
        <w:t>​</w:t>
      </w:r>
    </w:p>
    <w:tbl>
      <w:tblPr>
        <w:tblW w:w="4098" w:type="dxa"/>
        <w:jc w:val="left"/>
        <w:tblInd w:w="0" w:type="dxa"/>
        <w:tblLayout w:type="fixed"/>
        <w:tblCellMar>
          <w:top w:w="0" w:type="dxa"/>
          <w:left w:w="0" w:type="dxa"/>
          <w:bottom w:w="0" w:type="dxa"/>
          <w:right w:w="0" w:type="dxa"/>
        </w:tblCellMar>
      </w:tblPr>
      <w:tblGrid>
        <w:gridCol w:w="2056"/>
        <w:gridCol w:w="346"/>
        <w:gridCol w:w="457"/>
        <w:gridCol w:w="1239"/>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05560" cy="175260"/>
                      <wp:effectExtent l="0" t="0" r="0" b="0"/>
                      <wp:wrapNone/>
                      <wp:docPr id="156" name="Frame155"/>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90195" cy="175260"/>
                      <wp:effectExtent l="0" t="0" r="0" b="0"/>
                      <wp:wrapNone/>
                      <wp:docPr id="158" name="Frame157"/>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86765" cy="175260"/>
                      <wp:effectExtent l="0" t="0" r="0" b="0"/>
                      <wp:wrapNone/>
                      <wp:docPr id="159" name="Frame158"/>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205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 </w:t>
            </w:r>
          </w:p>
        </w:tc>
        <w:tc>
          <w:tcPr>
            <w:tcW w:w="45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23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46" w:type="dxa"/>
            <w:tcBorders/>
            <w:shd w:fill="CCEEFF" w:val="clear"/>
            <w:vAlign w:val="center"/>
          </w:tcPr>
          <w:p>
            <w:pPr>
              <w:pStyle w:val="TableContents"/>
              <w:bidi w:val="0"/>
              <w:spacing w:before="0" w:after="0"/>
              <w:ind w:left="0" w:right="0" w:hanging="0"/>
              <w:jc w:val="left"/>
              <w:rPr/>
            </w:pPr>
            <w:r>
              <w:rPr/>
              <w:t> </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and trucks</w:t>
            </w:r>
          </w:p>
        </w:tc>
        <w:tc>
          <w:tcPr>
            <w:tcW w:w="346"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2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Field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180"/>
        <w:ind w:left="0" w:right="0" w:hanging="0"/>
        <w:jc w:val="left"/>
        <w:rPr/>
      </w:pPr>
      <w:r>
        <w:rPr/>
        <w:t> </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Goodwill represents the excess of costs over fair value of the assets acquired. The Company completes its annual testing of goodwill as of the last day of the first month of its fourth fiscal quarter each year to determine whether there is impairment. Goodwill, which has an indefinite useful life, is not amortized, but instead tested for impairment at least annually or more frequently if events and circumstances indicate that the asset might be impaired. Impairment losses for reporting units are recognized to the extent that a reporting unit’s carrying amount exceeds its fair value.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Long-lived assets, such as equipment, leasehold improvements and purchased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Accounting for Claims against the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accrues an undiscounted liability related to claims against it for which the incurrence of a loss is probable and the amount can be reasonably estimated.  The Company discloses the amount accrued and an estimate of any reasonably possible loss in excess of the amount accrued, if such disclosure is necessary for its financial statements not to be misleading.  The Company does not accrue liabilities related to claims when the likelihood that a loss has been incurred is probable but the amount cannot be reasonably estimated, or when the liability is believed to be only reasonably possible or remote.  Losses related to recorded claims are included in 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Determining probability and estimating claim amounts is highly judgmental. Initial accruals and any subsequent changes in the Company’s estimates could have a material effect on its consolidated financial statements.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all stock-based compensation under the fair value recognition provisions of the accounting standard entitled “</w:t>
      </w:r>
      <w:r>
        <w:rPr>
          <w:rFonts w:ascii="Times New Roman;Times;serif" w:hAnsi="Times New Roman;Times;serif"/>
          <w:i/>
          <w:sz w:val="20"/>
        </w:rPr>
        <w:t>Compensation—Stock Compensation.</w:t>
      </w:r>
      <w:r>
        <w:rPr>
          <w:rFonts w:ascii="Times New Roman;Times;serif" w:hAnsi="Times New Roman;Times;serif"/>
          <w:sz w:val="20"/>
        </w:rPr>
        <w:t>” Stock-based compensation cost is measured at the grant date based on the fair value of the award and is recognized as expense over the requisite vesting period. The fair values of all stock options granted and the fair values of all Employee Stock Purchase Plan (“ESPP”) purchase rights are estimated using the Black-Scholes option-valuation model. The Black-Scholes option-valuation model requires the input of highly subjective assumptions. Performance-based restricted stock unit awards (“PBRSUs”) are granted to certain employees and vest only after the achievement of pre-determined performance metrics. Once the performance metrics are met, vesting of PBRSUs is subject to continued service by the employee. At the end of each reporting period, the Company evaluates the probability that PBRSUs will be earned. The Company records stock-based compensation expense based on the probability that the performance metrics will be achieved over the vesting period. Restricted stock awards (“RSAs”) and restricted stock units (“RSUs”) are time-based equity awards that are granted to certain employees and vest based on time, subject to continued service by the employee.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Business Combinations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fiscal year 2025, the Company completed three acquisitions: Compass Municipal Advisors, LLC. (“Compass”), Alternative Power Generation, Inc. (“APG”), and Alpha Inspections, Inc. (“Alpha”). During the fiscal year 2024, the Company completed one acquisition: Enica Engineering, PLLC. (“Enica”). During fiscal year 2023, the Company did not have any material acquisitions.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method of accounting for business combinations requires the Company to use significant estimates and assumptions, including fair value estimates, as of the business combination date and to refine those estimates as necessary during the measurement period (defined as the period, not to exceed one year, in which the Company may adjust the provisional amounts recognized for a business combination based upon new information about facts that existed on the business combination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acquisition method of accounting, the Company recognizes separately from goodwill the identifiable assets acquired, the liabilities assumed, and any non-controlling interests in an acquiree, at the acquisition date fair value. The Company measures goodwill as of the acquisition date as the excess of consideration transferred over the net of the acquisition date amounts of the identifiable assets acquired and liabilities assumed.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the Company engages a third-party independent valuation specialist to assist in management’s determination of fair values of tangible and intangible assets acquired and liabilities assumed.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circumstances where an acquisition involves a contingent consideration arrangement, the Company recognizes a liability equal to the fair value of the contingent payments it expects to make as of the acquisition date. The contingent consideration fair value measurement is based on significant inputs not observable in the market and therefore constitute Level 3 inputs within the fair value hierarchy. The Company determines the initial fair value of contingent consideration liabilities using a Monte Carlo (“Monte Carlo”) valuation model, which involves a simulation of future revenues during the earn out-period using management’s best estimates, or a probability-weighted discounted cash flow analysis. Changes in the estimated fair value of contingent earn-out payments are included in general and administrative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the Company had contingent consideration payable of $20.4 million related to the acquisitions of Enica, APG, and Compass. The Company has contingent obligations to make earnout payments in connection with its acquisitions of Enica, APG, and Compass, subject to their future financial performance. The Company is obligated to pay up to $6.0 million in cash if Enica exceeds certain financial targets during the two years after the Enica closing date of October 23, 2024. The Company is obligated to pay up to $18.0 million in cash if APG exceeds certain financial targets during the three years after the APG closing date of March 3, 2025. The Company is obligated to pay up to $1.0 million in cash if Compass exceeds certain financial targets during the one year after the Compass closing date of January 2, 2026. Through the twelve months ended January 2, 2026, the Company’s statement of operations includes $3.2 million of interest accretion related to the contingent consideration.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circumstances where an acquisition involves acquiring customer relationships, the fair value for customer relationships is determined as of the acquisition date using the excess earnings method. Under this methodology, the fair value is determined based on the estimated future after-tax cash flows arising from the acquired customer relationships over their estimated useful lives after considering customer attrition and contributory asset charges. The assumptions that have the most significant effect on the fair value calculations are the customer attrition rates, projected customer revenue growth rates, margins, contributory asset charges, and discount rates.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fiscal year 2025, the accounting for the consideration for Enica was finalized. In addition, the Company did not make any adjustments to the consideration for Enica, and as a result, there were no adjustments to the purchase price allocation for the fiscal year ended January 2,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Costs that the Company incurs to complete the business combination such as investment banking, legal and other professional fees are not considered part of consideration. The Company charges these acquisition costs to general and administrative expense as they are incurred.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more information regarding current year acquisitions, see Note 13, “</w:t>
      </w:r>
      <w:r>
        <w:rPr>
          <w:rFonts w:ascii="Times New Roman;Times;serif" w:hAnsi="Times New Roman;Times;serif"/>
          <w:i/>
          <w:sz w:val="20"/>
        </w:rPr>
        <w:t>Business Combinations</w:t>
      </w:r>
      <w:r>
        <w:rPr>
          <w:rFonts w:ascii="Times New Roman;Times;serif" w:hAnsi="Times New Roman;Times;serif"/>
          <w:sz w:val="20"/>
        </w:rPr>
        <w:t>”, of the Notes to Consolidated Financial Statements included in this Annual Report on Form 10-K.</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of temporary differences between the financial reporting basis and tax basis of the Company’s assets and liabilities, subject to a judgmental assessment of the recoverability of deferred tax assets.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more-likely-than-not that some of the deferred tax assets may not be realized. Significant judgment is applied when assessing the need for valuation allowances. Areas of estimation include the Company’s consideration of future taxable income and ongoing prudent and feasible tax planning strategies. Should a change in circumstances lead to a change in judgment about the utilization of deferred tax assets in future years, the Company would adjust the related valuation allowances in the period that the change in circumstances occurs, along with a corresponding increase or charge to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each fiscal year, management assesses the available positive and negative evidence to estimate if sufficient future taxable income will be generated to utilize existing deferred tax assets. At the start of fiscal year 2024, the Company had a total valuation allowance related to its deferred tax assets of $1.2 million. During fiscal year 2024, the Company released $0.1 million of the valuation allowance due to expected future utilization of deferred tax assets, leaving a total valuation allowance of $1.1 million at the end of fiscal year 2024. During fiscal year 2025, no changes were made to tax valuation allowance as the available positive and negative evidence did not warrant a revision.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acquired business entities, if the Company identifies changes to acquired deferred tax asset valuation allowances or liabilities related to uncertain tax positions during the measurement period and they relate to new information obtained about facts and circumstances that existed as of the acquisition date, those changes are considered a measurement period adjustment and the Company records the offset to goodwill. The Company records all other changes to deferred tax asset valuation allowances and liabilities related to uncertain tax positions in current period income tax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Discrete tax items are specific tax-related events or adjustments that are recognized in the period in which they occur, rather than being tied to ongoing operating income or recurring earnings. Unlike regular income tax expense, which is typically calculated as a percentage of pre-tax income, discrete tax items arise from one-time or event-driven transactions. The Company’s income tax expense can be significantly impacted by these discrete tax items, such as energy-efficiency building deductions or stock compensation windfalls and shortfalls. As a result, these discrete tax items can generate substantial tax benefits or expenses that vary by reporting period and cause fluctuations from initially estimated effective tax rates.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further information, see Note 11, “</w:t>
      </w:r>
      <w:r>
        <w:rPr>
          <w:rFonts w:ascii="Times New Roman;Times;serif" w:hAnsi="Times New Roman;Times;serif"/>
          <w:i/>
          <w:sz w:val="20"/>
        </w:rPr>
        <w:t>Income Taxes”</w:t>
      </w:r>
      <w:r>
        <w:rPr>
          <w:rFonts w:ascii="Times New Roman;Times;serif" w:hAnsi="Times New Roman;Times;serif"/>
          <w:sz w:val="20"/>
        </w:rPr>
        <w:t>, of the Notes to Consolidated Financial Statements included in this Annual Report on Form 10-K.</w:t>
      </w:r>
    </w:p>
    <w:p>
      <w:pPr>
        <w:pStyle w:val="TextBody"/>
        <w:bidi w:val="0"/>
        <w:spacing w:before="0" w:after="240"/>
        <w:ind w:left="0" w:right="0" w:firstLine="187"/>
        <w:jc w:val="left"/>
        <w:rPr>
          <w:rFonts w:ascii="Times New Roman;Times;serif" w:hAnsi="Times New Roman;Times;serif"/>
          <w:i/>
          <w:sz w:val="20"/>
        </w:rPr>
      </w:pPr>
      <w:r>
        <w:rPr>
          <w:rFonts w:ascii="Times New Roman;Times;serif" w:hAnsi="Times New Roman;Times;serif"/>
          <w:i/>
          <w:sz w:val="20"/>
        </w:rPr>
        <w:t>Earnings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RSAs, RSUs, and PBRSUs, and rights to purchase shares of common stock under the Company’s ESPP.</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Other Comprehensive Income (loss), Net of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comprehensive income (loss), net of tax refers to revenue, expenses, gains and losses that are recorded as an element of shareholders’ equity but are excluded from net income (loss). The Company’s other comprehensive income (loss), net of tax is comprised of unrealized gains or losses on its interest rate swap agreement designated as cash flow hedges.</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Derivatives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the Company uses certain interest rate derivatives contracts to hedge interest rate exposures on its variable rate debt. The Company recognizes derivative instruments as either assets or liabilities on its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(loss) income as a loss or gain on cash flow hedge valuation.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bidi w:val="0"/>
        <w:spacing w:before="0" w:after="240"/>
        <w:ind w:left="360" w:right="0" w:hanging="720"/>
        <w:jc w:val="left"/>
        <w:rPr>
          <w:rFonts w:ascii="Times New Roman;Times;serif" w:hAnsi="Times New Roman;Times;serif"/>
          <w:i/>
          <w:sz w:val="20"/>
        </w:rPr>
      </w:pPr>
      <w:r>
        <w:rPr>
          <w:rFonts w:ascii="Times New Roman;Times;serif" w:hAnsi="Times New Roman;Times;serif"/>
          <w:i/>
          <w:sz w:val="20"/>
        </w:rPr>
        <w:t>Operating Cycle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industry practice, amounts realizable and payable under contracts that extend beyond one year are included in current assets (included in contract assets) and current liabilities.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200"/>
        <w:ind w:left="0" w:right="0" w:hanging="0"/>
        <w:jc w:val="left"/>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xml:space="preserve"> </w:t>
      </w:r>
      <w:r>
        <w:rPr>
          <w:rFonts w:ascii="Times New Roman;Times;serif" w:hAnsi="Times New Roman;Times;serif"/>
          <w:b/>
          <w:sz w:val="20"/>
        </w:rPr>
        <w:t>RECENT ACCOUNTING PRONOUNCEMENTS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Accounting Pronouncements Recently Adopted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July 2025, the Financial Accounting Standards Board (“FASB”) issued Accounting Standards Update (“ASU”) No. 2025-05, “Financial Instruments – Credit Losses (Topic 326): Measurement of Credit Losses for Accounts Receivable and Contract Assets” (“ASU 2025-05”). ASU 2025-05 allows an entity to elect a practical expedient to assume that current conditions as of the balance sheet date do not change for the remaining life of the asset in the development of a reasonable and supportable forecast as part of estimating expected credit losses. The amendments are effective for the annual reporting periods beginning after December 15, 2025, and interim periods within those fiscal year reporting periods beginning after December 15, 2025, with early adoption</w:t>
      </w:r>
      <w:r>
        <w:rPr>
          <w:rFonts w:ascii="Times New Roman;Times;serif" w:hAnsi="Times New Roman;Times;serif"/>
          <w:sz w:val="24"/>
        </w:rPr>
        <w:t> </w:t>
      </w:r>
      <w:r>
        <w:rPr>
          <w:rFonts w:ascii="Times New Roman;Times;serif" w:hAnsi="Times New Roman;Times;serif"/>
          <w:sz w:val="20"/>
        </w:rPr>
        <w:t>permitted. The Company elected to early adopt</w:t>
      </w:r>
      <w:r>
        <w:rPr>
          <w:rFonts w:ascii="Times New Roman;Times;serif" w:hAnsi="Times New Roman;Times;serif"/>
          <w:sz w:val="24"/>
        </w:rPr>
        <w:t xml:space="preserve"> </w:t>
      </w:r>
      <w:r>
        <w:rPr>
          <w:rFonts w:ascii="Times New Roman;Times;serif" w:hAnsi="Times New Roman;Times;serif"/>
          <w:sz w:val="20"/>
        </w:rPr>
        <w:t>this standard in the fourth quarter of fiscal year 2025. The adoption of this standard did not have a material impact on the Company’s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2023, the FASB issued ASU No. 2023-09, “Income Taxes (Topic 740): Improvements to Income Tax Disclosures” (“ASU 2023-09”).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In addition, ASU 2023-09 requires entities to disclose their income tax payments to international, federal, state, and local jurisdictions, among other changes. The amendments can be applied on a prospective basis although retrospective application is permitted. The amendments are effective for the annual reporting periods beginning after December 15, 2024, with early adoption permitted. The Company adopted</w:t>
      </w:r>
      <w:r>
        <w:rPr>
          <w:rFonts w:ascii="Times New Roman;Times;serif" w:hAnsi="Times New Roman;Times;serif"/>
          <w:sz w:val="24"/>
        </w:rPr>
        <w:t xml:space="preserve"> </w:t>
      </w:r>
      <w:r>
        <w:rPr>
          <w:rFonts w:ascii="Times New Roman;Times;serif" w:hAnsi="Times New Roman;Times;serif"/>
          <w:sz w:val="20"/>
        </w:rPr>
        <w:t xml:space="preserve">ASU 2023-09 for its fiscal year 2025 annual reporting period, and as permitted by ASU 2023-09, the Company adopted this standard on a </w:t>
      </w:r>
      <w:r>
        <w:rPr>
          <w:rFonts w:ascii="Times New Roman;Times;serif" w:hAnsi="Times New Roman;Times;serif"/>
          <w:b w:val="false"/>
          <w:i w:val="false"/>
          <w:caps w:val="false"/>
          <w:smallCaps w:val="false"/>
          <w:sz w:val="20"/>
        </w:rPr>
        <w:t>prospective</w:t>
      </w:r>
      <w:r>
        <w:rPr>
          <w:rFonts w:ascii="Times New Roman;Times;serif" w:hAnsi="Times New Roman;Times;serif"/>
          <w:sz w:val="24"/>
        </w:rPr>
        <w:t xml:space="preserve"> </w:t>
      </w:r>
      <w:r>
        <w:rPr>
          <w:rFonts w:ascii="Times New Roman;Times;serif" w:hAnsi="Times New Roman;Times;serif"/>
          <w:sz w:val="20"/>
        </w:rPr>
        <w:t>basis. The adoption of this standard did not have a material impact on the Company’s Consolidated Financial Statements or disclosures.</w:t>
      </w:r>
    </w:p>
    <w:p>
      <w:pPr>
        <w:pStyle w:val="TextBody"/>
        <w:bidi w:val="0"/>
        <w:spacing w:lineRule="atLeast" w:line="220" w:before="0" w:after="240"/>
        <w:ind w:left="0" w:right="0" w:firstLine="360"/>
        <w:jc w:val="left"/>
        <w:rPr>
          <w:rFonts w:ascii="Times New Roman;Times;serif" w:hAnsi="Times New Roman;Times;serif"/>
          <w:i/>
          <w:sz w:val="20"/>
        </w:rPr>
      </w:pPr>
      <w:r>
        <w:rPr>
          <w:rFonts w:ascii="Times New Roman;Times;serif" w:hAnsi="Times New Roman;Times;serif"/>
          <w:i/>
          <w:sz w:val="20"/>
        </w:rPr>
        <w:t>Accounting Pronouncements Recently Issued</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FASB issued ASU No. 2025-12, “Codification Improvements” (“ASU 2025-12”). ASU 2025-12 addresses suggestions received from stakeholders on the Accounting Standards Codification and to make other incremental improvements to generally accepted accounting principles (“GAAP”). ASU 2025-12 provides changes to the Codification that (1) clarify, (2) correct errors, or (3) make minor improvements. The amendments are effective for the annual reporting periods beginning after December 15, 2026, and interim periods within those fiscal year reporting periods beginning after December 15, 2026, with early adoption</w:t>
      </w:r>
      <w:r>
        <w:rPr>
          <w:rFonts w:ascii="Times New Roman;Times;serif" w:hAnsi="Times New Roman;Times;serif"/>
          <w:sz w:val="24"/>
        </w:rPr>
        <w:t> </w:t>
      </w:r>
      <w:r>
        <w:rPr>
          <w:rFonts w:ascii="Times New Roman;Times;serif" w:hAnsi="Times New Roman;Times;serif"/>
          <w:sz w:val="20"/>
        </w:rPr>
        <w:t>permitted. The Company does not believe the amendments in ASU 2025-12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December 2025, the FASB issued ASU No. 2025-11, “Interim Reporting" (Topic 270): Narrow-Scope Improvements” (“ASU 2025-11”). The ASU 2025-11 amendments are intended to improve the guidance in Topic 270, Interim Reporting, by improving the navigability of the required interim disclosures and clarifying when that guidance is applicable. The amendments also provide additional guidance on what disclosures should be provided in interim reporting periods. The amendments are effective for the annual reporting periods beginning after December 15, 2027, and interim periods within those fiscal year reporting periods beginning after December 15, 2027, with early adoption</w:t>
      </w:r>
      <w:r>
        <w:rPr>
          <w:rFonts w:ascii="Times New Roman;Times;serif" w:hAnsi="Times New Roman;Times;serif"/>
          <w:sz w:val="24"/>
        </w:rPr>
        <w:t> </w:t>
      </w:r>
      <w:r>
        <w:rPr>
          <w:rFonts w:ascii="Times New Roman;Times;serif" w:hAnsi="Times New Roman;Times;serif"/>
          <w:sz w:val="20"/>
        </w:rPr>
        <w:t>permitted either (1) prospectively or (2) retrospectively. The Company does not believe the amendments in ASU 2025-11 will have a material impact on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2025, the FASB issued ASU No. 2025-09, “Derivatives and Hedging (Topic 815): Hedge Accounting Improvements” (“ASU 2025-09”). The ASU 2025-09 amendments are intended to simplify the application of hedge accounting and to more closely align hedge accounting with the economics of an entity's risk management activities in the following five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The amendments are effective for the annual reporting periods beginning after December 15, 2026, and interim periods within those fiscal year reporting periods beginning after December 15, 2026, with early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adoption permitted. The Company is currently evaluating the impact this update will have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September 2025, the FASB issued ASU No. 2025-06, “Intangibles – Goodwill and Other – Internal-Use Software (Subtopic 350-40): Targeted Improvements to the Accounting for Internal Software” (“ASU 2025-06”). ASU 2025-06 removes references to prescriptive and sequential software development stages which are referred to as “project stages” throughout Subtopic 350-40. The amendment introduces a principles-based approach to capitalization of internal-use software costs and requires capitalization of software costs to begin when management has authorized and committed to funding the project and it is probable the project will be completed and used to perform the intended function. The amendments do not change what internal-use software costs can be capitalized or when such capitalization ceases. The amendments are effective for the annual reporting periods beginning after December 15, 2027, and interim periods within those fiscal year reporting periods beginning after December 15, 2027, with early adoption</w:t>
      </w:r>
      <w:r>
        <w:rPr>
          <w:rFonts w:ascii="Times New Roman;Times;serif" w:hAnsi="Times New Roman;Times;serif"/>
          <w:sz w:val="24"/>
        </w:rPr>
        <w:t> </w:t>
      </w:r>
      <w:r>
        <w:rPr>
          <w:rFonts w:ascii="Times New Roman;Times;serif" w:hAnsi="Times New Roman;Times;serif"/>
          <w:sz w:val="20"/>
        </w:rPr>
        <w:t>permitted. The Company does not believe the amendments in ASU 2025-06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May 2025, the FASB issued ASU No. 2025-03, “Business Combinations (Topic 805) and Consolidation (Topic 810): Determining the Accounting Acquirer in the Acquisition of a Variable Interest Entity” (“ASU 2025-03”). ASU 2025-03 requires an entity involved in an acquisition transaction effected primarily by exchanging equity interests when the legal acquiree is a Variable Interest Entity (“VIE”) that meets the definition of a business to consider the factors in paragraphs 805-10-55-12 through 55-15 to determine which entity is the accounting acquirer, rather than defaulting to the conclusion that the primary beneficiary is always the acquirer. The amendments are effective for the annual reporting periods beginning after December 15, 2026, and interim periods within those fiscal year reporting periods beginning after December 15, 2026, with early adoption</w:t>
      </w:r>
      <w:r>
        <w:rPr>
          <w:rFonts w:ascii="Times New Roman;Times;serif" w:hAnsi="Times New Roman;Times;serif"/>
          <w:sz w:val="24"/>
        </w:rPr>
        <w:t> </w:t>
      </w:r>
      <w:r>
        <w:rPr>
          <w:rFonts w:ascii="Times New Roman;Times;serif" w:hAnsi="Times New Roman;Times;serif"/>
          <w:sz w:val="20"/>
        </w:rPr>
        <w:t>permitted. The Company does not believe the amendments in ASU 2025-03 will have a material impact on its Consolidated Financial Statements.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In November 2024, the FASB issued ASU No. 2024-03, “Income Statement - Reporting Comprehensive Income - Expense Disaggregation Disclosures (Subtopic 220-40)” (“ASU 2024-03”). ASU 2024-03 requires entities to disclose, in the Notes to Consolidated Financial Statements, specified information about certain costs and expenses at each interim and annual reporting period. Specific disclosures include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as well as a qualitative description of the amounts remaining in relevant expense captions that are not separately disaggregated quantitatively. Additionally, entities will need to disclose the total amount of selling expenses and, in annual reporting periods, an entity’s definition of selling expenses. The amendments are effective for the annual reporting periods beginning after December 15, 2026, and interim periods within fiscal years beginning after December 15, 2027, with early adoption</w:t>
      </w:r>
      <w:r>
        <w:rPr>
          <w:rFonts w:ascii="Times New Roman;Times;serif" w:hAnsi="Times New Roman;Times;serif"/>
          <w:sz w:val="24"/>
        </w:rPr>
        <w:t xml:space="preserve"> </w:t>
      </w:r>
      <w:r>
        <w:rPr>
          <w:rFonts w:ascii="Times New Roman;Times;serif" w:hAnsi="Times New Roman;Times;serif"/>
          <w:sz w:val="20"/>
        </w:rPr>
        <w:t>permitted. The Company is currently evaluating the impact this update will have on its consolidated financial statements.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In October 2023, the FASB issued ASU No. 2023-06, “Disclosure Improvements: Codification Amendments in Response to the SEC’s Disclosure Update and Simplification Initiative” (“ASU 2023-06”). ASU 2023-06 amends U.S. GAAP to reflect updates and simplifications to certain disclosure and presentation requirements referred to FASB by the Securities and Exchange Commission (“SEC”). The targeted amendments incorporate 14 of the 27 disclosures referred by the SEC into codification. Each amendment in ASU 2023-06 is effective on either the date on which the SEC’s removal of the related disclosure requirement from Regulation S-X or Regulation S-K becomes effective, or on June 30, 2027, if the SEC has not removed the requirements by that date. The Company does not believe the amendments in ASU 2023-06 will have a material impact in any of the Company’s current disclosures.</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749" w:name="Tc_j9Qqbe3C6kSxZ1b_cbu0kA_8_8"/>
      <w:bookmarkStart w:id="750" w:name="Tc_YJLSGjxOiEu-BlSPu1-ZrQ_8_5"/>
      <w:bookmarkStart w:id="751" w:name="Tc_dhbtA6_0vUyefmyOex66rw_8_2"/>
      <w:bookmarkStart w:id="752" w:name="Tc_Eyagz--1pUOApaI77lKXIA_8_0"/>
      <w:bookmarkStart w:id="753" w:name="Tc_KuHMy8RzpU2NgI7PUlhUnw_7_9"/>
      <w:bookmarkStart w:id="754" w:name="Tc_SiZzTetUiEa1bY4AxyehPw_7_3"/>
      <w:bookmarkStart w:id="755" w:name="Tc_8IVxQG11VkSo_e6mu6e2eQ_7_0"/>
      <w:bookmarkStart w:id="756" w:name="Tc_wwDj8yfT0EGpbLtk7huiHg_6_0"/>
      <w:bookmarkStart w:id="757" w:name="Tc_G8WjiK0CFEOMsyrWEVpANg_5_0"/>
      <w:bookmarkStart w:id="758" w:name="Tc_Z-_8i4GuP0-v_zT0jiMjYQ_4_8"/>
      <w:bookmarkStart w:id="759" w:name="Tc_6ex58STpF0KgUzxF88vCJg_4_5"/>
      <w:bookmarkStart w:id="760" w:name="Tc_9VPGty7lEUi_Kkg5C9lZxA_4_2"/>
      <w:bookmarkStart w:id="761" w:name="Tc_BPCtVBCcH0m_-wDE0zbXKQ_4_0"/>
      <w:bookmarkStart w:id="762" w:name="Tc_q9ZyDC5veE6r6TiCZleaiQ_3_2"/>
      <w:bookmarkStart w:id="763" w:name="Tc_t7OtzpGKNECXz4yRuhSjBA_2_8"/>
      <w:bookmarkStart w:id="764" w:name="Tc_3u5OkZbMOkSB-dPiy6z7Jw_2_5"/>
      <w:bookmarkStart w:id="765" w:name="Tc_6wcbJT8koUKhHMD8H9jHNw_2_2"/>
      <w:bookmarkStart w:id="766" w:name="Tc_rTh-zD9elUu-CcmhYhy6-Q_1_2"/>
      <w:bookmarkStart w:id="767" w:name="_7c6d921f_6088_440d_a9f1_5062e1b3c50f"/>
      <w:bookmarkStart w:id="768" w:name="Tc_gzs1c8cCnEuAq1i7xmewRw_6_5"/>
      <w:bookmarkStart w:id="769" w:name="Tc_OX2hRHuC8kSViDHjQ-u81g_6_2"/>
      <w:bookmarkStart w:id="770" w:name="Tc_oR3D0_LMQUKEZVFexfj9cQ_6_0"/>
      <w:bookmarkStart w:id="771" w:name="Tc_O9_hBNEUaESzgQK7kL0SAA_5_0"/>
      <w:bookmarkStart w:id="772" w:name="Tc_ZR0JsI3QPk63RNhbm8rk1w_4_5"/>
      <w:bookmarkStart w:id="773" w:name="Tc_z2J5_12WIEKW8G4KuekAYg_4_2"/>
      <w:bookmarkStart w:id="774" w:name="Tc_yVK19zztO0q3LFJSEivWow_4_0"/>
      <w:bookmarkStart w:id="775" w:name="Tc_Pcbe9rtEVEOu4Zhuny6A6Q_3_2"/>
      <w:bookmarkStart w:id="776" w:name="Tc_7lsmb7GhoEun4yOz_fs1bA_2_5"/>
      <w:bookmarkStart w:id="777" w:name="Tc_LBCx-qsLGE-UEG6WzMXTHQ_2_2"/>
      <w:bookmarkStart w:id="778" w:name="Tc_5Bm6BD1r4k6h3Bryp6ALPw_1_5"/>
      <w:bookmarkStart w:id="779" w:name="Tc_jUl2V_CkqU6FqFSUG3na-A_1_2"/>
      <w:bookmarkStart w:id="780" w:name="_e68491e5_716f_4242_8005_d8291e957894"/>
      <w:bookmarkStart w:id="781" w:name="Tc__aZpJjKW7UqUkV_QIkIgJQ_6_8"/>
      <w:bookmarkStart w:id="782" w:name="Tc_kGJUftr12U6tmIpu4JBx1A_6_5"/>
      <w:bookmarkStart w:id="783" w:name="Tc_M2P2BMQeskS7Vsy9Xj_drw_6_2"/>
      <w:bookmarkStart w:id="784" w:name="Tc_GAVse0hSwki_-JM1q284Jw_6_0"/>
      <w:bookmarkStart w:id="785" w:name="Tc_sZbyvjMvF0idFPFDXmgm1A_5_9"/>
      <w:bookmarkStart w:id="786" w:name="Tc_x5PoP6FrYUiSUBLe-xZ_Qg_5_6"/>
      <w:bookmarkStart w:id="787" w:name="Tc_QqZlTaFQck6fW2mbCVOA-w_5_3"/>
      <w:bookmarkStart w:id="788" w:name="Tc_h7sAmwxTa0q_KWMAYj2KMA_5_0"/>
      <w:bookmarkStart w:id="789" w:name="Tc_8VJkIIdOWUGBInd4p-nVjA_4_8"/>
      <w:bookmarkStart w:id="790" w:name="Tc_RbOhax6dAU2Hvolj3rEQ1g_4_5"/>
      <w:bookmarkStart w:id="791" w:name="Tc_AxxUFxrPd0uvovdgz9HCrg_4_2"/>
      <w:bookmarkStart w:id="792" w:name="Tc_ohmd7ZY9a0Gs1TopYiJ5ng_4_0"/>
      <w:bookmarkStart w:id="793" w:name="Tc_XhEIzyxLK0yDmk0onPQtvA_3_2"/>
      <w:bookmarkStart w:id="794" w:name="Tc_XV-dc29NxkyQ1OTbog2E8Q_2_8"/>
      <w:bookmarkStart w:id="795" w:name="Tc_7UihHQnFRUG4bt696EBjlA_2_5"/>
      <w:bookmarkStart w:id="796" w:name="Tc_RH3ju3SVhkiXjPyzzwuszA_2_2"/>
      <w:bookmarkStart w:id="797" w:name="Tc_ngUGKKvOqUaWss7s8-ynVg_1_8"/>
      <w:bookmarkStart w:id="798" w:name="Tc_ckrdRb2vOEOSLJSgXydRug_1_5"/>
      <w:bookmarkStart w:id="799" w:name="Tc_PXpyh0n-8E-KPycw8o8K3A_1_2"/>
      <w:bookmarkStart w:id="800" w:name="_a9167f9e_86d8_4196_8b9a_94beb47e19cb"/>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rPr>
          <w:rFonts w:ascii="Times New Roman;Times;serif" w:hAnsi="Times New Roman;Times;serif"/>
          <w:b/>
          <w:sz w:val="20"/>
        </w:rPr>
        <w:t>3. SUPPLEMENTAL FINANCIAL STATEMENT DATA</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and cash equivalents, and restricted cash reported within the consolidated balance sheets for fiscal years 2025, 2024 and 2023, to the total cash, cash equivalents, and restricted cash shown in the consolidated statements of cash flows for fiscal years 2025, 2024, and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33"/>
        <w:gridCol w:w="346"/>
        <w:gridCol w:w="213"/>
        <w:gridCol w:w="683"/>
        <w:gridCol w:w="346"/>
        <w:gridCol w:w="246"/>
        <w:gridCol w:w="790"/>
        <w:gridCol w:w="346"/>
        <w:gridCol w:w="231"/>
        <w:gridCol w:w="871"/>
      </w:tblGrid>
      <w:tr>
        <w:trPr/>
        <w:tc>
          <w:tcPr>
            <w:tcW w:w="6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894455" cy="175260"/>
                      <wp:effectExtent l="0" t="0" r="0" b="0"/>
                      <wp:wrapNone/>
                      <wp:docPr id="160" name="Frame159"/>
                      <a:graphic xmlns:a="http://schemas.openxmlformats.org/drawingml/2006/main">
                        <a:graphicData uri="http://schemas.microsoft.com/office/word/2010/wordprocessingShape">
                          <wps:wsp>
                            <wps:cNvSpPr txBox="1"/>
                            <wps:spPr>
                              <a:xfrm>
                                <a:off x="0" y="0"/>
                                <a:ext cx="3894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5255" cy="175260"/>
                      <wp:effectExtent l="0" t="0" r="0" b="0"/>
                      <wp:wrapNone/>
                      <wp:docPr id="162" name="Frame16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3705" cy="175260"/>
                      <wp:effectExtent l="0" t="0" r="0" b="0"/>
                      <wp:wrapNone/>
                      <wp:docPr id="163" name="Frame162"/>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6210" cy="175260"/>
                      <wp:effectExtent l="0" t="0" r="0" b="0"/>
                      <wp:wrapNone/>
                      <wp:docPr id="165" name="Frame164"/>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01650" cy="175260"/>
                      <wp:effectExtent l="0" t="0" r="0" b="0"/>
                      <wp:wrapNone/>
                      <wp:docPr id="166" name="Frame165"/>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6685" cy="175260"/>
                      <wp:effectExtent l="0" t="0" r="0" b="0"/>
                      <wp:wrapNone/>
                      <wp:docPr id="168" name="Frame16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53085" cy="175260"/>
                      <wp:effectExtent l="0" t="0" r="0" b="0"/>
                      <wp:wrapNone/>
                      <wp:docPr id="169" name="Frame16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61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1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726"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6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65,919</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23,397</w:t>
            </w:r>
          </w:p>
        </w:tc>
      </w:tr>
      <w:tr>
        <w:trPr/>
        <w:tc>
          <w:tcPr>
            <w:tcW w:w="6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consolidated statement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65,919</w:t>
            </w:r>
          </w:p>
        </w:tc>
        <w:tc>
          <w:tcPr>
            <w:tcW w:w="346" w:type="dxa"/>
            <w:tcBorders/>
            <w:shd w:fill="CCEEFF" w:val="clear"/>
            <w:vAlign w:val="center"/>
          </w:tcPr>
          <w:p>
            <w:pPr>
              <w:pStyle w:val="TableContents"/>
              <w:bidi w:val="0"/>
              <w:spacing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74,158</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23,397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certain utility contracts, the Company periodically receives cash deposits to be held in trust for the payment of energy incentive rebates to be sent directly to the utility’s end-customer on behalf of the utility. The Company acts solely as the utility’s agent to distribute these funds to the end-customer and, accordingly, the Company classifies these contractually restricted funds as restricted cash. Because these funds are held in trust for pass through to the utility’s customers and have no impact on the Company’s working capital or operating cash flows, these cash receipts are presented in the consolidated statement of cash flows as financing cash inflows, “Receipt of restricted cash”, with the subsequent payments classified as financing cash outflows, “Payment of restricted cash.”</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Accounts Receivable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consisted of the following:</w:t>
      </w:r>
    </w:p>
    <w:p>
      <w:pPr>
        <w:pStyle w:val="TextBody"/>
        <w:bidi w:val="0"/>
        <w:spacing w:before="0" w:after="0"/>
        <w:ind w:left="0" w:right="0" w:hanging="0"/>
        <w:jc w:val="left"/>
        <w:rPr/>
      </w:pPr>
      <w:r>
        <w:rPr/>
        <w:t>​</w:t>
      </w:r>
    </w:p>
    <w:tbl>
      <w:tblPr>
        <w:tblW w:w="5308" w:type="dxa"/>
        <w:jc w:val="left"/>
        <w:tblInd w:w="0" w:type="dxa"/>
        <w:tblLayout w:type="fixed"/>
        <w:tblCellMar>
          <w:top w:w="0" w:type="dxa"/>
          <w:left w:w="0" w:type="dxa"/>
          <w:bottom w:w="0" w:type="dxa"/>
          <w:right w:w="0" w:type="dxa"/>
        </w:tblCellMar>
      </w:tblPr>
      <w:tblGrid>
        <w:gridCol w:w="2776"/>
        <w:gridCol w:w="146"/>
        <w:gridCol w:w="214"/>
        <w:gridCol w:w="686"/>
        <w:gridCol w:w="346"/>
        <w:gridCol w:w="240"/>
        <w:gridCol w:w="900"/>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762760" cy="175260"/>
                      <wp:effectExtent l="0" t="0" r="0" b="0"/>
                      <wp:wrapNone/>
                      <wp:docPr id="170" name="Frame169"/>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92710" cy="175260"/>
                      <wp:effectExtent l="0" t="0" r="0" b="0"/>
                      <wp:wrapNone/>
                      <wp:docPr id="171" name="Frame1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5890" cy="175260"/>
                      <wp:effectExtent l="0" t="0" r="0" b="0"/>
                      <wp:wrapNone/>
                      <wp:docPr id="172" name="Frame17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35610" cy="175260"/>
                      <wp:effectExtent l="0" t="0" r="0" b="0"/>
                      <wp:wrapNone/>
                      <wp:docPr id="173" name="Frame17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2400" cy="175260"/>
                      <wp:effectExtent l="0" t="0" r="0" b="0"/>
                      <wp:wrapNone/>
                      <wp:docPr id="175" name="Frame17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71500" cy="175260"/>
                      <wp:effectExtent l="0" t="0" r="0" b="0"/>
                      <wp:wrapNone/>
                      <wp:docPr id="176" name="Frame17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27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77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38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Billed</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64,944</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66,870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vAlign w:val="center"/>
          </w:tcPr>
          <w:p>
            <w:pPr>
              <w:pStyle w:val="TableContents"/>
              <w:bidi w:val="0"/>
              <w:spacing w:before="0" w:after="0"/>
              <w:ind w:left="0" w:right="0" w:hanging="0"/>
              <w:jc w:val="right"/>
              <w:rPr>
                <w:color w:val="FFFFFF"/>
              </w:rPr>
            </w:pPr>
            <w:r>
              <w:rPr>
                <w:color w:val="FFFFFF"/>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64,604</w:t>
            </w:r>
          </w:p>
        </w:tc>
        <w:tc>
          <w:tcPr>
            <w:tcW w:w="346" w:type="dxa"/>
            <w:tcBorders/>
            <w:shd w:fill="CCEEFF" w:val="clear"/>
            <w:vAlign w:val="center"/>
          </w:tcPr>
          <w:p>
            <w:pPr>
              <w:pStyle w:val="TableContents"/>
              <w:bidi w:val="0"/>
              <w:spacing w:before="0" w:after="0"/>
              <w:ind w:left="0" w:right="0" w:hanging="0"/>
              <w:jc w:val="right"/>
              <w:rPr>
                <w:color w:val="FFFFFF"/>
              </w:rPr>
            </w:pPr>
            <w:r>
              <w:rPr>
                <w:color w:val="FFFFFF"/>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65,557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movements in the allowance for doubtful accounts consisted of the following:</w:t>
      </w:r>
    </w:p>
    <w:p>
      <w:pPr>
        <w:pStyle w:val="TextBody"/>
        <w:bidi w:val="0"/>
        <w:spacing w:before="0" w:after="0"/>
        <w:ind w:left="0" w:right="0" w:hanging="0"/>
        <w:jc w:val="left"/>
        <w:rPr/>
      </w:pPr>
      <w:r>
        <w:rPr/>
        <w:t>​</w:t>
      </w:r>
    </w:p>
    <w:tbl>
      <w:tblPr>
        <w:tblW w:w="7360" w:type="dxa"/>
        <w:jc w:val="left"/>
        <w:tblInd w:w="0" w:type="dxa"/>
        <w:tblLayout w:type="fixed"/>
        <w:tblCellMar>
          <w:top w:w="0" w:type="dxa"/>
          <w:left w:w="0" w:type="dxa"/>
          <w:bottom w:w="0" w:type="dxa"/>
          <w:right w:w="0" w:type="dxa"/>
        </w:tblCellMar>
      </w:tblPr>
      <w:tblGrid>
        <w:gridCol w:w="3841"/>
        <w:gridCol w:w="346"/>
        <w:gridCol w:w="211"/>
        <w:gridCol w:w="691"/>
        <w:gridCol w:w="346"/>
        <w:gridCol w:w="211"/>
        <w:gridCol w:w="571"/>
        <w:gridCol w:w="346"/>
        <w:gridCol w:w="211"/>
        <w:gridCol w:w="586"/>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439035" cy="175260"/>
                      <wp:effectExtent l="0" t="0" r="0" b="0"/>
                      <wp:wrapNone/>
                      <wp:docPr id="177" name="Frame176"/>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8785" cy="175260"/>
                      <wp:effectExtent l="0" t="0" r="0" b="0"/>
                      <wp:wrapNone/>
                      <wp:docPr id="180" name="Frame1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62585" cy="175260"/>
                      <wp:effectExtent l="0" t="0" r="0" b="0"/>
                      <wp:wrapNone/>
                      <wp:docPr id="183" name="Frame1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72110" cy="175260"/>
                      <wp:effectExtent l="0" t="0" r="0" b="0"/>
                      <wp:wrapNone/>
                      <wp:docPr id="186" name="Frame18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7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the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(Recovery of) provision for doubtful accounts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Write-offs of uncollectible accounts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the end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866</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Allowances for doubtful accounts have been determined through specific identification of amounts considered to be uncollectible and potential write-offs, plus a non-specific allowance for other amounts for which some potential loss has been determined to be probable based on current and past experience.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and December 27, 2024, the Company had no individual customers that accounted for more than 10% of the Company’s billed outstanding receivables,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801" w:name="Tc_oRT7MErgFEuwPZ7mxEiijQ_11_5"/>
      <w:bookmarkStart w:id="802" w:name="Tc_eFP1YWd6fkaMByq4t_YYzg_11_2"/>
      <w:bookmarkStart w:id="803" w:name="Tc_1ero0OaI6k-2tx2TtMxwFg_11_0"/>
      <w:bookmarkStart w:id="804" w:name="Tc_-by64ZEliUCOVv5aKlbjuA_10_0"/>
      <w:bookmarkStart w:id="805" w:name="Tc_n4CU7FogK0mx1Gs8ZYLzUg_9_0"/>
      <w:bookmarkStart w:id="806" w:name="Tc_hUzxzWKOTU-mSTKTFMBFyg_8_0"/>
      <w:bookmarkStart w:id="807" w:name="Tc_k7loDHqRYUeFZkRb4-1vNQ_7_0"/>
      <w:bookmarkStart w:id="808" w:name="Tc_Yh9lgWGnwkOpDWKQlQcuuA_6_0"/>
      <w:bookmarkStart w:id="809" w:name="Tc_cr6DAn0QzEWugT4FnMHRRw_5_0"/>
      <w:bookmarkStart w:id="810" w:name="Tc_G5QLJ2XD-0O0j2XA-DVk3w_4_5"/>
      <w:bookmarkStart w:id="811" w:name="Tc_Qd8_lsJvCU2ZJeq6k7gqoA_4_2"/>
      <w:bookmarkStart w:id="812" w:name="Tc_mWKAEpQl40adwhAXxl8CuA_4_0"/>
      <w:bookmarkStart w:id="813" w:name="Tc_ZmqJBVdzbkmCrBQbpJCbaQ_3_2"/>
      <w:bookmarkStart w:id="814" w:name="Tc_UyrhpIhc20yRiAaxyT0StA_2_5"/>
      <w:bookmarkStart w:id="815" w:name="Tc_21P-9k-HcU2n0HcZwChH1Q_2_2"/>
      <w:bookmarkStart w:id="816" w:name="Tc_TyVO8mFUfUOMXTZQpsxbTA_1_5"/>
      <w:bookmarkStart w:id="817" w:name="Tc_KNrKKFLdeEK8hlKGzoeAdg_1_2"/>
      <w:bookmarkStart w:id="818" w:name="_6b36b7d8_f201_4123_9713_86e960083cd8"/>
      <w:bookmarkStart w:id="819" w:name="Tc_xF6EtQSBP0KRjhhcm7sxgQ_8_5"/>
      <w:bookmarkStart w:id="820" w:name="Tc_ylBue1ALUkqbojUYxldm6g_8_2"/>
      <w:bookmarkStart w:id="821" w:name="Tc_oChFttNzlU2CYTy0Pkwmhg_8_0"/>
      <w:bookmarkStart w:id="822" w:name="Tc_B1lnk8mHZ0eEY4j9PTPAVQ_7_6"/>
      <w:bookmarkStart w:id="823" w:name="Tc_8boEmrbGcEWR5mjHftL8fQ_7_0"/>
      <w:bookmarkStart w:id="824" w:name="Tc_QkV55yxJ5UWEIpbK944RjA_6_0"/>
      <w:bookmarkStart w:id="825" w:name="Tc_b0pVXFpegEObEX3RHqgrlA_5_0"/>
      <w:bookmarkStart w:id="826" w:name="Tc_qvulQvfzPUqGNKO-A3MY5g_4_5"/>
      <w:bookmarkStart w:id="827" w:name="Tc_KWf52h48EkGbg0b-jaD2mA_4_2"/>
      <w:bookmarkStart w:id="828" w:name="Tc_RbDI9Vwj50SCYsXAgDjXFg_4_0"/>
      <w:bookmarkStart w:id="829" w:name="Tc_wffJWrt24UO76vUnW9WzvA_3_2"/>
      <w:bookmarkStart w:id="830" w:name="Tc_c_vd3iYvZESBdOCsQ8jtqQ_2_5"/>
      <w:bookmarkStart w:id="831" w:name="Tc_EebO0kWhqEiQEr0L5TgA6A_2_2"/>
      <w:bookmarkStart w:id="832" w:name="Tc_CQBRUZ3ifEm4U6rz15h3Pg_1_5"/>
      <w:bookmarkStart w:id="833" w:name="Tc_1__surLeIU2ta8751t3f3A_1_2"/>
      <w:bookmarkStart w:id="834" w:name="_e9872986_7266_4225_a691_d968fb27cd7c"/>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Times New Roman;Times;serif" w:hAnsi="Times New Roman;Times;serif"/>
          <w:i/>
          <w:sz w:val="20"/>
        </w:rPr>
        <w:t>Contract Assets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Contract assets consisted of the following:</w:t>
      </w:r>
    </w:p>
    <w:p>
      <w:pPr>
        <w:pStyle w:val="TextBody"/>
        <w:bidi w:val="0"/>
        <w:spacing w:before="0" w:after="0"/>
        <w:ind w:left="0" w:right="0" w:hanging="0"/>
        <w:jc w:val="left"/>
        <w:rPr/>
      </w:pPr>
      <w:r>
        <w:rPr/>
        <w:t>​</w:t>
      </w:r>
    </w:p>
    <w:tbl>
      <w:tblPr>
        <w:tblW w:w="4515" w:type="dxa"/>
        <w:jc w:val="left"/>
        <w:tblInd w:w="0" w:type="dxa"/>
        <w:tblLayout w:type="fixed"/>
        <w:tblCellMar>
          <w:top w:w="0" w:type="dxa"/>
          <w:left w:w="0" w:type="dxa"/>
          <w:bottom w:w="0" w:type="dxa"/>
          <w:right w:w="0" w:type="dxa"/>
        </w:tblCellMar>
      </w:tblPr>
      <w:tblGrid>
        <w:gridCol w:w="1891"/>
        <w:gridCol w:w="146"/>
        <w:gridCol w:w="211"/>
        <w:gridCol w:w="781"/>
        <w:gridCol w:w="346"/>
        <w:gridCol w:w="240"/>
        <w:gridCol w:w="900"/>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00785" cy="175260"/>
                      <wp:effectExtent l="0" t="0" r="0" b="0"/>
                      <wp:wrapNone/>
                      <wp:docPr id="187" name="Frame186"/>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2710" cy="175260"/>
                      <wp:effectExtent l="0" t="0" r="0" b="0"/>
                      <wp:wrapNone/>
                      <wp:docPr id="188" name="Frame1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95935" cy="175260"/>
                      <wp:effectExtent l="0" t="0" r="0" b="0"/>
                      <wp:wrapNone/>
                      <wp:docPr id="190" name="Frame1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52400" cy="175260"/>
                      <wp:effectExtent l="0" t="0" r="0" b="0"/>
                      <wp:wrapNone/>
                      <wp:docPr id="192" name="Frame19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71500" cy="175260"/>
                      <wp:effectExtent l="0" t="0" r="0" b="0"/>
                      <wp:wrapNone/>
                      <wp:docPr id="193" name="Frame192"/>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18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89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478"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short-term</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77,787</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66,518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retentions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29,509</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22,010</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107,296</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88,528</w:t>
            </w:r>
          </w:p>
        </w:tc>
      </w:tr>
      <w:tr>
        <w:trPr/>
        <w:tc>
          <w:tcPr>
            <w:tcW w:w="18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Unbilled long-term </w:t>
            </w:r>
            <w:r>
              <w:rPr>
                <w:rFonts w:ascii="Times New Roman;Times;serif" w:hAnsi="Times New Roman;Times;serif"/>
                <w:sz w:val="15"/>
              </w:rPr>
              <w:t>(1)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contract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110,058</w:t>
            </w:r>
          </w:p>
        </w:tc>
        <w:tc>
          <w:tcPr>
            <w:tcW w:w="346" w:type="dxa"/>
            <w:tcBorders/>
            <w:shd w:fill="CCEEFF" w:val="clear"/>
            <w:vAlign w:val="center"/>
          </w:tcPr>
          <w:p>
            <w:pPr>
              <w:pStyle w:val="TableContents"/>
              <w:bidi w:val="0"/>
              <w:spacing w:before="0" w:after="0"/>
              <w:ind w:left="0" w:right="0" w:hanging="0"/>
              <w:jc w:val="right"/>
              <w:rPr>
                <w:color w:val="FFFFFF"/>
              </w:rPr>
            </w:pPr>
            <w:r>
              <w:rPr>
                <w:color w:val="FFFFFF"/>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88,528</w:t>
            </w:r>
          </w:p>
        </w:tc>
      </w:tr>
    </w:tbl>
    <w:tbl>
      <w:tblPr>
        <w:tblW w:w="5796" w:type="dxa"/>
        <w:jc w:val="left"/>
        <w:tblInd w:w="0" w:type="dxa"/>
        <w:tblLayout w:type="fixed"/>
        <w:tblCellMar>
          <w:top w:w="28" w:type="dxa"/>
          <w:left w:w="28" w:type="dxa"/>
          <w:bottom w:w="28" w:type="dxa"/>
          <w:right w:w="28" w:type="dxa"/>
        </w:tblCellMar>
      </w:tblPr>
      <w:tblGrid>
        <w:gridCol w:w="124"/>
        <w:gridCol w:w="271"/>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Other assets in the consolidated financial statements.</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Unbilled accounts receivable represent revenue recognized, but not yet billed, pursuant to contract terms or accounts billed after the period end. Contract retentions represent amounts invoiced to clients where payments have been withheld pending the completion of certain milestones, other contractual conditions or upon the completion of the project. These retention agreements vary from project to project and could be outstanding for several months.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Equipment and Leasehold Improvements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Equipment and leasehold improvements were as follows:</w:t>
      </w:r>
    </w:p>
    <w:p>
      <w:pPr>
        <w:pStyle w:val="TextBody"/>
        <w:bidi w:val="0"/>
        <w:spacing w:before="0" w:after="0"/>
        <w:ind w:left="0" w:right="0" w:hanging="0"/>
        <w:jc w:val="left"/>
        <w:rPr/>
      </w:pPr>
      <w:r>
        <w:rPr/>
        <w:t>​</w:t>
      </w:r>
    </w:p>
    <w:tbl>
      <w:tblPr>
        <w:tblW w:w="6338" w:type="dxa"/>
        <w:jc w:val="left"/>
        <w:tblInd w:w="0" w:type="dxa"/>
        <w:tblLayout w:type="fixed"/>
        <w:tblCellMar>
          <w:top w:w="0" w:type="dxa"/>
          <w:left w:w="0" w:type="dxa"/>
          <w:bottom w:w="0" w:type="dxa"/>
          <w:right w:w="0" w:type="dxa"/>
        </w:tblCellMar>
      </w:tblPr>
      <w:tblGrid>
        <w:gridCol w:w="3736"/>
        <w:gridCol w:w="109"/>
        <w:gridCol w:w="211"/>
        <w:gridCol w:w="796"/>
        <w:gridCol w:w="346"/>
        <w:gridCol w:w="228"/>
        <w:gridCol w:w="912"/>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372360" cy="175260"/>
                      <wp:effectExtent l="0" t="0" r="0" b="0"/>
                      <wp:wrapNone/>
                      <wp:docPr id="194" name="Frame193"/>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5460" cy="175260"/>
                      <wp:effectExtent l="0" t="0" r="0" b="0"/>
                      <wp:wrapNone/>
                      <wp:docPr id="197" name="Frame1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44780" cy="175260"/>
                      <wp:effectExtent l="0" t="0" r="0" b="0"/>
                      <wp:wrapNone/>
                      <wp:docPr id="199" name="Frame19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79120" cy="175260"/>
                      <wp:effectExtent l="0" t="0" r="0" b="0"/>
                      <wp:wrapNone/>
                      <wp:docPr id="200" name="Frame199"/>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3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9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59,687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51,904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right"/>
              <w:rPr/>
            </w:pPr>
            <w:r>
              <w:rPr/>
              <w:t> </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under finance leases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7,471</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Automobiles, trucks, and field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80,711</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righ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(49,220)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31,491</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29,534</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expense of equipment and leasehold improvements totaled $8.8 million, $7.5 million, and $6.3 million in fiscal years 2025, 2024,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Included in accumulated depreciation and amortization is $1.5 million, $1.5 million, and $1.3 million of amortization expense related to equipment held under finance leases in fiscal years 2025, 2024, and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835" w:name="Tc_34CwrXpbfkatsWYo2GzP7g_10_5"/>
      <w:bookmarkStart w:id="836" w:name="Tc_NwFPWm857keKl3Ll8nEF3g_10_2"/>
      <w:bookmarkStart w:id="837" w:name="Tc_fp5y7htLgkeEWOStIkbccg_10_0"/>
      <w:bookmarkStart w:id="838" w:name="Tc_OLQxx5yH_kOfAQleHV9w5Q_9_0"/>
      <w:bookmarkStart w:id="839" w:name="Tc_I7whdaRx-0acIllixCSdww_8_3"/>
      <w:bookmarkStart w:id="840" w:name="Tc_zxk-qWR-MkCUPaX8AH0oaA_8_0"/>
      <w:bookmarkStart w:id="841" w:name="Tc_8Tfl_CpkEEusVrcFPUONxw_7_0"/>
      <w:bookmarkStart w:id="842" w:name="Tc_oOGZnC0BLkO9nc7YGKA82g_6_0"/>
      <w:bookmarkStart w:id="843" w:name="Tc_bWSzQF2HKUSE_DIEQ_nHOA_5_0"/>
      <w:bookmarkStart w:id="844" w:name="Tc_pQXUKmEMXEyfu2CTDqJeNg_4_5"/>
      <w:bookmarkStart w:id="845" w:name="Tc_JgKupXdr3U2b-AJgzb3RRQ_4_2"/>
      <w:bookmarkStart w:id="846" w:name="Tc_tBfOCIkB90ynZgAU7qwpcA_4_0"/>
      <w:bookmarkStart w:id="847" w:name="Tc_1FG6n9-pSEGrlKUMO1wi7w_3_2"/>
      <w:bookmarkStart w:id="848" w:name="Tc_88jt_JMcS0ebVnZCeaCP1g_2_5"/>
      <w:bookmarkStart w:id="849" w:name="Tc_niMUVApKSUabVpr7uWHczw_2_2"/>
      <w:bookmarkStart w:id="850" w:name="Tc_KyDI1WJ0Ek22AXFbPnq-9Q_1_5"/>
      <w:bookmarkStart w:id="851" w:name="Tc_FqUFNXrMpkWFfKqC4h7dZQ_1_2"/>
      <w:bookmarkStart w:id="852" w:name="_a54f020c_8054_4037_aab1_09de046c8a67"/>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i/>
          <w:sz w:val="20"/>
        </w:rPr>
        <w:t>Accrued Liabilities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Accrued liabilities were as follows:</w:t>
      </w:r>
    </w:p>
    <w:p>
      <w:pPr>
        <w:pStyle w:val="TextBody"/>
        <w:bidi w:val="0"/>
        <w:spacing w:before="0" w:after="0"/>
        <w:ind w:left="0" w:right="0" w:hanging="0"/>
        <w:jc w:val="left"/>
        <w:rPr/>
      </w:pPr>
      <w:r>
        <w:rPr/>
        <w:t>​</w:t>
      </w:r>
    </w:p>
    <w:tbl>
      <w:tblPr>
        <w:tblW w:w="5548" w:type="dxa"/>
        <w:jc w:val="left"/>
        <w:tblInd w:w="0" w:type="dxa"/>
        <w:tblLayout w:type="fixed"/>
        <w:tblCellMar>
          <w:top w:w="0" w:type="dxa"/>
          <w:left w:w="0" w:type="dxa"/>
          <w:bottom w:w="0" w:type="dxa"/>
          <w:right w:w="0" w:type="dxa"/>
        </w:tblCellMar>
      </w:tblPr>
      <w:tblGrid>
        <w:gridCol w:w="3016"/>
        <w:gridCol w:w="146"/>
        <w:gridCol w:w="214"/>
        <w:gridCol w:w="686"/>
        <w:gridCol w:w="346"/>
        <w:gridCol w:w="242"/>
        <w:gridCol w:w="898"/>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915160" cy="175260"/>
                      <wp:effectExtent l="0" t="0" r="0" b="0"/>
                      <wp:wrapNone/>
                      <wp:docPr id="201" name="Frame200"/>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2710" cy="175260"/>
                      <wp:effectExtent l="0" t="0" r="0" b="0"/>
                      <wp:wrapNone/>
                      <wp:docPr id="202" name="Frame20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5890" cy="175260"/>
                      <wp:effectExtent l="0" t="0" r="0" b="0"/>
                      <wp:wrapNone/>
                      <wp:docPr id="203" name="Frame20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5610" cy="175260"/>
                      <wp:effectExtent l="0" t="0" r="0" b="0"/>
                      <wp:wrapNone/>
                      <wp:docPr id="204" name="Frame20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3670" cy="175260"/>
                      <wp:effectExtent l="0" t="0" r="0" b="0"/>
                      <wp:wrapNone/>
                      <wp:docPr id="206" name="Frame20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70230" cy="175260"/>
                      <wp:effectExtent l="0" t="0" r="0" b="0"/>
                      <wp:wrapNone/>
                      <wp:docPr id="207" name="Frame206"/>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30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38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subcontractor costs</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37,123</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33,061</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bonuses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27,478</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18,277</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withholdings</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payroll taxes</w:t>
            </w:r>
          </w:p>
        </w:tc>
        <w:tc>
          <w:tcPr>
            <w:tcW w:w="1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righ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5,534</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righ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 and other</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accounting costs and taxes</w:t>
            </w:r>
          </w:p>
        </w:tc>
        <w:tc>
          <w:tcPr>
            <w:tcW w:w="1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6,300</w:t>
            </w:r>
          </w:p>
        </w:tc>
        <w:tc>
          <w:tcPr>
            <w:tcW w:w="34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82,434</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62,776</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bidi w:val="0"/>
        <w:spacing w:before="0" w:after="0"/>
        <w:ind w:left="0" w:right="0" w:hanging="0"/>
        <w:jc w:val="left"/>
        <w:rPr>
          <w:rFonts w:ascii="Times New Roman;Times;serif" w:hAnsi="Times New Roman;Times;serif"/>
          <w:b/>
          <w:sz w:val="20"/>
        </w:rPr>
      </w:pPr>
      <w:bookmarkStart w:id="853" w:name="Tc_ztVAqJFIb0C_4t-AKdiCRA_14_5"/>
      <w:bookmarkStart w:id="854" w:name="Tc_7uIKITYzwUCcZs6b0zJtaQ_14_2"/>
      <w:bookmarkStart w:id="855" w:name="Tc_AoGfBEL97kiX789n7IxtBQ_14_0"/>
      <w:bookmarkStart w:id="856" w:name="Tc_WVOl2DN2_0ypVpymFOu1IA_13_0"/>
      <w:bookmarkStart w:id="857" w:name="Tc_6H7zNCaitE6Nc2qsIeLapw_12_0"/>
      <w:bookmarkStart w:id="858" w:name="Tc_StgTFqzBxEukebZsKRYh-Q_11_6"/>
      <w:bookmarkStart w:id="859" w:name="Tc_0lsRfPpPrk-nZMuOGYNScg_11_3"/>
      <w:bookmarkStart w:id="860" w:name="Tc_glIDi0ERR0C0iAZL5tU1rw_11_0"/>
      <w:bookmarkStart w:id="861" w:name="Tc_CpETLZ1HR0G2556VmJsnTw_10_0"/>
      <w:bookmarkStart w:id="862" w:name="Tc_KnI3qsLmCEiDzm3CCqUKvg_9_5"/>
      <w:bookmarkStart w:id="863" w:name="Tc_kOlPfrMOm0SBEC8K0tKVuA_9_2"/>
      <w:bookmarkStart w:id="864" w:name="Tc_SuMqcNM280GxMSqB1J2Ijw_9_0"/>
      <w:bookmarkStart w:id="865" w:name="Tc_najaKRP3MEqSV8KwjzcHlQ_8_0"/>
      <w:bookmarkStart w:id="866" w:name="Tc_sgU3d32E20-kZkmGeFUE1g_7_0"/>
      <w:bookmarkStart w:id="867" w:name="Tc__teHRJmjakCUtw_2R9ffyA_6_6"/>
      <w:bookmarkStart w:id="868" w:name="Tc_x0yp9s48FEi5wkF__9oa-A_6_3"/>
      <w:bookmarkStart w:id="869" w:name="Tc_bnkwjg4Zf0ysKsTIi92gdw_6_0"/>
      <w:bookmarkStart w:id="870" w:name="Tc_ImeDUkvNhEGCJIApJQpJvQ_5_0"/>
      <w:bookmarkStart w:id="871" w:name="Tc_DoIO7PSC_0yehEQpYQcxPA_4_5"/>
      <w:bookmarkStart w:id="872" w:name="Tc_woZSKhrzSUWhLxb2o76qJA_4_2"/>
      <w:bookmarkStart w:id="873" w:name="Tc_LbqoTHJVVkGgCpCY4K5vNA_4_0"/>
      <w:bookmarkStart w:id="874" w:name="Tc_Nd5ajK1l-0-1_cu1-fBWnQ_3_2"/>
      <w:bookmarkStart w:id="875" w:name="Tc_ePkFR-Rcy0yO1nPG91JMdg_2_5"/>
      <w:bookmarkStart w:id="876" w:name="Tc_Ez-iuirXUEWmijeMwmGi-w_2_2"/>
      <w:bookmarkStart w:id="877" w:name="Tc_AgkSTFu46km5oyagHvXsHg_1_5"/>
      <w:bookmarkStart w:id="878" w:name="Tc_mBFMF20fH0qSBBCndTcowA_1_2"/>
      <w:bookmarkStart w:id="879" w:name="_f421b0d6_912f_4e53_8955_215de89ffb01"/>
      <w:bookmarkStart w:id="880" w:name="Tc_LXvWE7w-YEubWANOIb7KJQ_6_5"/>
      <w:bookmarkStart w:id="881" w:name="Tc_WxwxO8LUNUGRyGVobR74hA_6_0"/>
      <w:bookmarkStart w:id="882" w:name="Tc_mRGckyf9606JxOuWkt_d4Q_5_7"/>
      <w:bookmarkStart w:id="883" w:name="Tc_JO04M4iIjUaRxEiMqp1RFA_5_4"/>
      <w:bookmarkStart w:id="884" w:name="Tc_KCBHzx8BnkexNX_6TSBhXw_5_0"/>
      <w:bookmarkStart w:id="885" w:name="Tc_L7KyTnfQRkGUF8uiLxlNeA_4_4"/>
      <w:bookmarkStart w:id="886" w:name="Tc_xxzaFF9fUEWWd0jS1FxhwQ_3_7"/>
      <w:bookmarkStart w:id="887" w:name="Tc_RCNrL6-OBEGpum5MLYB75Q_3_4"/>
      <w:bookmarkStart w:id="888" w:name="Tc_s8e9GtUjD0ei0mOhRovj5g_3_2"/>
      <w:bookmarkStart w:id="889" w:name="Tc_P6FArUZifUqIJZ44Hy0eeg_2_4"/>
      <w:bookmarkStart w:id="890" w:name="Tc_hPCMM1qaR0q16VY3fDQ0eA_1_4"/>
      <w:bookmarkStart w:id="891" w:name="_e02dba1b_b7af_4545_82d1_906304f27d97"/>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b/>
          <w:sz w:val="20"/>
        </w:rPr>
        <w:t>4. DERIVATIVE FINANCIAL INSTRUMENTS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uses certain interest rate derivative contracts to hedge interest rate exposures on its variable rate debt. The Company’s hedging program is not designated for trading or speculative purposes.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recognizes derivative instruments as either assets or liabilities on the accompanying consolidated balance sheets at fair value. The Company records changes in the fair value (i.e., gains or losses) of the derivatives that have been designated as cash flow hedges in its consolidated balance sheets as accumulated other comprehensive income (loss) and in its consolidated statements of comprehensive income (loss) as a loss or gain on cash flow hedge valuation. All related cash flows are reported in the operating activities section of the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November 30, 2023, the Company entered into an interest rate swap agreement that the Company designated as cash flow hedge to fix the variable interest rate on a portion of the Company’s Term Loan (as defined in Note 5, “</w:t>
      </w:r>
      <w:r>
        <w:rPr>
          <w:rFonts w:ascii="Times New Roman;Times;serif" w:hAnsi="Times New Roman;Times;serif"/>
          <w:i/>
          <w:sz w:val="20"/>
        </w:rPr>
        <w:t>Debt Obligations”</w:t>
      </w:r>
      <w:r>
        <w:rPr>
          <w:rFonts w:ascii="Times New Roman;Times;serif" w:hAnsi="Times New Roman;Times;serif"/>
          <w:sz w:val="20"/>
        </w:rPr>
        <w:t>). The interest rate swap agreement has a total notional amount of $50.0 million, has a fixed annual interest rate of 4.77%, and expires on September 29, 2026. As of January 2, 2026, the effective portion of the Company’s interest rate swap agreement designated as a cash flow hedge before tax effects was ($0.3) million, of which no amounts were reclassified from accumulated other comprehensive income (loss) to interest expense in fiscal 2025. The Company expects to reclassify $0.3 million from accumulated other comprehensive income (loss) to interest expense within the next twelve months.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values of the Company’s outstanding derivatives designated as hedging instruments were as follows:</w:t>
      </w:r>
    </w:p>
    <w:p>
      <w:pPr>
        <w:pStyle w:val="TextBody"/>
        <w:bidi w:val="0"/>
        <w:spacing w:before="0" w:after="0"/>
        <w:ind w:left="0" w:right="0" w:hanging="0"/>
        <w:jc w:val="left"/>
        <w:rPr/>
      </w:pPr>
      <w:r>
        <w:rPr/>
        <w:t>​</w:t>
      </w:r>
    </w:p>
    <w:tbl>
      <w:tblPr>
        <w:tblW w:w="8381" w:type="dxa"/>
        <w:jc w:val="left"/>
        <w:tblInd w:w="0" w:type="dxa"/>
        <w:tblLayout w:type="fixed"/>
        <w:tblCellMar>
          <w:top w:w="0" w:type="dxa"/>
          <w:left w:w="0" w:type="dxa"/>
          <w:bottom w:w="0" w:type="dxa"/>
          <w:right w:w="0" w:type="dxa"/>
        </w:tblCellMar>
      </w:tblPr>
      <w:tblGrid>
        <w:gridCol w:w="2401"/>
        <w:gridCol w:w="346"/>
        <w:gridCol w:w="2311"/>
        <w:gridCol w:w="346"/>
        <w:gridCol w:w="366"/>
        <w:gridCol w:w="939"/>
        <w:gridCol w:w="127"/>
        <w:gridCol w:w="408"/>
        <w:gridCol w:w="1137"/>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24635" cy="175260"/>
                      <wp:effectExtent l="0" t="0" r="0" b="0"/>
                      <wp:wrapNone/>
                      <wp:docPr id="208" name="Frame207"/>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67485" cy="175260"/>
                      <wp:effectExtent l="0" t="0" r="0" b="0"/>
                      <wp:wrapNone/>
                      <wp:docPr id="210" name="Frame20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32410" cy="175260"/>
                      <wp:effectExtent l="0" t="0" r="0" b="0"/>
                      <wp:wrapNone/>
                      <wp:docPr id="212" name="Frame21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6265" cy="175260"/>
                      <wp:effectExtent l="0" t="0" r="0" b="0"/>
                      <wp:wrapNone/>
                      <wp:docPr id="213" name="Frame212"/>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80645" cy="175260"/>
                      <wp:effectExtent l="0" t="0" r="0" b="0"/>
                      <wp:wrapNone/>
                      <wp:docPr id="214" name="Frame213"/>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59080" cy="175260"/>
                      <wp:effectExtent l="0" t="0" r="0" b="0"/>
                      <wp:wrapNone/>
                      <wp:docPr id="215" name="Frame214"/>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21995" cy="175260"/>
                      <wp:effectExtent l="0" t="0" r="0" b="0"/>
                      <wp:wrapNone/>
                      <wp:docPr id="216" name="Frame215"/>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97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 Derivative</w: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97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Instruments as of</w: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 2026</w:t>
            </w:r>
          </w:p>
        </w:tc>
        <w:tc>
          <w:tcPr>
            <w:tcW w:w="1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2024</w:t>
            </w:r>
          </w:p>
        </w:tc>
      </w:tr>
      <w:tr>
        <w:trPr/>
        <w:tc>
          <w:tcPr>
            <w:tcW w:w="24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77"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127"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 agreement</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939" w:type="dxa"/>
            <w:tcBorders/>
            <w:vAlign w:val="center"/>
          </w:tcPr>
          <w:p>
            <w:pPr>
              <w:pStyle w:val="TableContents"/>
              <w:bidi w:val="0"/>
              <w:spacing w:before="0" w:after="0"/>
              <w:ind w:left="0" w:right="0" w:hanging="0"/>
              <w:jc w:val="right"/>
              <w:rPr/>
            </w:pPr>
            <w:r>
              <w:rPr/>
              <w:t>—</w:t>
            </w:r>
          </w:p>
        </w:tc>
        <w:tc>
          <w:tcPr>
            <w:tcW w:w="127"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pPr>
      <w:r>
        <w:rPr/>
        <w:t> </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impact of the effective portions of derivative instruments in cash flow hedging relationships and fair value relationships on other comprehensive income (loss) was immaterial to the Company’s consolidated financial statements the year ended January 2, 2026.</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accumulated balances and reporting period activities for the year ended January 2, 2026 related to reclassifications out of accumulated other comprehensive income (loss) are summarized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21"/>
        <w:gridCol w:w="346"/>
        <w:gridCol w:w="538"/>
        <w:gridCol w:w="1233"/>
        <w:gridCol w:w="346"/>
        <w:gridCol w:w="463"/>
        <w:gridCol w:w="1158"/>
      </w:tblGrid>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82955" cy="175260"/>
                      <wp:effectExtent l="0" t="0" r="0" b="0"/>
                      <wp:wrapNone/>
                      <wp:docPr id="217" name="Frame216"/>
                      <a:graphic xmlns:a="http://schemas.openxmlformats.org/drawingml/2006/main">
                        <a:graphicData uri="http://schemas.microsoft.com/office/word/2010/wordprocessingShape">
                          <wps:wsp>
                            <wps:cNvSpPr txBox="1"/>
                            <wps:spPr>
                              <a:xfrm>
                                <a:off x="0" y="0"/>
                                <a:ext cx="782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735330" cy="175260"/>
                      <wp:effectExtent l="0" t="0" r="0" b="0"/>
                      <wp:wrapNone/>
                      <wp:docPr id="218" name="Frame217"/>
                      <a:graphic xmlns:a="http://schemas.openxmlformats.org/drawingml/2006/main">
                        <a:graphicData uri="http://schemas.microsoft.com/office/word/2010/wordprocessingShape">
                          <wps:wsp>
                            <wps:cNvSpPr txBox="1"/>
                            <wps:spPr>
                              <a:xfrm>
                                <a:off x="0" y="0"/>
                                <a:ext cx="735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on</w:t>
            </w:r>
          </w:p>
        </w:tc>
        <w:tc>
          <w:tcPr>
            <w:tcW w:w="346" w:type="dxa"/>
            <w:tcBorders/>
            <w:vAlign w:val="center"/>
          </w:tcPr>
          <w:p>
            <w:pPr>
              <w:pStyle w:val="TableContents"/>
              <w:bidi w:val="0"/>
              <w:spacing w:before="0" w:after="0"/>
              <w:ind w:left="0" w:right="0" w:hanging="0"/>
              <w:jc w:val="left"/>
              <w:rPr/>
            </w:pPr>
            <w:r>
              <w:rPr/>
              <w:t>​</w:t>
            </w:r>
          </w:p>
        </w:tc>
        <w:tc>
          <w:tcPr>
            <w:tcW w:w="16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Instruments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6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r>
      <w:tr>
        <w:trPr/>
        <w:tc>
          <w:tcPr>
            <w:tcW w:w="6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38"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29, 2023</w:t>
            </w:r>
          </w:p>
        </w:tc>
        <w:tc>
          <w:tcPr>
            <w:tcW w:w="34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4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0"/>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46" w:type="dxa"/>
            <w:tcBorders/>
            <w:shd w:fill="CCEEFF" w:val="clear"/>
            <w:vAlign w:val="center"/>
          </w:tcPr>
          <w:p>
            <w:pPr>
              <w:pStyle w:val="TableContents"/>
              <w:bidi w:val="0"/>
              <w:spacing w:before="0" w:after="0"/>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27, 2024</w:t>
            </w:r>
          </w:p>
        </w:tc>
        <w:tc>
          <w:tcPr>
            <w:tcW w:w="346" w:type="dxa"/>
            <w:tcBorders/>
            <w:vAlign w:val="center"/>
          </w:tcPr>
          <w:p>
            <w:pPr>
              <w:pStyle w:val="TableContents"/>
              <w:bidi w:val="0"/>
              <w:spacing w:before="0" w:after="0"/>
              <w:ind w:left="0" w:right="0" w:hanging="0"/>
              <w:jc w:val="left"/>
              <w:rPr/>
            </w:pPr>
            <w:r>
              <w:rPr/>
              <w:t>​</w:t>
            </w:r>
          </w:p>
        </w:tc>
        <w:tc>
          <w:tcPr>
            <w:tcW w:w="5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before="0" w:after="0"/>
              <w:ind w:left="0" w:right="0" w:hanging="0"/>
              <w:jc w:val="left"/>
              <w:rPr/>
            </w:pPr>
            <w:r>
              <w:rPr/>
              <w:t>​</w:t>
            </w:r>
          </w:p>
        </w:tc>
        <w:tc>
          <w:tcPr>
            <w:tcW w:w="4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538" w:type="dxa"/>
            <w:tcBorders/>
            <w:shd w:fill="CCEEFF" w:val="clear"/>
            <w:vAlign w:val="center"/>
          </w:tcPr>
          <w:p>
            <w:pPr>
              <w:pStyle w:val="TableContents"/>
              <w:bidi w:val="0"/>
              <w:spacing w:before="0" w:after="0"/>
              <w:ind w:left="0" w:right="0" w:hanging="0"/>
              <w:jc w:val="left"/>
              <w:rPr/>
            </w:pPr>
            <w:r>
              <w:rPr/>
              <w:t>​</w:t>
            </w:r>
          </w:p>
        </w:tc>
        <w:tc>
          <w:tcPr>
            <w:tcW w:w="12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11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from 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538" w:type="dxa"/>
            <w:tcBorders/>
            <w:vAlign w:val="center"/>
          </w:tcPr>
          <w:p>
            <w:pPr>
              <w:pStyle w:val="TableContents"/>
              <w:bidi w:val="0"/>
              <w:spacing w:before="0" w:after="0"/>
              <w:ind w:left="0" w:right="0" w:hanging="0"/>
              <w:jc w:val="left"/>
              <w:rPr/>
            </w:pPr>
            <w:r>
              <w:rPr/>
              <w:t>​</w:t>
            </w:r>
          </w:p>
        </w:tc>
        <w:tc>
          <w:tcPr>
            <w:tcW w:w="12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63" w:type="dxa"/>
            <w:tcBorders/>
            <w:vAlign w:val="center"/>
          </w:tcPr>
          <w:p>
            <w:pPr>
              <w:pStyle w:val="TableContents"/>
              <w:bidi w:val="0"/>
              <w:spacing w:before="0" w:after="0"/>
              <w:ind w:left="0" w:right="0" w:hanging="0"/>
              <w:jc w:val="left"/>
              <w:rPr/>
            </w:pPr>
            <w:r>
              <w:rPr/>
              <w:t>​</w:t>
            </w:r>
          </w:p>
        </w:tc>
        <w:tc>
          <w:tcPr>
            <w:tcW w:w="1158" w:type="dxa"/>
            <w:tcBorders/>
            <w:vAlign w:val="center"/>
          </w:tcPr>
          <w:p>
            <w:pPr>
              <w:pStyle w:val="TableContents"/>
              <w:bidi w:val="0"/>
              <w:spacing w:before="0" w:after="0"/>
              <w:ind w:left="0" w:right="0" w:hanging="0"/>
              <w:jc w:val="righ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 related to derivative instruments</w:t>
            </w:r>
          </w:p>
        </w:tc>
        <w:tc>
          <w:tcPr>
            <w:tcW w:w="346" w:type="dxa"/>
            <w:tcBorders/>
            <w:shd w:fill="CCEEFF" w:val="clear"/>
            <w:vAlign w:val="center"/>
          </w:tcPr>
          <w:p>
            <w:pPr>
              <w:pStyle w:val="TableContents"/>
              <w:bidi w:val="0"/>
              <w:spacing w:before="0" w:after="0"/>
              <w:ind w:left="0" w:right="0" w:hanging="0"/>
              <w:jc w:val="left"/>
              <w:rPr/>
            </w:pPr>
            <w:r>
              <w:rPr/>
              <w:t>​</w:t>
            </w:r>
          </w:p>
        </w:tc>
        <w:tc>
          <w:tcPr>
            <w:tcW w:w="5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4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current-period other comprehensive income (loss)</w:t>
            </w:r>
          </w:p>
        </w:tc>
        <w:tc>
          <w:tcPr>
            <w:tcW w:w="346" w:type="dxa"/>
            <w:tcBorders/>
            <w:vAlign w:val="center"/>
          </w:tcPr>
          <w:p>
            <w:pPr>
              <w:pStyle w:val="TableContents"/>
              <w:bidi w:val="0"/>
              <w:spacing w:before="0" w:after="0"/>
              <w:ind w:left="0" w:right="0" w:hanging="0"/>
              <w:jc w:val="left"/>
              <w:rPr/>
            </w:pPr>
            <w:r>
              <w:rPr/>
              <w:t>​</w:t>
            </w:r>
          </w:p>
        </w:tc>
        <w:tc>
          <w:tcPr>
            <w:tcW w:w="5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left"/>
              <w:rPr/>
            </w:pPr>
            <w:r>
              <w:rPr/>
              <w:t>​</w:t>
            </w:r>
          </w:p>
        </w:tc>
        <w:tc>
          <w:tcPr>
            <w:tcW w:w="4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January 2, 2026</w:t>
            </w:r>
          </w:p>
        </w:tc>
        <w:tc>
          <w:tcPr>
            <w:tcW w:w="346" w:type="dxa"/>
            <w:tcBorders/>
            <w:shd w:fill="CCEEFF" w:val="clear"/>
            <w:vAlign w:val="center"/>
          </w:tcPr>
          <w:p>
            <w:pPr>
              <w:pStyle w:val="TableContents"/>
              <w:bidi w:val="0"/>
              <w:spacing w:before="0" w:after="0"/>
              <w:ind w:left="0" w:right="0" w:hanging="0"/>
              <w:jc w:val="left"/>
              <w:rPr/>
            </w:pPr>
            <w:r>
              <w:rPr/>
              <w:t>​</w:t>
            </w:r>
          </w:p>
        </w:tc>
        <w:tc>
          <w:tcPr>
            <w:tcW w:w="5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4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892" w:name="Tc_EOFUptofPUCy356M9hnyzw_16_5"/>
      <w:bookmarkStart w:id="893" w:name="Tc_OJ8SgI-XFkmpNpQzSKhp0w_16_2"/>
      <w:bookmarkStart w:id="894" w:name="Tc_v-m9r_jT8E6YmaQ6-eRj4w_16_0"/>
      <w:bookmarkStart w:id="895" w:name="Tc_dJMBP90Nd0W3aKBR1b1fWA_15_0"/>
      <w:bookmarkStart w:id="896" w:name="Tc_yR02ChDCQk6TbCkOGHF7aw_14_0"/>
      <w:bookmarkStart w:id="897" w:name="Tc__95ogszsN0uQ3VObKWEryA_13_0"/>
      <w:bookmarkStart w:id="898" w:name="Tc_WWpR9UvNeEC2isjhlduYzQ_12_0"/>
      <w:bookmarkStart w:id="899" w:name="Tc_x4hVM9WuC0SCWtzh7w3CsA_11_3"/>
      <w:bookmarkStart w:id="900" w:name="Tc_x1Aoz-kOBkach2t2OfCivg_11_0"/>
      <w:bookmarkStart w:id="901" w:name="Tc_f1eM3GrVT02NZfgdfQFW-A_10_6"/>
      <w:bookmarkStart w:id="902" w:name="Tc_FRbzHOGzGEKxkCO8n4ygeg_10_3"/>
      <w:bookmarkStart w:id="903" w:name="Tc_2HE0wG2fxEu3b5zP3ovurA_10_0"/>
      <w:bookmarkStart w:id="904" w:name="Tc_aVL0InRcpkauSXHS8AHtFA_9_3"/>
      <w:bookmarkStart w:id="905" w:name="Tc_Eb31rxmox0Oz8c9RCo7yCQ_9_0"/>
      <w:bookmarkStart w:id="906" w:name="Tc_nCrWFybCskG6xEvszOpJ8Q_8_0"/>
      <w:bookmarkStart w:id="907" w:name="Tc_V3MWKdyu9EWOw9PTJcc4jw_7_6"/>
      <w:bookmarkStart w:id="908" w:name="Tc_OsgInKRTxECpKvlIFIbF6Q_7_3"/>
      <w:bookmarkStart w:id="909" w:name="Tc_AsLIpZLYK0Cn0_nGkB8ieg_7_0"/>
      <w:bookmarkStart w:id="910" w:name="Tc_3kO4H8EQLEmVJHLF4z1Brw_6_6"/>
      <w:bookmarkStart w:id="911" w:name="Tc_0XuY7ka870CRNkjNum-0Gw_6_3"/>
      <w:bookmarkStart w:id="912" w:name="Tc_r1jdDs-Uk0KbdBiXH5P_aw_6_0"/>
      <w:bookmarkStart w:id="913" w:name="Tc_eifgTczrxE-5ucgWg6tsuQ_5_6"/>
      <w:bookmarkStart w:id="914" w:name="Tc_fnA46B_26k2NBdoQlkowWg_5_5"/>
      <w:bookmarkStart w:id="915" w:name="Tc_YrE5x28mf0-s1roK0VbNZQ_5_2"/>
      <w:bookmarkStart w:id="916" w:name="Tc_UjWoR9ORJke3P_zZcj0SWA_5_0"/>
      <w:bookmarkStart w:id="917" w:name="Tc_eHaWzhuIWEOiU8YX6X7ycQ_4_0"/>
      <w:bookmarkStart w:id="918" w:name="Tc_zxpmQhnWWECNuYUslcVL8w_3_2"/>
      <w:bookmarkStart w:id="919" w:name="Tc_7xpaezgjGkGoLerel89C8Q_2_5"/>
      <w:bookmarkStart w:id="920" w:name="Tc_sApAgz_m3Uejwx_5j0FnWA_2_2"/>
      <w:bookmarkStart w:id="921" w:name="Tc_WF51ryLxXUeFI-nsVop5MQ_1_5"/>
      <w:bookmarkStart w:id="922" w:name="Tc_uLqrwLQ0OkauG4DOMKh_Ww_1_2"/>
      <w:bookmarkStart w:id="923" w:name="_312434a6_89dd_444a_a51f_21c2cb80edd3"/>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Times New Roman;Times;serif" w:hAnsi="Times New Roman;Times;serif"/>
          <w:b/>
          <w:sz w:val="20"/>
        </w:rPr>
        <w:t>5. DEBT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Debt obligations, excluding obligations under finance leases (see Note 7, “</w:t>
      </w:r>
      <w:r>
        <w:rPr>
          <w:rFonts w:ascii="Times New Roman;Times;serif" w:hAnsi="Times New Roman;Times;serif"/>
          <w:i/>
          <w:sz w:val="20"/>
        </w:rPr>
        <w:t>Leases”,</w:t>
      </w:r>
      <w:r>
        <w:rPr>
          <w:rFonts w:ascii="Times New Roman;Times;serif" w:hAnsi="Times New Roman;Times;serif"/>
          <w:sz w:val="20"/>
        </w:rPr>
        <w:t xml:space="preserve"> below), consisted of the following:</w:t>
      </w:r>
    </w:p>
    <w:p>
      <w:pPr>
        <w:pStyle w:val="TextBody"/>
        <w:bidi w:val="0"/>
        <w:spacing w:before="0" w:after="0"/>
        <w:ind w:left="0" w:right="0" w:hanging="0"/>
        <w:jc w:val="left"/>
        <w:rPr/>
      </w:pPr>
      <w:r>
        <w:rPr/>
        <w:t>​</w:t>
      </w:r>
    </w:p>
    <w:tbl>
      <w:tblPr>
        <w:tblW w:w="7218" w:type="dxa"/>
        <w:jc w:val="left"/>
        <w:tblInd w:w="0" w:type="dxa"/>
        <w:tblLayout w:type="fixed"/>
        <w:tblCellMar>
          <w:top w:w="0" w:type="dxa"/>
          <w:left w:w="0" w:type="dxa"/>
          <w:bottom w:w="0" w:type="dxa"/>
          <w:right w:w="0" w:type="dxa"/>
        </w:tblCellMar>
      </w:tblPr>
      <w:tblGrid>
        <w:gridCol w:w="4486"/>
        <w:gridCol w:w="346"/>
        <w:gridCol w:w="214"/>
        <w:gridCol w:w="686"/>
        <w:gridCol w:w="346"/>
        <w:gridCol w:w="240"/>
        <w:gridCol w:w="900"/>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848610" cy="175260"/>
                      <wp:effectExtent l="0" t="0" r="0" b="0"/>
                      <wp:wrapNone/>
                      <wp:docPr id="219" name="Frame218"/>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5890" cy="175260"/>
                      <wp:effectExtent l="0" t="0" r="0" b="0"/>
                      <wp:wrapNone/>
                      <wp:docPr id="221" name="Frame220"/>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35610" cy="175260"/>
                      <wp:effectExtent l="0" t="0" r="0" b="0"/>
                      <wp:wrapNone/>
                      <wp:docPr id="222" name="Frame22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52400" cy="175260"/>
                      <wp:effectExtent l="0" t="0" r="0" b="0"/>
                      <wp:wrapNone/>
                      <wp:docPr id="224" name="Frame22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71500" cy="175260"/>
                      <wp:effectExtent l="0" t="0" r="0" b="0"/>
                      <wp:wrapNone/>
                      <wp:docPr id="225" name="Frame22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8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New Credit Agreement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 A</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Delayed Draw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Prior Credit Agreement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lef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borrowings on Revolving Credit Facility</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 agreements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90,137</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Subtotal</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48,462</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89,487</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Less 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 portion</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45,962</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79,350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pPr>
      <w:r>
        <w:rPr/>
        <w:t> </w:t>
      </w:r>
    </w:p>
    <w:p>
      <w:pPr>
        <w:pStyle w:val="TextBody"/>
        <w:pBdr/>
        <w:shd w:fill="FFFFFF" w:val="clear"/>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Prior Credit Agreement</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September 29, 2023</w:t>
      </w:r>
      <w:r>
        <w:rPr>
          <w:rFonts w:ascii="Times New Roman;Times;serif" w:hAnsi="Times New Roman;Times;serif"/>
          <w:sz w:val="24"/>
        </w:rPr>
        <w:t xml:space="preserve"> </w:t>
      </w:r>
      <w:r>
        <w:rPr>
          <w:rFonts w:ascii="Times New Roman;Times;serif" w:hAnsi="Times New Roman;Times;serif"/>
          <w:sz w:val="20"/>
        </w:rPr>
        <w:t>(the “Prior Credit Agreement Closing Date”), the Company and certain of its subsidiaries entered into a credit agreement (the “Prior Credit Agreement”) with a syndicate of financial institutions as lenders and BMO Bank, N.A. (“BMO”), as administrative agent (the “Administrative Agent”).</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The Prior Credit Agreement provided for (i) a $100.0</w:t>
      </w:r>
      <w:r>
        <w:rPr>
          <w:rFonts w:ascii="Times New Roman;Times;serif" w:hAnsi="Times New Roman;Times;serif"/>
          <w:sz w:val="24"/>
        </w:rPr>
        <w:t> </w:t>
      </w:r>
      <w:r>
        <w:rPr>
          <w:rFonts w:ascii="Times New Roman;Times;serif" w:hAnsi="Times New Roman;Times;serif"/>
          <w:sz w:val="20"/>
        </w:rPr>
        <w:t>million term loan (the “Term Loan”) and (ii) a $50.0</w:t>
      </w:r>
      <w:r>
        <w:rPr>
          <w:rFonts w:ascii="Times New Roman;Times;serif" w:hAnsi="Times New Roman;Times;serif"/>
          <w:sz w:val="24"/>
        </w:rPr>
        <w:t> </w:t>
      </w:r>
      <w:r>
        <w:rPr>
          <w:rFonts w:ascii="Times New Roman;Times;serif" w:hAnsi="Times New Roman;Times;serif"/>
          <w:sz w:val="20"/>
        </w:rPr>
        <w:t>million revolving credit facility (the “Prior Revolving Credit Facility”, and collectively with the Term Loan, the “Prior Credit Facilities”), each maturing on September 29, 2026. The Company could also request lenders to add incremental term loans or increase the aggregate commitment under the Prior Revolving Credit Facility by an aggregate amount of up to $75.0</w:t>
      </w:r>
      <w:r>
        <w:rPr>
          <w:rFonts w:ascii="Times New Roman;Times;serif" w:hAnsi="Times New Roman;Times;serif"/>
          <w:sz w:val="24"/>
        </w:rPr>
        <w:t> </w:t>
      </w:r>
      <w:r>
        <w:rPr>
          <w:rFonts w:ascii="Times New Roman;Times;serif" w:hAnsi="Times New Roman;Times;serif"/>
          <w:sz w:val="20"/>
        </w:rPr>
        <w:t>million, subject to meeting certain conditions, and only if the lenders agreed to provide such additional term loans or revolving commitments.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Borrowings under the Prior Credit Facilities bore interest at either a Base Rate (as defined in the Prior Credit Agreement) or the adjusted Secured Overnight Financing Rate (“SOFR”), at the Company’s option, and in each case, plus an applicable margin, which applicable margin ranged from 0.75% to 2.00% with respect to Base Rate borrowings and 1.75% to 3.00% with respect to SOFR borrowings, depending on the Company’s Total Net Leverage Ratio (as defined in the Prior Credit Agreement); provided, that SOFR and the Base Rate could not be less than 0.00%, with the specific pricing reset on each date on which the Administrative Agent received the required financial statements under the Prior Credit Agreement for the fiscal quarter then ended. The Company would also pay a commitment fee for the unused portion of the Prior Revolving Credit Facility, which ranged from 0.20% to 0.40% per annum depending on the Company’s Total Net Leverage Ratio, and fees on the face amount of any letters of credit outstanding under the Prior Revolving Credit Facility, which ranged from 1.3125% to 2.25% per annum, in each case, depending on the Company’s Total Net Leverage Ratio, as well as customary fronting fees payable to BMO as letter of credit issuer. In connection with the closing of the Prior Credit Facilities, the Company paid certain other fees and expenses.</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The prior Term Loan amortized quarterly in an amount equal to (i) 7.5%</w:t>
      </w:r>
      <w:r>
        <w:rPr>
          <w:rFonts w:ascii="Times New Roman;Times;serif" w:hAnsi="Times New Roman;Times;serif"/>
          <w:sz w:val="24"/>
        </w:rPr>
        <w:t xml:space="preserve"> </w:t>
      </w:r>
      <w:r>
        <w:rPr>
          <w:rFonts w:ascii="Times New Roman;Times;serif" w:hAnsi="Times New Roman;Times;serif"/>
          <w:sz w:val="20"/>
        </w:rPr>
        <w:t>per annum for the first year ending after the Prior Credit Agreement Closing Date and (ii) 10.0%</w:t>
      </w:r>
      <w:r>
        <w:rPr>
          <w:rFonts w:ascii="Times New Roman;Times;serif" w:hAnsi="Times New Roman;Times;serif"/>
          <w:sz w:val="24"/>
        </w:rPr>
        <w:t xml:space="preserve"> </w:t>
      </w:r>
      <w:r>
        <w:rPr>
          <w:rFonts w:ascii="Times New Roman;Times;serif" w:hAnsi="Times New Roman;Times;serif"/>
          <w:sz w:val="20"/>
        </w:rPr>
        <w:t>per annum for the second and third years ending after the Prior Credit Agreement Closing Date, with a final payment of all then remaining principal and interest due on the maturity date of September 29, 2026. The amounts outstanding under the Prior Credit Facilities could be prepaid in whole or in part at any time without penalty (other than customary breakage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Willdan Group, Inc. was the borrower under the Prior Credit Agreement and its obligations under the Prior Credit Agreement were guaranteed by its present and future domestic subsidiaries (other than inactive subsidiaries). In addition, subject to certain exceptions, all such obligations were secured by substantially all of the assets of Willdan Group, Inc. and the subsidiary guarantors (other than inactive subsidiaries).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Prior Credit Agreement required compliance with financial covenants, including a maximum Net Leverage Ratio and a minimum Fixed Charge Coverage Ratio (as defined in the Prior Credit Agreement). The Prior Credit Agreement also contained customary restrictive covenants, including (i) restrictions on the incurrence of additional indebtedness and additional liens on property, (ii) restrictions on permitted acquisitions and other investments and (iii) limitations on asset sales, mergers and acquisitions. Further, the Prior Credit Agreement limited the Company’s payment of future dividends and distributions and share repurchases by the Company. Subject to certain exceptions, the borrowings under the Prior Credit Agreement were also subject to mandatory prepayment from (a) any issuances of debt or equity securities, (b) any sale or disposition of assets, (c) insurance and condemnation proceeds, and (d) a percentage of excess cash flow. The Prior Credit Agreement included customary events of default.</w:t>
      </w:r>
    </w:p>
    <w:p>
      <w:pPr>
        <w:pStyle w:val="TextBody"/>
        <w:pBdr/>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Amended and Restated Credit Agreement</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On May 5, 2025</w:t>
      </w:r>
      <w:r>
        <w:rPr>
          <w:rFonts w:ascii="Times New Roman;Times;serif" w:hAnsi="Times New Roman;Times;serif"/>
          <w:sz w:val="24"/>
        </w:rPr>
        <w:t xml:space="preserve"> </w:t>
      </w:r>
      <w:r>
        <w:rPr>
          <w:rFonts w:ascii="Times New Roman;Times;serif" w:hAnsi="Times New Roman;Times;serif"/>
          <w:sz w:val="20"/>
        </w:rPr>
        <w:t>(the “Closing Date”), the Company entered into the Amended and Restated Credit Agreement (the “Amended and Restated Credit Agreement”) with BMO as Administrative Agent and the lenders party thereto, which amended and restated the Prior Credit Agreement. The Amended and Restated Credit Agreement, (A) increased the borrowing limit under the Prior Revolving Credit Facility to $100.0</w:t>
      </w:r>
      <w:r>
        <w:rPr>
          <w:rFonts w:ascii="Times New Roman;Times;serif" w:hAnsi="Times New Roman;Times;serif"/>
          <w:sz w:val="24"/>
        </w:rPr>
        <w:t> </w:t>
      </w:r>
      <w:r>
        <w:rPr>
          <w:rFonts w:ascii="Times New Roman;Times;serif" w:hAnsi="Times New Roman;Times;serif"/>
          <w:sz w:val="20"/>
        </w:rPr>
        <w:t>million (as amended, the “Revolving Credit Facility”), (B) reduced the Term Loan A (“TLA”) commitment to $50.0</w:t>
      </w:r>
      <w:r>
        <w:rPr>
          <w:rFonts w:ascii="Times New Roman;Times;serif" w:hAnsi="Times New Roman;Times;serif"/>
          <w:sz w:val="24"/>
        </w:rPr>
        <w:t> </w:t>
      </w:r>
      <w:r>
        <w:rPr>
          <w:rFonts w:ascii="Times New Roman;Times;serif" w:hAnsi="Times New Roman;Times;serif"/>
          <w:sz w:val="20"/>
        </w:rPr>
        <w:t>million, (C) provided a new $50.0</w:t>
      </w:r>
      <w:r>
        <w:rPr>
          <w:rFonts w:ascii="Times New Roman;Times;serif" w:hAnsi="Times New Roman;Times;serif"/>
          <w:sz w:val="24"/>
        </w:rPr>
        <w:t> </w:t>
      </w:r>
      <w:r>
        <w:rPr>
          <w:rFonts w:ascii="Times New Roman;Times;serif" w:hAnsi="Times New Roman;Times;serif"/>
          <w:sz w:val="20"/>
        </w:rPr>
        <w:t>million Delayed Draw Term Loan (the “Delayed Draw Term Loan”, and together with the Revolving Credit Facility and TLA, the “Amended and Restated Credit Facilities”), and (D) extended the maturity date of the Amended and Restated Credit Facilities to May 5, 2030. The Company may also request lenders to add incremental term loans or increase the aggregate commitment under the Revolving Credit Facility by an aggregate amount of (i) up to $75.0</w:t>
      </w:r>
      <w:r>
        <w:rPr>
          <w:rFonts w:ascii="Times New Roman;Times;serif" w:hAnsi="Times New Roman;Times;serif"/>
          <w:sz w:val="24"/>
        </w:rPr>
        <w:t> </w:t>
      </w:r>
      <w:r>
        <w:rPr>
          <w:rFonts w:ascii="Times New Roman;Times;serif" w:hAnsi="Times New Roman;Times;serif"/>
          <w:sz w:val="20"/>
        </w:rPr>
        <w:t>million or (ii) 1.0x the Company’s last twelve months (“LTM”) Adjusted EBITDA (as calculated pursuant to the Amended and Restated Credit Agreement), subject to meeting certain conditions, and only if the lenders agree to provide such additional term loans or revolving commitments.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Amended and Restated Credit Agreement, borrowings under the Amended and Restated Credit Facilities bear interest at either a Base Rate (as defined in the Amended and Restated Credit Agreement) or the adjusted SOFR, at the Company’s option, and in each case, plus an applicable margin, which applicable margin ranges from 0.50% to 1.50% with respect to Base Rate borrowings and 1.50% to 2.50% with respect to SOFR borrowings, depending on the Company’s Total Net Leverage Ratio (as defined in the Amended and Restated Credit Agreement); provided, that SOFR and the Base Rate cannot be less than 0.00%, with the specific pricing reset on each date on which the Administrative Agent receives the required financial statements under the Credit Agreement for the fiscal quarter then ended. The Company must also pay a commitment fee for the unused portion of the Revolving Credit Facility, which ranges from 0.15% to 0.35% per annum depending on the Company’s Total Net Leverage Ratio, and fees on the face amount of any letters of credit outstanding under the Revolving Credit Facility, which range from 1.125% to 1.875% per annum, in each case, depending on the Company’s Total Net Leverage Ratio, as well as customary fronting fees payable to BMO as letter of credit issuer. In connection with the closing of the Amended and Restated Credit Facilities, the Company paid certain other fees and expenses.</w:t>
      </w:r>
    </w:p>
    <w:p>
      <w:pPr>
        <w:pStyle w:val="TextBody"/>
        <w:pBdr/>
        <w:shd w:fill="FFFFFF" w:val="clear"/>
        <w:bidi w:val="0"/>
        <w:spacing w:before="0" w:after="0"/>
        <w:ind w:left="0" w:right="0" w:firstLine="720"/>
        <w:jc w:val="left"/>
        <w:rPr>
          <w:rFonts w:ascii="Times New Roman;Times;serif" w:hAnsi="Times New Roman;Times;serif"/>
          <w:sz w:val="24"/>
        </w:rPr>
      </w:pPr>
      <w:r>
        <w:rPr>
          <w:rFonts w:ascii="Times New Roman;Times;serif" w:hAnsi="Times New Roman;Times;serif"/>
          <w:sz w:val="20"/>
        </w:rPr>
        <w:t>The TLA will amortize quarterly in an amount equal to 5.0%</w:t>
      </w:r>
      <w:r>
        <w:rPr>
          <w:rFonts w:ascii="Times New Roman;Times;serif" w:hAnsi="Times New Roman;Times;serif"/>
          <w:sz w:val="24"/>
        </w:rPr>
        <w:t> </w:t>
      </w:r>
      <w:r>
        <w:rPr>
          <w:rFonts w:ascii="Times New Roman;Times;serif" w:hAnsi="Times New Roman;Times;serif"/>
          <w:sz w:val="20"/>
        </w:rPr>
        <w:t>per annum beginning with the first full fiscal quarter ending after the Amended and Restated Credit Agreement Closing Date, with a final payment of all then remaining principal and interest due on the maturity date of May 5, 2030. Each borrowing under the Delayed Draw</w:t>
      </w:r>
      <w:r>
        <w:rPr>
          <w:rFonts w:ascii="Times New Roman;Times;serif" w:hAnsi="Times New Roman;Times;serif"/>
          <w:sz w:val="24"/>
        </w:rPr>
        <w:t xml:space="preserve"> </w:t>
      </w:r>
      <w:r>
        <w:rPr>
          <w:rFonts w:ascii="Times New Roman;Times;serif" w:hAnsi="Times New Roman;Times;serif"/>
          <w:sz w:val="20"/>
        </w:rPr>
        <w:t>Term Loan will amortize in an amount equal to 5.0%</w:t>
      </w:r>
      <w:r>
        <w:rPr>
          <w:rFonts w:ascii="Times New Roman;Times;serif" w:hAnsi="Times New Roman;Times;serif"/>
          <w:sz w:val="24"/>
        </w:rPr>
        <w:t> </w:t>
      </w:r>
      <w:r>
        <w:rPr>
          <w:rFonts w:ascii="Times New Roman;Times;serif" w:hAnsi="Times New Roman;Times;serif"/>
          <w:sz w:val="20"/>
        </w:rPr>
        <w:t>per annum of the aggregate outstanding borrowings under the Delayed Draw Term Loan, beginning with the first full fiscal quarter ending after the initial borrowing date, with a final payment of all then remaining principal and interest due on the maturity date of May 5, 2030. The amounts outstanding under the Amended and Restated Credit Facilities may be prepaid in whole or in part at any time without penalty (other than customary breakage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pBdr/>
        <w:shd w:fill="FFFFFF" w:val="clear"/>
        <w:bidi w:val="0"/>
        <w:spacing w:before="0" w:after="0"/>
        <w:ind w:left="0" w:right="0" w:firstLine="720"/>
        <w:jc w:val="left"/>
        <w:rPr>
          <w:rFonts w:ascii="Times New Roman;Times;serif" w:hAnsi="Times New Roman;Times;serif"/>
          <w:sz w:val="20"/>
        </w:rPr>
      </w:pPr>
      <w:bookmarkStart w:id="924" w:name="Tc_tKUt_3g0q0C_VlER95rXxA_9_2"/>
      <w:bookmarkStart w:id="925" w:name="Tc_QObo3KtS1kCC76TuHsGNAA_9_0"/>
      <w:bookmarkStart w:id="926" w:name="Tc_i3wh_fuf-0-mIIpOntiVYA_8_0"/>
      <w:bookmarkStart w:id="927" w:name="Tc_9MvqlQULTUa5TxjARBSSrA_7_0"/>
      <w:bookmarkStart w:id="928" w:name="Tc_3FKgzt0FYkqiWCs0iwdkIw_6_0"/>
      <w:bookmarkStart w:id="929" w:name="Tc_Mjs_nwHWCU2pAMr0HDKH2A_5_0"/>
      <w:bookmarkStart w:id="930" w:name="Tc_ZTlVzJPF9EGIwuV7dgo3HQ_4_0"/>
      <w:bookmarkStart w:id="931" w:name="Tc_sChCkXueLkW_zmfxIJcHJw_3_0"/>
      <w:bookmarkStart w:id="932" w:name="Tc_xAodTdFuAEudFqFNYfXPrg_2_2"/>
      <w:bookmarkStart w:id="933" w:name="Tc_MfrJ4wCRNkq-OM_GYVLrCw_2_0"/>
      <w:bookmarkStart w:id="934" w:name="Tc_S9YPkMogskeaONIjaIRrTA_1_0"/>
      <w:bookmarkStart w:id="935" w:name="_09377b93_798d_4cdf_a578_7965ac0fb61b"/>
      <w:bookmarkEnd w:id="924"/>
      <w:bookmarkEnd w:id="925"/>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sz w:val="20"/>
        </w:rPr>
        <w:t>The TLA issuance costs are amortized to interest expense over the term of the TLA, and as of January 2, 2026, issuance costs of $0.3 million remained unamortized. The Revolving Credit Facility unamortized issuance costs are included in assets in the accompanying consolidated balance sheets, and as of January 2, 2026, consisted of $0.6 million.</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Willdan Group, Inc. is the borrower under the Amended and Restated Credit Agreement and its obligations under the Amended and Restated Credit Agreement are guaranteed by its present and future domestic subsidiaries (other than inactive subsidiaries). In addition, subject to certain exceptions, all such obligations are secured by substantially all of the assets of Willdan Group, Inc. and the subsidiary guarantors (other than inactive subsidiaries).</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Amended and Restated Credit Agreement requires compliance with financial covenants, including a maximum Net Leverage Ratio and a minimum Fixed Charge Coverage Ratio (as defined in the Credit Agreement). The Amended and Restated Credit Agreement also contains customary restrictive covenants, including (i) restrictions on the incurrence of additional indebtedness and additional liens on property, (ii) restrictions on permitted acquisitions and other investments and (iii) limitations on asset sales, mergers and acquisitions. Further, the Amended and Restated Credit Agreement limits the Company’s payment of future dividends and distributions and share repurchases by the Company. Subject to certain exceptions, the borrowings under the Amended and Restated Credit Agreement are also subject to mandatory prepayment from (a) any issuances of debt or equity securities, (b) any sale or disposition of assets, (c) insurance and condemnation proceeds, and (d) a percentage of Excess Cash Flow, as defined in the Amended and Restated Credit Agreement. The Amended and Restated Credit Agreement includes customary events of default.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January 2, 2026, the Company was in compliance with all these covenants contained in the Amended and Restated Credit Agreement. In addition, as of January 2, 2026, the Company’s composite annual interest rate, exclusive of the effects of upfront fees, undrawn fees and issuance cost amortization, was 5.3% and $1.6 million in letters of credit were issued.</w:t>
      </w:r>
    </w:p>
    <w:p>
      <w:pPr>
        <w:pStyle w:val="TextBody"/>
        <w:pBdr/>
        <w:bidi w:val="0"/>
        <w:spacing w:before="280" w:after="0"/>
        <w:ind w:left="0" w:right="0" w:firstLine="360"/>
        <w:jc w:val="left"/>
        <w:rPr>
          <w:rFonts w:ascii="Times New Roman;Times;serif" w:hAnsi="Times New Roman;Times;serif"/>
          <w:i/>
          <w:sz w:val="20"/>
        </w:rPr>
      </w:pPr>
      <w:r>
        <w:rPr>
          <w:rFonts w:ascii="Times New Roman;Times;serif" w:hAnsi="Times New Roman;Times;serif"/>
          <w:i/>
          <w:sz w:val="20"/>
        </w:rPr>
        <w:t>Other Debt Agreements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other debt agreements generally are comprised of financed insurance premiums, financed software agreements, and a utility customer agreement, and are immaterial to the Company’s Consolidated Financial Statements.</w:t>
      </w:r>
    </w:p>
    <w:p>
      <w:pPr>
        <w:pStyle w:val="TextBody"/>
        <w:bidi w:val="0"/>
        <w:spacing w:before="280" w:after="240"/>
        <w:ind w:left="0" w:right="0" w:firstLine="360"/>
        <w:jc w:val="left"/>
        <w:rPr>
          <w:rFonts w:ascii="Times New Roman;Times;serif" w:hAnsi="Times New Roman;Times;serif"/>
          <w:i/>
          <w:sz w:val="20"/>
        </w:rPr>
      </w:pPr>
      <w:r>
        <w:rPr>
          <w:rFonts w:ascii="Times New Roman;Times;serif" w:hAnsi="Times New Roman;Times;serif"/>
          <w:i/>
          <w:sz w:val="20"/>
        </w:rPr>
        <w:t>Future Debt Payments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combined principal installments for the Company’s debt obligations, excluding capital leases, over the next five years and beyond, as of January 2, 2026 (</w:t>
      </w:r>
      <w:r>
        <w:rPr>
          <w:rFonts w:ascii="Times New Roman;Times;serif" w:hAnsi="Times New Roman;Times;serif"/>
          <w:i/>
          <w:sz w:val="20"/>
        </w:rPr>
        <w:t>in thousands</w:t>
      </w:r>
      <w:r>
        <w:rPr>
          <w:rFonts w:ascii="Times New Roman;Times;serif" w:hAnsi="Times New Roman;Times;serif"/>
          <w:sz w:val="20"/>
        </w:rPr>
        <w:t>):</w:t>
      </w:r>
    </w:p>
    <w:p>
      <w:pPr>
        <w:pStyle w:val="TextBody"/>
        <w:bidi w:val="0"/>
        <w:spacing w:before="0" w:after="0"/>
        <w:ind w:left="0" w:right="0" w:hanging="0"/>
        <w:jc w:val="left"/>
        <w:rPr/>
      </w:pPr>
      <w:r>
        <w:rPr/>
        <w:t>​</w:t>
      </w:r>
    </w:p>
    <w:tbl>
      <w:tblPr>
        <w:tblW w:w="3947" w:type="dxa"/>
        <w:jc w:val="left"/>
        <w:tblInd w:w="0" w:type="dxa"/>
        <w:tblLayout w:type="fixed"/>
        <w:tblCellMar>
          <w:top w:w="0" w:type="dxa"/>
          <w:left w:w="0" w:type="dxa"/>
          <w:bottom w:w="0" w:type="dxa"/>
          <w:right w:w="0" w:type="dxa"/>
        </w:tblCellMar>
      </w:tblPr>
      <w:tblGrid>
        <w:gridCol w:w="2836"/>
        <w:gridCol w:w="109"/>
        <w:gridCol w:w="211"/>
        <w:gridCol w:w="79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00860" cy="175260"/>
                      <wp:effectExtent l="0" t="0" r="0" b="0"/>
                      <wp:wrapNone/>
                      <wp:docPr id="226" name="Frame225"/>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2285" cy="175260"/>
                      <wp:effectExtent l="0" t="0" r="0" b="0"/>
                      <wp:wrapNone/>
                      <wp:docPr id="229" name="Frame22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38,750</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maturities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costs and debt discounts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48,462</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936" w:name="Tc_5TkjwOrbAUKXmTVticxoSw_11_11"/>
      <w:bookmarkStart w:id="937" w:name="Tc_rvPI0u5cJECONsN6Qg4fSw_11_8"/>
      <w:bookmarkStart w:id="938" w:name="Tc_kTwhnYi3pkOzLr7ATudMDA_11_5"/>
      <w:bookmarkStart w:id="939" w:name="Tc_XMR8n00m1Ua7r58BV6orkA_11_2"/>
      <w:bookmarkStart w:id="940" w:name="Tc_DTtFJ5a9cUeVBAgCf2g4Uw_11_0"/>
      <w:bookmarkStart w:id="941" w:name="Tc_7yTxLAECvE6NVD41ofa3mw_10_16"/>
      <w:bookmarkStart w:id="942" w:name="Tc_z_4bdw7-4U-myaoapfRUXw_10_0"/>
      <w:bookmarkStart w:id="943" w:name="Tc_s1JFPPbPmUm7O4j7-u4jeg_9_0"/>
      <w:bookmarkStart w:id="944" w:name="Tc_FH51LvAb0U6EafXUxrdxKg_8_16"/>
      <w:bookmarkStart w:id="945" w:name="Tc_WQbVwUsSLkCzDByJgBHSvw_8_0"/>
      <w:bookmarkStart w:id="946" w:name="Tc_tT0yi2C9C0udeXV9kmDauw_7_16"/>
      <w:bookmarkStart w:id="947" w:name="Tc_pn5CDyQue02SdOPxYLCS3w_7_0"/>
      <w:bookmarkStart w:id="948" w:name="Tc_volJhhjTTkSgg_BqhugEuQ_6_11"/>
      <w:bookmarkStart w:id="949" w:name="Tc_Mvu98VbQFU235zt-Bwk4Fw_6_8"/>
      <w:bookmarkStart w:id="950" w:name="Tc_TZgg3nGXBUqxRPUPhj1c1Q_6_5"/>
      <w:bookmarkStart w:id="951" w:name="Tc_AQwXM-H89UCdnvXfFHi8lA_6_2"/>
      <w:bookmarkStart w:id="952" w:name="Tc_D4FXmykEPkyFlIC2OcK3UQ_6_0"/>
      <w:bookmarkStart w:id="953" w:name="Tc_ee5K8PEGFUy7CKTbmcIs8Q_5_0"/>
      <w:bookmarkStart w:id="954" w:name="Tc_Jb1dsuCzkU6YNTELkpUihw_4_14"/>
      <w:bookmarkStart w:id="955" w:name="Tc_iwAtA9f_5EKzTiASWuxSQQ_4_2"/>
      <w:bookmarkStart w:id="956" w:name="Tc_GwPWKEFd7ESU4t-gLQYoAg_3_14"/>
      <w:bookmarkStart w:id="957" w:name="Tc_n-sXgBGobU626r8Yl269_g_3_11"/>
      <w:bookmarkStart w:id="958" w:name="Tc_AoVjlQ0iYE6u7e_ajCBCfw_3_8"/>
      <w:bookmarkStart w:id="959" w:name="Tc_X-Fef4cZRkKT-TNjAh-BVA_3_5"/>
      <w:bookmarkStart w:id="960" w:name="Tc_jJILmU6CO0C-fkHGhLQixA_3_2"/>
      <w:bookmarkStart w:id="961" w:name="Tc_AuiY_QG-YUOGFOoy-v7z5w_2_14"/>
      <w:bookmarkStart w:id="962" w:name="Tc_g7Ip3vIHAUGSMsWqwjQOIw_2_11"/>
      <w:bookmarkStart w:id="963" w:name="Tc_Ke7qfvPa80-WTUxZ_3nPfg_2_8"/>
      <w:bookmarkStart w:id="964" w:name="Tc_qUNIIkJ1Q0eP0aPQjQ95WQ_2_5"/>
      <w:bookmarkStart w:id="965" w:name="Tc_Eo8oqEtuNEeX6_0jikqExQ_2_2"/>
      <w:bookmarkStart w:id="966" w:name="Tc_qaHyrzMpHk-nh7GdACAqLQ_1_8"/>
      <w:bookmarkStart w:id="967" w:name="Tc_yBTG9Joa4028Od6Jck_ryw_1_2"/>
      <w:bookmarkStart w:id="968" w:name="_1d13fc91_9834_4add_acf9_4644936e3855"/>
      <w:bookmarkStart w:id="969" w:name="Tc_I8_Wf9Oc-UGhFJ5_008kVQ_15_11"/>
      <w:bookmarkStart w:id="970" w:name="Tc_Y5pAXbvoSUC38Lld7Qi0_A_15_8"/>
      <w:bookmarkStart w:id="971" w:name="Tc_J_HCeqgTeUC9kphOLUjU8w_15_5"/>
      <w:bookmarkStart w:id="972" w:name="Tc_MbCYjrTyWEaw1AITdvOpEQ_15_2"/>
      <w:bookmarkStart w:id="973" w:name="Tc_SrEjpGByG0qGEoAKbrKOkw_14_0"/>
      <w:bookmarkStart w:id="974" w:name="Tc_g0CZhDmQN0-7eza4gMvzog_13_11"/>
      <w:bookmarkStart w:id="975" w:name="Tc_6ONW9Ow390qmmFJI-gey-A_13_8"/>
      <w:bookmarkStart w:id="976" w:name="Tc_srmxWEv82kmdb-HoPJ7NYA_13_5"/>
      <w:bookmarkStart w:id="977" w:name="Tc_-7F2VJ-2NEybKrlJaK39Fw_13_2"/>
      <w:bookmarkStart w:id="978" w:name="Tc_ua5I3ts5EUWJON9lKTF2GQ_13_0"/>
      <w:bookmarkStart w:id="979" w:name="Tc_STKrOladLEyFk5ej1lL_QA_12_0"/>
      <w:bookmarkStart w:id="980" w:name="Tc_2Zb2ZVUV8UyDARHipZlrZg_11_2"/>
      <w:bookmarkStart w:id="981" w:name="Tc_-B-hrfYvrESPdeJDATVYtA_10_11"/>
      <w:bookmarkStart w:id="982" w:name="Tc_xejFqbdgkE-_2fG3QycLiQ_10_8"/>
      <w:bookmarkStart w:id="983" w:name="Tc_8cDt42rAHUGc6Gt3MDBkAQ_10_5"/>
      <w:bookmarkStart w:id="984" w:name="Tc_fkSBK7l2Ok-VBa54TVq-PA_10_2"/>
      <w:bookmarkStart w:id="985" w:name="Tc_4_oifcxCp0SFQhet5rZi0w_9_11"/>
      <w:bookmarkStart w:id="986" w:name="Tc_zhMENmzkTEq_tdie9he5Cg_9_8"/>
      <w:bookmarkStart w:id="987" w:name="Tc_Y8b1cFVePEixF3ugAA1OGg_9_5"/>
      <w:bookmarkStart w:id="988" w:name="Tc_UoO-ry1dgUC4-Wn3NiaBhg_9_2"/>
      <w:bookmarkStart w:id="989" w:name="Tc_7S0NaCTMGkeulUk2frgALQ_7_11"/>
      <w:bookmarkStart w:id="990" w:name="Tc_3jAaXy1Z60q9XEIQ4ju3-A_7_8"/>
      <w:bookmarkStart w:id="991" w:name="Tc_p12tZaznSkKYsUqwHzmQmA_7_5"/>
      <w:bookmarkStart w:id="992" w:name="Tc_Lo237O-kuUK7tU8ce-cp9w_7_2"/>
      <w:bookmarkStart w:id="993" w:name="Tc_dw55c40r4UarEON2jCPAsQ_6_0"/>
      <w:bookmarkStart w:id="994" w:name="Tc_0VAjG7DePk-ijgEam6yRMQ_5_11"/>
      <w:bookmarkStart w:id="995" w:name="Tc_6WAuEfdy9USi7t7FZQt4Fg_5_8"/>
      <w:bookmarkStart w:id="996" w:name="Tc_V2Vddg581kGIrGq0bS0Vlw_5_5"/>
      <w:bookmarkStart w:id="997" w:name="Tc_zv3NQwFt-E-GdMBMFcu1rw_5_2"/>
      <w:bookmarkStart w:id="998" w:name="Tc_8YFhAg2wEU2FbMOG5SIyWw_5_0"/>
      <w:bookmarkStart w:id="999" w:name="Tc_k-TM9hjk7k-tJfscfrKgUw_4_0"/>
      <w:bookmarkStart w:id="1000" w:name="Tc_-B4aTX2zrUGxxx7WdJYHaA_3_2"/>
      <w:bookmarkStart w:id="1001" w:name="Tc_5WDyTar3yEWAka_EMpWGeg_2_11"/>
      <w:bookmarkStart w:id="1002" w:name="Tc_UafUC4jR0EizJ9Q3JUQIFw_2_8"/>
      <w:bookmarkStart w:id="1003" w:name="Tc_fWFC5Bd-bUKRHGV2GnAieg_2_5"/>
      <w:bookmarkStart w:id="1004" w:name="Tc_zuGonxUfFEi7GW9UYbOpNA_2_2"/>
      <w:bookmarkStart w:id="1005" w:name="Tc_I40g2Sdo0UCcDJ2eNRdFbA_1_11"/>
      <w:bookmarkStart w:id="1006" w:name="Tc_LBFHVAHLEEmI6jzyik3FBA_1_8"/>
      <w:bookmarkStart w:id="1007" w:name="Tc_Enif_w9yYkWgYPhQs1kf9A_1_5"/>
      <w:bookmarkStart w:id="1008" w:name="Tc__JTaG0SGX06RMBVUh6o9Ag_1_2"/>
      <w:bookmarkStart w:id="1009" w:name="_c19d6402_649e_4e37_a6fe_20096d7b701d"/>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rFonts w:ascii="Times New Roman;Times;serif" w:hAnsi="Times New Roman;Times;serif"/>
          <w:b/>
          <w:sz w:val="20"/>
        </w:rPr>
        <w:t>6. GOODWILL AND OTHER INTANGIBLE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goodwill primarily relates to the Energy segment and the historical acquisitions within this segment which includes the fiscal year 2025 acquisition of Alternative Power Generation, as well as the fiscal year 2024 acquisition of substantially all of the assets of Enica. The remaining goodwill relates to the Engineering and Consulting reporting segment and the historical acquisitions within this segment which includes the fiscal year 2025 acquisition of Compass Municipal Advisors and Alpha.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changes in the carrying value of goodwill by reporting unit were as follows:</w:t>
      </w:r>
    </w:p>
    <w:p>
      <w:pPr>
        <w:pStyle w:val="TextBody"/>
        <w:bidi w:val="0"/>
        <w:spacing w:before="0" w:after="0"/>
        <w:ind w:left="0" w:right="0" w:hanging="0"/>
        <w:jc w:val="left"/>
        <w:rPr/>
      </w:pPr>
      <w:r>
        <w:rPr/>
        <w:t>​</w:t>
      </w:r>
    </w:p>
    <w:tbl>
      <w:tblPr>
        <w:tblW w:w="8196" w:type="dxa"/>
        <w:jc w:val="left"/>
        <w:tblInd w:w="0" w:type="dxa"/>
        <w:tblLayout w:type="fixed"/>
        <w:tblCellMar>
          <w:top w:w="0" w:type="dxa"/>
          <w:left w:w="0" w:type="dxa"/>
          <w:bottom w:w="0" w:type="dxa"/>
          <w:right w:w="0" w:type="dxa"/>
        </w:tblCellMar>
      </w:tblPr>
      <w:tblGrid>
        <w:gridCol w:w="2431"/>
        <w:gridCol w:w="346"/>
        <w:gridCol w:w="233"/>
        <w:gridCol w:w="862"/>
        <w:gridCol w:w="346"/>
        <w:gridCol w:w="271"/>
        <w:gridCol w:w="869"/>
        <w:gridCol w:w="346"/>
        <w:gridCol w:w="380"/>
        <w:gridCol w:w="626"/>
        <w:gridCol w:w="346"/>
        <w:gridCol w:w="217"/>
        <w:gridCol w:w="923"/>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43685" cy="175260"/>
                      <wp:effectExtent l="0" t="0" r="0" b="0"/>
                      <wp:wrapNone/>
                      <wp:docPr id="230" name="Frame229"/>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47955" cy="175260"/>
                      <wp:effectExtent l="0" t="0" r="0" b="0"/>
                      <wp:wrapNone/>
                      <wp:docPr id="232" name="Frame23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47370" cy="175260"/>
                      <wp:effectExtent l="0" t="0" r="0" b="0"/>
                      <wp:wrapNone/>
                      <wp:docPr id="233" name="Frame23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2085" cy="175260"/>
                      <wp:effectExtent l="0" t="0" r="0" b="0"/>
                      <wp:wrapNone/>
                      <wp:docPr id="235" name="Frame2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51815" cy="175260"/>
                      <wp:effectExtent l="0" t="0" r="0" b="0"/>
                      <wp:wrapNone/>
                      <wp:docPr id="236" name="Frame235"/>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41300" cy="175260"/>
                      <wp:effectExtent l="0" t="0" r="0" b="0"/>
                      <wp:wrapNone/>
                      <wp:docPr id="238" name="Frame23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397510" cy="175260"/>
                      <wp:effectExtent l="0" t="0" r="0" b="0"/>
                      <wp:wrapNone/>
                      <wp:docPr id="239" name="Frame238"/>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7795" cy="175260"/>
                      <wp:effectExtent l="0" t="0" r="0" b="0"/>
                      <wp:wrapNone/>
                      <wp:docPr id="241" name="Frame24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86105" cy="175260"/>
                      <wp:effectExtent l="0" t="0" r="0" b="0"/>
                      <wp:wrapNone/>
                      <wp:docPr id="242" name="Frame241"/>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9"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139,222</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31,613</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170,835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6,926</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140,991</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38,539</w:t>
            </w:r>
          </w:p>
        </w:tc>
        <w:tc>
          <w:tcPr>
            <w:tcW w:w="34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179,530</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Additions / </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 Cost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19"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Reporting Unit: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129,375</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139,222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Engineering and Consulting</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131,144</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w:t>
            </w:r>
          </w:p>
        </w:tc>
        <w:tc>
          <w:tcPr>
            <w:tcW w:w="346" w:type="dxa"/>
            <w:tcBorders/>
            <w:vAlign w:val="center"/>
          </w:tcPr>
          <w:p>
            <w:pPr>
              <w:pStyle w:val="TableContents"/>
              <w:bidi w:val="0"/>
              <w:spacing w:before="0" w:after="0"/>
              <w:ind w:left="0" w:right="0" w:hanging="0"/>
              <w:jc w:val="left"/>
              <w:rPr/>
            </w:pPr>
            <w:r>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140,991</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tests its goodwill at least annually for possible impairment. The Company completes its annual testing of goodwill as of the last day of the first month of its fourth fiscal quarter each year to determine whether there is impairment. In addition to the Company’s annual test, it regularly evaluates whether events and circumstances have occurred that may indicate a potential impairment of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impairment was recorded in any year during the three-year period ended January 2,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gross amounts and accumulated amortization of the Company’s acquired identifiable intangible assets with finite useful lives, included in other intangible assets, net in the accompanying consolidated balance sheets, were as follows:</w:t>
      </w:r>
    </w:p>
    <w:p>
      <w:pPr>
        <w:pStyle w:val="TextBody"/>
        <w:bidi w:val="0"/>
        <w:spacing w:before="0" w:after="0"/>
        <w:ind w:left="0" w:right="0" w:hanging="0"/>
        <w:jc w:val="left"/>
        <w:rPr/>
      </w:pPr>
      <w:r>
        <w:rPr/>
        <w:t>​</w:t>
      </w:r>
    </w:p>
    <w:tbl>
      <w:tblPr>
        <w:tblW w:w="9308" w:type="dxa"/>
        <w:jc w:val="left"/>
        <w:tblInd w:w="0" w:type="dxa"/>
        <w:tblLayout w:type="fixed"/>
        <w:tblCellMar>
          <w:top w:w="0" w:type="dxa"/>
          <w:left w:w="0" w:type="dxa"/>
          <w:bottom w:w="0" w:type="dxa"/>
          <w:right w:w="0" w:type="dxa"/>
        </w:tblCellMar>
      </w:tblPr>
      <w:tblGrid>
        <w:gridCol w:w="2176"/>
        <w:gridCol w:w="346"/>
        <w:gridCol w:w="211"/>
        <w:gridCol w:w="781"/>
        <w:gridCol w:w="346"/>
        <w:gridCol w:w="257"/>
        <w:gridCol w:w="824"/>
        <w:gridCol w:w="346"/>
        <w:gridCol w:w="211"/>
        <w:gridCol w:w="781"/>
        <w:gridCol w:w="346"/>
        <w:gridCol w:w="257"/>
        <w:gridCol w:w="824"/>
        <w:gridCol w:w="346"/>
        <w:gridCol w:w="361"/>
        <w:gridCol w:w="109"/>
        <w:gridCol w:w="166"/>
        <w:gridCol w:w="109"/>
        <w:gridCol w:w="51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81760" cy="175260"/>
                      <wp:effectExtent l="0" t="0" r="0" b="0"/>
                      <wp:wrapNone/>
                      <wp:docPr id="243" name="Frame24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 2026</w:t>
            </w:r>
          </w:p>
        </w:tc>
        <w:tc>
          <w:tcPr>
            <w:tcW w:w="346" w:type="dxa"/>
            <w:tcBorders/>
            <w:vAlign w:val="center"/>
          </w:tcPr>
          <w:p>
            <w:pPr>
              <w:pStyle w:val="TableContents"/>
              <w:bidi w:val="0"/>
              <w:spacing w:before="0" w:after="0"/>
              <w:ind w:left="0" w:right="0" w:hanging="0"/>
              <w:jc w:val="center"/>
              <w:rPr/>
            </w:pPr>
            <w:r>
              <w:rPr/>
              <w:t>​</w:t>
            </w:r>
          </w:p>
        </w:tc>
        <w:tc>
          <w:tcPr>
            <w:tcW w:w="24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2024</w:t>
            </w:r>
          </w:p>
        </w:tc>
        <w:tc>
          <w:tcPr>
            <w:tcW w:w="34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6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2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4"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Finite:</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82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center"/>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11,600</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8,882</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8,350</w:t>
            </w:r>
          </w:p>
        </w:tc>
        <w:tc>
          <w:tcPr>
            <w:tcW w:w="346" w:type="dxa"/>
            <w:tcBorders/>
            <w:vAlign w:val="center"/>
          </w:tcPr>
          <w:p>
            <w:pPr>
              <w:pStyle w:val="TableContents"/>
              <w:bidi w:val="0"/>
              <w:spacing w:before="0" w:after="0"/>
              <w:ind w:left="0" w:right="0" w:hanging="0"/>
              <w:jc w:val="left"/>
              <w:rPr/>
            </w:pPr>
            <w:r>
              <w:rPr/>
              <w:t>​</w:t>
            </w:r>
          </w:p>
        </w:tc>
        <w:tc>
          <w:tcPr>
            <w:tcW w:w="1256"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16,123</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13,196</w:t>
            </w:r>
          </w:p>
        </w:tc>
        <w:tc>
          <w:tcPr>
            <w:tcW w:w="346" w:type="dxa"/>
            <w:tcBorders/>
            <w:shd w:fill="CCEEFF" w:val="clear"/>
            <w:vAlign w:val="center"/>
          </w:tcPr>
          <w:p>
            <w:pPr>
              <w:pStyle w:val="TableContents"/>
              <w:bidi w:val="0"/>
              <w:spacing w:before="0" w:after="0"/>
              <w:ind w:left="0" w:right="0" w:hanging="0"/>
              <w:jc w:val="left"/>
              <w:rPr/>
            </w:pPr>
            <w:r>
              <w:rPr/>
              <w:t> </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15,810</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righ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15,286</w:t>
            </w:r>
          </w:p>
        </w:tc>
        <w:tc>
          <w:tcPr>
            <w:tcW w:w="346" w:type="dxa"/>
            <w:tcBorders/>
            <w:shd w:fill="CCEEFF" w:val="clear"/>
            <w:vAlign w:val="center"/>
          </w:tcPr>
          <w:p>
            <w:pPr>
              <w:pStyle w:val="TableContents"/>
              <w:bidi w:val="0"/>
              <w:spacing w:before="0" w:after="0"/>
              <w:ind w:left="0" w:right="0" w:hanging="0"/>
              <w:jc w:val="left"/>
              <w:rPr/>
            </w:pPr>
            <w:r>
              <w:rPr/>
              <w:t>​</w:t>
            </w:r>
          </w:p>
        </w:tc>
        <w:tc>
          <w:tcPr>
            <w:tcW w:w="1256" w:type="dxa"/>
            <w:gridSpan w:val="5"/>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73,400</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62,041</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36,735</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12.0</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120,418</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104,469</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75,055</w:t>
            </w:r>
          </w:p>
        </w:tc>
        <w:tc>
          <w:tcPr>
            <w:tcW w:w="34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200"/>
        <w:ind w:left="0" w:right="0" w:hanging="0"/>
        <w:jc w:val="both"/>
        <w:rPr>
          <w:shd w:fill="FFFFFF" w:val="clear"/>
        </w:rPr>
      </w:pPr>
      <w:r>
        <w:rPr>
          <w:shd w:fill="FFFFFF" w:val="clea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010" w:name="Tc_UZrRLb0I6EuVqyFbc9VVmA_11_2"/>
      <w:bookmarkStart w:id="1011" w:name="Tc_NUTdqP2MYEyD-VBctOK8rQ_10_0"/>
      <w:bookmarkStart w:id="1012" w:name="Tc_ELfU4IBshEKrKkcutnyIYA_9_0"/>
      <w:bookmarkStart w:id="1013" w:name="Tc_PODlwcJMaEiRS8Rf-EtW8g_8_0"/>
      <w:bookmarkStart w:id="1014" w:name="Tc_kSRWPHgG90mNTLr708SPvQ_7_0"/>
      <w:bookmarkStart w:id="1015" w:name="Tc_nl0JaAiMP0OH6_Hl78VyMw_6_0"/>
      <w:bookmarkStart w:id="1016" w:name="Tc_LobQkqKeskOuBzpZnIqZWA_5_2"/>
      <w:bookmarkStart w:id="1017" w:name="Tc_lF1R5DfztU-Qd9JIvyl_hQ_5_0"/>
      <w:bookmarkStart w:id="1018" w:name="Tc_jmyfxuXuH0m7QgjOizK_QQ_4_0"/>
      <w:bookmarkStart w:id="1019" w:name="Tc_U05ClcHlNk6Vl0OR84FyuQ_3_3"/>
      <w:bookmarkStart w:id="1020" w:name="Tc_TJYPMAWr-0eAPGqhuVOVMA_2_3"/>
      <w:bookmarkStart w:id="1021" w:name="Tc_-R3qNA1QE0utm8069M4OSQ_1_3"/>
      <w:bookmarkStart w:id="1022" w:name="_070e7167_ae63_4b7e_9b26_0c7af826abbc"/>
      <w:bookmarkEnd w:id="1010"/>
      <w:bookmarkEnd w:id="1011"/>
      <w:bookmarkEnd w:id="1012"/>
      <w:bookmarkEnd w:id="1013"/>
      <w:bookmarkEnd w:id="1014"/>
      <w:bookmarkEnd w:id="1015"/>
      <w:bookmarkEnd w:id="1016"/>
      <w:bookmarkEnd w:id="1017"/>
      <w:bookmarkEnd w:id="1018"/>
      <w:bookmarkEnd w:id="1019"/>
      <w:bookmarkEnd w:id="1020"/>
      <w:bookmarkEnd w:id="1021"/>
      <w:bookmarkEnd w:id="1022"/>
      <w:r>
        <w:rPr>
          <w:rFonts w:ascii="Times New Roman;Times;serif" w:hAnsi="Times New Roman;Times;serif"/>
          <w:sz w:val="20"/>
        </w:rPr>
        <w:t>At the time of acquisition, the Company estimates the fair value of the acquired identifiable intangible assets based upon the facts and circumstances related to the particular intangible asset. Inherent in such estimates are judgments and estimates of future revenue, profitability, cash flows and appropriate discount rates for any present value calculations. The Company preliminarily estimates the value of the acquired identifiable intangible assets and then finalizes the estimated fair values during the purchase allocation period, which does not extend beyond 12 months from the date of acquisition.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amortization expense for acquired identifiable intangible assets with finite useful lives was $9.8 million, $7.2 million, and $10.1 million for the fiscal years 2025, 2024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Estimated amortization expense for acquired identifiable intangible assets for fiscal year 2026 and the succeeding years is as follows:</w:t>
      </w:r>
    </w:p>
    <w:p>
      <w:pPr>
        <w:pStyle w:val="TextBody"/>
        <w:bidi w:val="0"/>
        <w:spacing w:before="0" w:after="0"/>
        <w:ind w:left="0" w:right="0" w:hanging="0"/>
        <w:jc w:val="left"/>
        <w:rPr/>
      </w:pPr>
      <w:r>
        <w:rPr/>
        <w:t>​</w:t>
      </w:r>
    </w:p>
    <w:tbl>
      <w:tblPr>
        <w:tblW w:w="3292" w:type="dxa"/>
        <w:jc w:val="left"/>
        <w:tblInd w:w="0" w:type="dxa"/>
        <w:tblLayout w:type="fixed"/>
        <w:tblCellMar>
          <w:top w:w="0" w:type="dxa"/>
          <w:left w:w="0" w:type="dxa"/>
          <w:bottom w:w="0" w:type="dxa"/>
          <w:right w:w="0" w:type="dxa"/>
        </w:tblCellMar>
      </w:tblPr>
      <w:tblGrid>
        <w:gridCol w:w="1126"/>
        <w:gridCol w:w="109"/>
        <w:gridCol w:w="211"/>
        <w:gridCol w:w="1846"/>
      </w:tblGrid>
      <w:tr>
        <w:trPr/>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715010" cy="175260"/>
                      <wp:effectExtent l="0" t="0" r="0" b="0"/>
                      <wp:wrapNone/>
                      <wp:docPr id="246" name="Frame24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72210" cy="175260"/>
                      <wp:effectExtent l="0" t="0" r="0" b="0"/>
                      <wp:wrapNone/>
                      <wp:docPr id="249" name="Frame24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Intangible Asset</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expense</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center"/>
              <w:rPr/>
            </w:pPr>
            <w:r>
              <w:rPr/>
              <w:t>​</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9,584</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6,577</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w:t>
            </w:r>
          </w:p>
        </w:tc>
      </w:tr>
      <w:tr>
        <w:trPr/>
        <w:tc>
          <w:tcPr>
            <w:tcW w:w="1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1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7,081</w:t>
            </w:r>
          </w:p>
        </w:tc>
      </w:tr>
      <w:tr>
        <w:trPr/>
        <w:tc>
          <w:tcPr>
            <w:tcW w:w="11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35,521</w:t>
            </w:r>
          </w:p>
        </w:tc>
      </w:tr>
    </w:tbl>
    <w:p>
      <w:pPr>
        <w:pStyle w:val="TextBody"/>
        <w:bidi w:val="0"/>
        <w:spacing w:before="0" w:after="0"/>
        <w:ind w:left="0" w:right="0" w:hanging="0"/>
        <w:jc w:val="both"/>
        <w:rPr/>
      </w:pPr>
      <w:r>
        <w:rPr/>
        <w:t> </w:t>
      </w:r>
    </w:p>
    <w:p>
      <w:pPr>
        <w:pStyle w:val="TextBody"/>
        <w:bidi w:val="0"/>
        <w:spacing w:before="0" w:after="20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office facilities under long-term, non-cancellable operating leases that expire at various dates through the year 2034. In addition, the Company is obligated under finance leases for certain furniture and office equipment that expire at various dates through the year 2029.</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 xml:space="preserve">From time to time, the Company enters into non-cancelable leases for some of its facility and equipment needs. These leases allow the Company to conserve cash by paying a monthly lease rental fee for the use of facilities and equipment rather than purchasing them. The Company’s leases typically have remaining terms ranging from </w:t>
      </w:r>
      <w:r>
        <w:rPr>
          <w:rFonts w:ascii="Times New Roman;Times;serif" w:hAnsi="Times New Roman;Times;serif"/>
          <w:b w:val="false"/>
          <w:i w:val="false"/>
          <w:caps w:val="false"/>
          <w:smallCaps w:val="false"/>
          <w:sz w:val="20"/>
        </w:rPr>
        <w:t>one</w:t>
      </w:r>
      <w:r>
        <w:rPr>
          <w:rFonts w:ascii="Times New Roman;Times;serif" w:hAnsi="Times New Roman;Times;serif"/>
          <w:sz w:val="24"/>
        </w:rPr>
        <w:t xml:space="preserve"> </w:t>
      </w:r>
      <w:r>
        <w:rPr>
          <w:rFonts w:ascii="Times New Roman;Times;serif" w:hAnsi="Times New Roman;Times;serif"/>
          <w:sz w:val="20"/>
        </w:rPr>
        <w:t>to eight years, some of which may include options to extend</w:t>
      </w:r>
      <w:r>
        <w:rPr>
          <w:rFonts w:ascii="Times New Roman;Times;serif" w:hAnsi="Times New Roman;Times;serif"/>
          <w:sz w:val="24"/>
        </w:rPr>
        <w:t xml:space="preserve"> </w:t>
      </w:r>
      <w:r>
        <w:rPr>
          <w:rFonts w:ascii="Times New Roman;Times;serif" w:hAnsi="Times New Roman;Times;serif"/>
          <w:sz w:val="20"/>
        </w:rPr>
        <w:t>the leases for up to five years, and some of which may include options to terminate</w:t>
      </w:r>
      <w:r>
        <w:rPr>
          <w:rFonts w:ascii="Times New Roman;Times;serif" w:hAnsi="Times New Roman;Times;serif"/>
          <w:sz w:val="24"/>
        </w:rPr>
        <w:t xml:space="preserve"> </w:t>
      </w:r>
      <w:r>
        <w:rPr>
          <w:rFonts w:ascii="Times New Roman;Times;serif" w:hAnsi="Times New Roman;Times;serif"/>
          <w:sz w:val="20"/>
        </w:rPr>
        <w:t>the leases within one year. Currently, all of the Company’s leases contain fixed payment terms. The Company may decide to cancel or terminate a lease before the end of its term, in which case it is typically liable to the lessor for the remaining lease payments under the term of the lease. Additionally, all of the Company’s month-to-month leases are cancelable by the Company or the lessor, at any time, and are not included in the Company’s right-of-use asset or lease liability. As of January 2, 2026, the Company had no</w:t>
      </w:r>
      <w:r>
        <w:rPr>
          <w:rFonts w:ascii="Times New Roman;Times;serif" w:hAnsi="Times New Roman;Times;serif"/>
          <w:sz w:val="24"/>
        </w:rPr>
        <w:t xml:space="preserve"> </w:t>
      </w:r>
      <w:r>
        <w:rPr>
          <w:rFonts w:ascii="Times New Roman;Times;serif" w:hAnsi="Times New Roman;Times;serif"/>
          <w:sz w:val="20"/>
        </w:rPr>
        <w:t>leases with residual value guarantees. Typically, the Company has purchase options on the equipment underlying its long-term leases.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Financing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certain equipment under financing leases. The economic substance of the leases is a financing transaction for acquisition of equipment and leasehold improvements. Accordingly, the right-of-use assets for these leases are included in the balance sheets in equipment and leasehold improvements, net of accumulated depreciation, with a corresponding amount recorded in current portion of financing lease obligations or noncurrent portion of financing lease obligations,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Right-of-use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leases are included in right-of-use assets, and current portion of lease liability and noncurrent portion of lease liability, as appropriate. Right-of-use assets and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right-of-use asset also includes any lease payments made and initial direct costs incurred at lease commencement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023" w:name="Tc_tmLGuINl1Eq-efXnJCBLxA_26_6"/>
      <w:bookmarkStart w:id="1024" w:name="Tc_Uwkv6j7ZzkeEEk_CuK8yRQ_26_3"/>
      <w:bookmarkStart w:id="1025" w:name="Tc_yIlN5wmFE0iXum99-ojGLA_26_0"/>
      <w:bookmarkStart w:id="1026" w:name="Tc_RMGJZypePUC85qmfeUsqBw_25_6"/>
      <w:bookmarkStart w:id="1027" w:name="Tc_aOe46YXSqEG59HCy2PaQMw_25_3"/>
      <w:bookmarkStart w:id="1028" w:name="Tc_mGu1wLm520-HXeG23vWlXw_25_0"/>
      <w:bookmarkStart w:id="1029" w:name="Tc_ceHSYQhDfUyudKRuTGSCPQ_24_0"/>
      <w:bookmarkStart w:id="1030" w:name="Tc_xi-IMYlRXkeisZWlqlJ-wQ_22_0"/>
      <w:bookmarkStart w:id="1031" w:name="Tc_L9HWrmLE6EGbKI2gPNwwAg_21_0"/>
      <w:bookmarkStart w:id="1032" w:name="Tc_bcnMEfQuFUeuUEBpqwceLQ_20_0"/>
      <w:bookmarkStart w:id="1033" w:name="Tc_5DezNmDEnkmSrJTfko0YPA_18_4"/>
      <w:bookmarkStart w:id="1034" w:name="Tc_RcfwCwTo-U60ReizYKivHA_18_1"/>
      <w:bookmarkStart w:id="1035" w:name="Tc_w9eP9IJdJ0y15D-QxqdlmA_18_0"/>
      <w:bookmarkStart w:id="1036" w:name="Tc_4_CVUm-YA06qmVRrkhOQ_Q_17_0"/>
      <w:bookmarkStart w:id="1037" w:name="Tc_h65J0dmeN0SsPhS9X3VqcQ_16_4"/>
      <w:bookmarkStart w:id="1038" w:name="Tc_NI0xrd2nf0OzS2nphBG-1Q_16_1"/>
      <w:bookmarkStart w:id="1039" w:name="Tc__ZYFcAPtA0qvDsG3Yywt0g_16_0"/>
      <w:bookmarkStart w:id="1040" w:name="Tc_Xvq0N8v9oEupQZhylCqLgg_14_4"/>
      <w:bookmarkStart w:id="1041" w:name="Tc_Z9M21nqiwkGIlIvPgBIfmA_14_1"/>
      <w:bookmarkStart w:id="1042" w:name="Tc_v1y-i6DFbkWPWtpzS1BxEA_13_0"/>
      <w:bookmarkStart w:id="1043" w:name="Tc_nZbhVejUmkWwLITF2yAZPw_12_4"/>
      <w:bookmarkStart w:id="1044" w:name="Tc__l3nDaeVd0O1uAPebV_DjQ_12_1"/>
      <w:bookmarkStart w:id="1045" w:name="Tc_GWq9vZZkekOHaNmVyQbOkg_12_0"/>
      <w:bookmarkStart w:id="1046" w:name="Tc_sX2HHoWMh061jFI7o1wmDg_11_0"/>
      <w:bookmarkStart w:id="1047" w:name="Tc_hak2kPzEH0Cb_JOBc-Q4_g_9_4"/>
      <w:bookmarkStart w:id="1048" w:name="Tc_7wJM5i3cVUWMXuBMpJ8vAA_9_1"/>
      <w:bookmarkStart w:id="1049" w:name="Tc_CYWveMwyh02STcCaH2C70Q_9_0"/>
      <w:bookmarkStart w:id="1050" w:name="Tc_fsrzd1-abk-GqeTA8n1PUQ_8_0"/>
      <w:bookmarkStart w:id="1051" w:name="Tc_cSm5xBb6SEe5qpHkUZOzHw_7_4"/>
      <w:bookmarkStart w:id="1052" w:name="Tc__zE7diRVbkmgIHw6m9R4vw_7_1"/>
      <w:bookmarkStart w:id="1053" w:name="Tc_PD1O_mQ3TU2eJKv3WV_R5Q_7_0"/>
      <w:bookmarkStart w:id="1054" w:name="Tc_cSd9f9ERWkqJP2coLtWUxg_5_4"/>
      <w:bookmarkStart w:id="1055" w:name="Tc_AiXVGjwZU06PNnKc7BC7jg_5_1"/>
      <w:bookmarkStart w:id="1056" w:name="Tc_JCkbDPKVS0GNBATsL9Xniw_5_0"/>
      <w:bookmarkStart w:id="1057" w:name="Tc_L1U_6iylNUmVLoReD9FTrA_4_0"/>
      <w:bookmarkStart w:id="1058" w:name="Tc_srGtfSGDb0eMYkuY3Dn_rw_3_1"/>
      <w:bookmarkStart w:id="1059" w:name="Tc_wAEB4-dIs0igh5n5wupe9Q_2_4"/>
      <w:bookmarkStart w:id="1060" w:name="Tc_d0tgZCtK4UyHu8cHF99I5g_2_1"/>
      <w:bookmarkStart w:id="1061" w:name="Tc_W8bt6zJ8eUy5dHhFHcymqw_1_4"/>
      <w:bookmarkStart w:id="1062" w:name="Tc_cWTv4L3FikKcEb1rZ5zTHg_1_1"/>
      <w:bookmarkStart w:id="1063" w:name="_1b9a4f55_ad04_4538_972e_d9302bab3985"/>
      <w:bookmarkStart w:id="1064" w:name="Tc_cIcx3KNXWU-3CIeDdJHoNQ_9_8"/>
      <w:bookmarkStart w:id="1065" w:name="Tc_fa5Tz4q5EUGzZz0cIqJ3Jw_9_5"/>
      <w:bookmarkStart w:id="1066" w:name="Tc_J5-RlrTjekimB34o6q5CDQ_9_2"/>
      <w:bookmarkStart w:id="1067" w:name="Tc_CftMOwmSr0OCEVZFYWdshQ_9_0"/>
      <w:bookmarkStart w:id="1068" w:name="Tc_zlaZ7EFrqk6wPYD0IPIIMA_8_0"/>
      <w:bookmarkStart w:id="1069" w:name="Tc_ZjwAB43WSkeP1q1A0w0y4g_7_0"/>
      <w:bookmarkStart w:id="1070" w:name="Tc_zGy8AmthEUuwlbGYCw_ksA_6_0"/>
      <w:bookmarkStart w:id="1071" w:name="Tc_dQ0Nbjmzgk-E96zbnMGPmA_5_0"/>
      <w:bookmarkStart w:id="1072" w:name="Tc_J2HtNyhU5E6P6DBZIowV_A_4_8"/>
      <w:bookmarkStart w:id="1073" w:name="Tc_C-IbEp4BS0OLu9zst1kGeQ_4_5"/>
      <w:bookmarkStart w:id="1074" w:name="Tc_M1Kol_Gw2EKErdvTwQ4qNQ_4_2"/>
      <w:bookmarkStart w:id="1075" w:name="Tc_8V2RGaYJ6EKNF_kx0anLQw_4_0"/>
      <w:bookmarkStart w:id="1076" w:name="Tc_dYpVkLVCC0-uFpE9_5_uDw_3_2"/>
      <w:bookmarkStart w:id="1077" w:name="Tc_GXb6EtOQ70C6VkoKBprRDA_2_8"/>
      <w:bookmarkStart w:id="1078" w:name="Tc_p3BUHe6ZxUqva3Ksq8K4Xw_2_5"/>
      <w:bookmarkStart w:id="1079" w:name="Tc_ZMfNo-fs90S1IrbodKQ5Ew_2_2"/>
      <w:bookmarkStart w:id="1080" w:name="Tc_syiu8HiCDU-CkaDEdvt1xA_1_2"/>
      <w:bookmarkStart w:id="1081" w:name="_605dd97c_8d70_4a12_a178_81520580274b"/>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rFonts w:ascii="Times New Roman;Times;serif" w:hAnsi="Times New Roman;Times;serif"/>
          <w:sz w:val="20"/>
        </w:rPr>
        <w:t>The following is a summary of the Company’s lease expense:</w:t>
      </w:r>
    </w:p>
    <w:p>
      <w:pPr>
        <w:pStyle w:val="TextBody"/>
        <w:bidi w:val="0"/>
        <w:spacing w:before="0" w:after="0"/>
        <w:ind w:left="0" w:right="0" w:hanging="0"/>
        <w:jc w:val="left"/>
        <w:rPr/>
      </w:pPr>
      <w:r>
        <w:rPr/>
        <w:t>​</w:t>
      </w:r>
    </w:p>
    <w:tbl>
      <w:tblPr>
        <w:tblW w:w="5513" w:type="dxa"/>
        <w:jc w:val="left"/>
        <w:tblInd w:w="0" w:type="dxa"/>
        <w:tblLayout w:type="fixed"/>
        <w:tblCellMar>
          <w:top w:w="0" w:type="dxa"/>
          <w:left w:w="0" w:type="dxa"/>
          <w:bottom w:w="0" w:type="dxa"/>
          <w:right w:w="0" w:type="dxa"/>
        </w:tblCellMar>
      </w:tblPr>
      <w:tblGrid>
        <w:gridCol w:w="2251"/>
        <w:gridCol w:w="109"/>
        <w:gridCol w:w="211"/>
        <w:gridCol w:w="571"/>
        <w:gridCol w:w="346"/>
        <w:gridCol w:w="211"/>
        <w:gridCol w:w="571"/>
        <w:gridCol w:w="346"/>
        <w:gridCol w:w="211"/>
        <w:gridCol w:w="68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429385" cy="175260"/>
                      <wp:effectExtent l="0" t="0" r="0" b="0"/>
                      <wp:wrapNone/>
                      <wp:docPr id="250" name="Frame249"/>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62585" cy="175260"/>
                      <wp:effectExtent l="0" t="0" r="0" b="0"/>
                      <wp:wrapNone/>
                      <wp:docPr id="253" name="Frame2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62585" cy="175260"/>
                      <wp:effectExtent l="0" t="0" r="0" b="0"/>
                      <wp:wrapNone/>
                      <wp:docPr id="256"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35610" cy="175260"/>
                      <wp:effectExtent l="0" t="0" r="0" b="0"/>
                      <wp:wrapNone/>
                      <wp:docPr id="259" name="Frame25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22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15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6,114</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lease cost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7,501</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lease information presented on the Company’s consolidated balance sheet:</w:t>
      </w:r>
    </w:p>
    <w:p>
      <w:pPr>
        <w:pStyle w:val="TextBody"/>
        <w:bidi w:val="0"/>
        <w:spacing w:before="0" w:after="0"/>
        <w:ind w:left="0" w:right="0" w:hanging="0"/>
        <w:jc w:val="left"/>
        <w:rPr/>
      </w:pPr>
      <w:r>
        <w:rPr/>
        <w:t>​</w:t>
      </w:r>
    </w:p>
    <w:tbl>
      <w:tblPr>
        <w:tblW w:w="9616" w:type="dxa"/>
        <w:jc w:val="left"/>
        <w:tblInd w:w="0" w:type="dxa"/>
        <w:tblLayout w:type="fixed"/>
        <w:tblCellMar>
          <w:top w:w="0" w:type="dxa"/>
          <w:left w:w="0" w:type="dxa"/>
          <w:bottom w:w="0" w:type="dxa"/>
          <w:right w:w="0" w:type="dxa"/>
        </w:tblCellMar>
      </w:tblPr>
      <w:tblGrid>
        <w:gridCol w:w="6076"/>
        <w:gridCol w:w="290"/>
        <w:gridCol w:w="951"/>
        <w:gridCol w:w="476"/>
        <w:gridCol w:w="352"/>
        <w:gridCol w:w="1155"/>
        <w:gridCol w:w="316"/>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858260" cy="175895"/>
                      <wp:effectExtent l="0" t="0" r="0" b="0"/>
                      <wp:wrapNone/>
                      <wp:docPr id="260" name="Frame259"/>
                      <a:graphic xmlns:a="http://schemas.openxmlformats.org/drawingml/2006/main">
                        <a:graphicData uri="http://schemas.microsoft.com/office/word/2010/wordprocessingShape">
                          <wps:wsp>
                            <wps:cNvSpPr txBox="1"/>
                            <wps:spPr>
                              <a:xfrm>
                                <a:off x="0" y="0"/>
                                <a:ext cx="3858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4150" cy="175895"/>
                      <wp:effectExtent l="0" t="0" r="0" b="0"/>
                      <wp:wrapNone/>
                      <wp:docPr id="261" name="Frame260"/>
                      <a:graphic xmlns:a="http://schemas.openxmlformats.org/drawingml/2006/main">
                        <a:graphicData uri="http://schemas.microsoft.com/office/word/2010/wordprocessingShape">
                          <wps:wsp>
                            <wps:cNvSpPr txBox="1"/>
                            <wps:spPr>
                              <a:xfrm>
                                <a:off x="0" y="0"/>
                                <a:ext cx="1841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03885" cy="175895"/>
                      <wp:effectExtent l="0" t="0" r="0" b="0"/>
                      <wp:wrapNone/>
                      <wp:docPr id="262" name="Frame261"/>
                      <a:graphic xmlns:a="http://schemas.openxmlformats.org/drawingml/2006/main">
                        <a:graphicData uri="http://schemas.microsoft.com/office/word/2010/wordprocessingShape">
                          <wps:wsp>
                            <wps:cNvSpPr txBox="1"/>
                            <wps:spPr>
                              <a:xfrm>
                                <a:off x="0" y="0"/>
                                <a:ext cx="6038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02260" cy="175895"/>
                      <wp:effectExtent l="0" t="0" r="0" b="0"/>
                      <wp:wrapNone/>
                      <wp:docPr id="263" name="Frame262"/>
                      <a:graphic xmlns:a="http://schemas.openxmlformats.org/drawingml/2006/main">
                        <a:graphicData uri="http://schemas.microsoft.com/office/word/2010/wordprocessingShape">
                          <wps:wsp>
                            <wps:cNvSpPr txBox="1"/>
                            <wps:spPr>
                              <a:xfrm>
                                <a:off x="0" y="0"/>
                                <a:ext cx="302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3520" cy="175895"/>
                      <wp:effectExtent l="0" t="0" r="0" b="0"/>
                      <wp:wrapNone/>
                      <wp:docPr id="264" name="Frame263"/>
                      <a:graphic xmlns:a="http://schemas.openxmlformats.org/drawingml/2006/main">
                        <a:graphicData uri="http://schemas.microsoft.com/office/word/2010/wordprocessingShape">
                          <wps:wsp>
                            <wps:cNvSpPr txBox="1"/>
                            <wps:spPr>
                              <a:xfrm>
                                <a:off x="0" y="0"/>
                                <a:ext cx="2235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733425" cy="175895"/>
                      <wp:effectExtent l="0" t="0" r="0" b="0"/>
                      <wp:wrapNone/>
                      <wp:docPr id="265" name="Frame264"/>
                      <a:graphic xmlns:a="http://schemas.openxmlformats.org/drawingml/2006/main">
                        <a:graphicData uri="http://schemas.microsoft.com/office/word/2010/wordprocessingShape">
                          <wps:wsp>
                            <wps:cNvSpPr txBox="1"/>
                            <wps:spPr>
                              <a:xfrm>
                                <a:off x="0" y="0"/>
                                <a:ext cx="7334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0660" cy="175895"/>
                      <wp:effectExtent l="0" t="0" r="0" b="0"/>
                      <wp:wrapNone/>
                      <wp:docPr id="266" name="Frame265"/>
                      <a:graphic xmlns:a="http://schemas.openxmlformats.org/drawingml/2006/main">
                        <a:graphicData uri="http://schemas.microsoft.com/office/word/2010/wordprocessingShape">
                          <wps:wsp>
                            <wps:cNvSpPr txBox="1"/>
                            <wps:spPr>
                              <a:xfrm>
                                <a:off x="0" y="0"/>
                                <a:ext cx="200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1" w:after="1"/>
              <w:ind w:left="0" w:right="0" w:hanging="0"/>
              <w:jc w:val="left"/>
              <w:rPr/>
            </w:pPr>
            <w:r>
              <w:rPr/>
              <w:t>​</w:t>
            </w:r>
          </w:p>
        </w:tc>
        <w:tc>
          <w:tcPr>
            <w:tcW w:w="124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476" w:type="dxa"/>
            <w:tcBorders/>
            <w:vAlign w:val="center"/>
          </w:tcPr>
          <w:p>
            <w:pPr>
              <w:pStyle w:val="TableContents"/>
              <w:bidi w:val="0"/>
              <w:spacing w:before="1" w:after="1"/>
              <w:ind w:left="0" w:right="0" w:hanging="0"/>
              <w:jc w:val="center"/>
              <w:rPr/>
            </w:pPr>
            <w:r>
              <w:rPr/>
              <w:t>​</w:t>
            </w:r>
          </w:p>
        </w:tc>
        <w:tc>
          <w:tcPr>
            <w:tcW w:w="150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124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6" w:type="dxa"/>
            <w:tcBorders>
              <w:bottom w:val="single" w:sz="2" w:space="0" w:color="000000"/>
            </w:tcBorders>
            <w:tcMar>
              <w:bottom w:w="28" w:type="dxa"/>
            </w:tcMar>
            <w:vAlign w:val="center"/>
          </w:tcPr>
          <w:p>
            <w:pPr>
              <w:pStyle w:val="TableContents"/>
              <w:bidi w:val="0"/>
              <w:spacing w:before="1" w:after="1"/>
              <w:ind w:left="0" w:right="0" w:hanging="0"/>
              <w:jc w:val="center"/>
              <w:rPr/>
            </w:pPr>
            <w:r>
              <w:rPr/>
              <w:t>  ​ ​ ​</w:t>
            </w:r>
          </w:p>
        </w:tc>
        <w:tc>
          <w:tcPr>
            <w:tcW w:w="15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3224"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 except years and percentages)</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90" w:type="dxa"/>
            <w:tcBorders/>
            <w:shd w:fill="CCEEFF" w:val="clear"/>
            <w:vAlign w:val="center"/>
          </w:tcPr>
          <w:p>
            <w:pPr>
              <w:pStyle w:val="TableContents"/>
              <w:bidi w:val="0"/>
              <w:spacing w:before="1" w:after="1"/>
              <w:ind w:left="0" w:right="0" w:hanging="0"/>
              <w:jc w:val="left"/>
              <w:rPr/>
            </w:pPr>
            <w:r>
              <w:rPr/>
              <w:t>​</w:t>
            </w:r>
          </w:p>
        </w:tc>
        <w:tc>
          <w:tcPr>
            <w:tcW w:w="951" w:type="dxa"/>
            <w:tcBorders/>
            <w:shd w:fill="CCEEFF" w:val="clear"/>
            <w:vAlign w:val="center"/>
          </w:tcPr>
          <w:p>
            <w:pPr>
              <w:pStyle w:val="TableContents"/>
              <w:bidi w:val="0"/>
              <w:spacing w:before="1" w:after="1"/>
              <w:ind w:left="0" w:right="0" w:hanging="0"/>
              <w:jc w:val="left"/>
              <w:rPr/>
            </w:pPr>
            <w:r>
              <w:rPr/>
              <w:t>​</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pPr>
            <w:r>
              <w:rPr/>
              <w:t>​</w:t>
            </w:r>
          </w:p>
        </w:tc>
        <w:tc>
          <w:tcPr>
            <w:tcW w:w="1155" w:type="dxa"/>
            <w:tcBorders/>
            <w:shd w:fill="CCEEFF" w:val="clear"/>
            <w:vAlign w:val="center"/>
          </w:tcPr>
          <w:p>
            <w:pPr>
              <w:pStyle w:val="TableContents"/>
              <w:bidi w:val="0"/>
              <w:spacing w:before="1" w:after="1"/>
              <w:ind w:left="0" w:right="0" w:hanging="0"/>
              <w:jc w:val="lef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29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16,600</w:t>
            </w:r>
          </w:p>
        </w:tc>
        <w:tc>
          <w:tcPr>
            <w:tcW w:w="476" w:type="dxa"/>
            <w:tcBorders/>
            <w:vAlign w:val="center"/>
          </w:tcPr>
          <w:p>
            <w:pPr>
              <w:pStyle w:val="TableContents"/>
              <w:bidi w:val="0"/>
              <w:spacing w:before="1"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14,035</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pPr>
            <w:r>
              <w:rPr/>
              <w:t>​</w:t>
            </w:r>
          </w:p>
        </w:tc>
        <w:tc>
          <w:tcPr>
            <w:tcW w:w="290" w:type="dxa"/>
            <w:tcBorders/>
            <w:shd w:fill="CCEEFF" w:val="clear"/>
            <w:vAlign w:val="center"/>
          </w:tcPr>
          <w:p>
            <w:pPr>
              <w:pStyle w:val="TableContents"/>
              <w:bidi w:val="0"/>
              <w:spacing w:before="1" w:after="1"/>
              <w:ind w:left="0" w:right="0" w:hanging="0"/>
              <w:jc w:val="left"/>
              <w:rPr/>
            </w:pPr>
            <w:r>
              <w:rPr/>
              <w:t> </w:t>
            </w:r>
          </w:p>
        </w:tc>
        <w:tc>
          <w:tcPr>
            <w:tcW w:w="951" w:type="dxa"/>
            <w:tcBorders/>
            <w:shd w:fill="CCEEFF" w:val="clear"/>
            <w:vAlign w:val="center"/>
          </w:tcPr>
          <w:p>
            <w:pPr>
              <w:pStyle w:val="TableContents"/>
              <w:bidi w:val="0"/>
              <w:spacing w:before="1" w:after="1"/>
              <w:ind w:left="0" w:right="0" w:hanging="0"/>
              <w:jc w:val="right"/>
              <w:rPr/>
            </w:pPr>
            <w:r>
              <w:rPr/>
              <w:t>​</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pPr>
            <w:r>
              <w:rPr/>
              <w:t> </w:t>
            </w:r>
          </w:p>
        </w:tc>
        <w:tc>
          <w:tcPr>
            <w:tcW w:w="115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290"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4,670</w:t>
            </w:r>
          </w:p>
        </w:tc>
        <w:tc>
          <w:tcPr>
            <w:tcW w:w="476" w:type="dxa"/>
            <w:tcBorders/>
            <w:vAlign w:val="center"/>
          </w:tcPr>
          <w:p>
            <w:pPr>
              <w:pStyle w:val="TableContents"/>
              <w:bidi w:val="0"/>
              <w:spacing w:before="1" w:after="1"/>
              <w:ind w:left="0" w:right="0" w:hanging="0"/>
              <w:jc w:val="left"/>
              <w:rPr/>
            </w:pPr>
            <w:r>
              <w:rPr/>
              <w:t>​</w:t>
            </w:r>
          </w:p>
        </w:tc>
        <w:tc>
          <w:tcPr>
            <w:tcW w:w="352"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5,804</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29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13,762</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9,939</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29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18,432</w:t>
            </w:r>
          </w:p>
        </w:tc>
        <w:tc>
          <w:tcPr>
            <w:tcW w:w="476" w:type="dxa"/>
            <w:tcBorders/>
            <w:vAlign w:val="center"/>
          </w:tcPr>
          <w:p>
            <w:pPr>
              <w:pStyle w:val="TableContents"/>
              <w:bidi w:val="0"/>
              <w:spacing w:before="1" w:after="1"/>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15,743</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pPr>
            <w:r>
              <w:rPr/>
              <w:t>​</w:t>
            </w:r>
          </w:p>
        </w:tc>
        <w:tc>
          <w:tcPr>
            <w:tcW w:w="290" w:type="dxa"/>
            <w:tcBorders/>
            <w:shd w:fill="CCEEFF" w:val="clear"/>
            <w:vAlign w:val="center"/>
          </w:tcPr>
          <w:p>
            <w:pPr>
              <w:pStyle w:val="TableContents"/>
              <w:bidi w:val="0"/>
              <w:spacing w:before="1" w:after="1"/>
              <w:ind w:left="0" w:right="0" w:hanging="0"/>
              <w:jc w:val="left"/>
              <w:rPr/>
            </w:pPr>
            <w:r>
              <w:rPr/>
              <w:t> </w:t>
            </w:r>
          </w:p>
        </w:tc>
        <w:tc>
          <w:tcPr>
            <w:tcW w:w="951" w:type="dxa"/>
            <w:tcBorders/>
            <w:shd w:fill="CCEEFF" w:val="clear"/>
            <w:vAlign w:val="center"/>
          </w:tcPr>
          <w:p>
            <w:pPr>
              <w:pStyle w:val="TableContents"/>
              <w:bidi w:val="0"/>
              <w:spacing w:before="1" w:after="1"/>
              <w:ind w:left="0" w:right="0" w:hanging="0"/>
              <w:jc w:val="right"/>
              <w:rPr/>
            </w:pPr>
            <w:r>
              <w:rPr/>
              <w:t>​</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pPr>
            <w:r>
              <w:rPr/>
              <w:t> </w:t>
            </w:r>
          </w:p>
        </w:tc>
        <w:tc>
          <w:tcPr>
            <w:tcW w:w="115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leases (included in equipment and leasehold improvements, net):</w:t>
            </w:r>
          </w:p>
        </w:tc>
        <w:tc>
          <w:tcPr>
            <w:tcW w:w="290" w:type="dxa"/>
            <w:tcBorders/>
            <w:vAlign w:val="center"/>
          </w:tcPr>
          <w:p>
            <w:pPr>
              <w:pStyle w:val="TableContents"/>
              <w:bidi w:val="0"/>
              <w:spacing w:before="1" w:after="1"/>
              <w:ind w:left="0" w:right="0" w:hanging="0"/>
              <w:jc w:val="left"/>
              <w:rPr/>
            </w:pPr>
            <w:r>
              <w:rPr/>
              <w:t>​</w:t>
            </w:r>
          </w:p>
        </w:tc>
        <w:tc>
          <w:tcPr>
            <w:tcW w:w="951" w:type="dxa"/>
            <w:tcBorders/>
            <w:vAlign w:val="center"/>
          </w:tcPr>
          <w:p>
            <w:pPr>
              <w:pStyle w:val="TableContents"/>
              <w:bidi w:val="0"/>
              <w:spacing w:before="1" w:after="1"/>
              <w:ind w:left="0" w:right="0" w:hanging="0"/>
              <w:jc w:val="right"/>
              <w:rPr/>
            </w:pPr>
            <w:r>
              <w:rPr/>
              <w:t>​</w:t>
            </w:r>
          </w:p>
        </w:tc>
        <w:tc>
          <w:tcPr>
            <w:tcW w:w="476" w:type="dxa"/>
            <w:tcBorders/>
            <w:vAlign w:val="center"/>
          </w:tcPr>
          <w:p>
            <w:pPr>
              <w:pStyle w:val="TableContents"/>
              <w:bidi w:val="0"/>
              <w:spacing w:before="1" w:after="1"/>
              <w:ind w:left="0" w:right="0" w:hanging="0"/>
              <w:jc w:val="left"/>
              <w:rPr/>
            </w:pPr>
            <w:r>
              <w:rPr/>
              <w:t>​</w:t>
            </w:r>
          </w:p>
        </w:tc>
        <w:tc>
          <w:tcPr>
            <w:tcW w:w="352" w:type="dxa"/>
            <w:tcBorders/>
            <w:vAlign w:val="center"/>
          </w:tcPr>
          <w:p>
            <w:pPr>
              <w:pStyle w:val="TableContents"/>
              <w:bidi w:val="0"/>
              <w:spacing w:before="1" w:after="1"/>
              <w:ind w:left="0" w:right="0" w:hanging="0"/>
              <w:jc w:val="left"/>
              <w:rPr/>
            </w:pPr>
            <w:r>
              <w:rPr/>
              <w:t>​</w:t>
            </w:r>
          </w:p>
        </w:tc>
        <w:tc>
          <w:tcPr>
            <w:tcW w:w="115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2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7,471</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7,052</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290"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(5,166)</w:t>
            </w:r>
          </w:p>
        </w:tc>
        <w:tc>
          <w:tcPr>
            <w:tcW w:w="476" w:type="dxa"/>
            <w:tcBorders/>
            <w:vAlign w:val="center"/>
          </w:tcPr>
          <w:p>
            <w:pPr>
              <w:pStyle w:val="TableContents"/>
              <w:bidi w:val="0"/>
              <w:spacing w:before="1"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(4,662)</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equipment and leasehold improvements, net</w:t>
            </w:r>
          </w:p>
        </w:tc>
        <w:tc>
          <w:tcPr>
            <w:tcW w:w="290"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2,305</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2,390</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left"/>
              <w:rPr/>
            </w:pPr>
            <w:r>
              <w:rPr/>
              <w:t> </w:t>
            </w:r>
          </w:p>
        </w:tc>
        <w:tc>
          <w:tcPr>
            <w:tcW w:w="951" w:type="dxa"/>
            <w:tcBorders/>
            <w:vAlign w:val="center"/>
          </w:tcPr>
          <w:p>
            <w:pPr>
              <w:pStyle w:val="TableContents"/>
              <w:bidi w:val="0"/>
              <w:spacing w:before="1" w:after="1"/>
              <w:ind w:left="0" w:right="0" w:hanging="0"/>
              <w:jc w:val="right"/>
              <w:rPr/>
            </w:pPr>
            <w:r>
              <w:rPr/>
              <w:t>​</w:t>
            </w:r>
          </w:p>
        </w:tc>
        <w:tc>
          <w:tcPr>
            <w:tcW w:w="476" w:type="dxa"/>
            <w:tcBorders/>
            <w:vAlign w:val="center"/>
          </w:tcPr>
          <w:p>
            <w:pPr>
              <w:pStyle w:val="TableContents"/>
              <w:bidi w:val="0"/>
              <w:spacing w:before="1" w:after="1"/>
              <w:ind w:left="0" w:right="0" w:hanging="0"/>
              <w:jc w:val="left"/>
              <w:rPr/>
            </w:pPr>
            <w:r>
              <w:rPr/>
              <w:t>​</w:t>
            </w:r>
          </w:p>
        </w:tc>
        <w:tc>
          <w:tcPr>
            <w:tcW w:w="352" w:type="dxa"/>
            <w:tcBorders/>
            <w:vAlign w:val="center"/>
          </w:tcPr>
          <w:p>
            <w:pPr>
              <w:pStyle w:val="TableContents"/>
              <w:bidi w:val="0"/>
              <w:spacing w:before="1" w:after="1"/>
              <w:ind w:left="0" w:right="0" w:hanging="0"/>
              <w:jc w:val="left"/>
              <w:rPr/>
            </w:pPr>
            <w:r>
              <w:rPr/>
              <w:t> </w:t>
            </w:r>
          </w:p>
        </w:tc>
        <w:tc>
          <w:tcPr>
            <w:tcW w:w="115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29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1,138</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 obligations, less current portion</w:t>
            </w:r>
          </w:p>
        </w:tc>
        <w:tc>
          <w:tcPr>
            <w:tcW w:w="290"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476" w:type="dxa"/>
            <w:tcBorders/>
            <w:vAlign w:val="center"/>
          </w:tcPr>
          <w:p>
            <w:pPr>
              <w:pStyle w:val="TableContents"/>
              <w:bidi w:val="0"/>
              <w:spacing w:before="1"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1,379</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finance lease obligations</w:t>
            </w:r>
          </w:p>
        </w:tc>
        <w:tc>
          <w:tcPr>
            <w:tcW w:w="290"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2,387</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5"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2,517</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left"/>
              <w:rPr/>
            </w:pPr>
            <w:r>
              <w:rPr/>
              <w:t>​</w:t>
            </w:r>
          </w:p>
        </w:tc>
        <w:tc>
          <w:tcPr>
            <w:tcW w:w="951" w:type="dxa"/>
            <w:tcBorders/>
            <w:vAlign w:val="center"/>
          </w:tcPr>
          <w:p>
            <w:pPr>
              <w:pStyle w:val="TableContents"/>
              <w:bidi w:val="0"/>
              <w:spacing w:before="1" w:after="1"/>
              <w:ind w:left="0" w:right="0" w:hanging="0"/>
              <w:jc w:val="right"/>
              <w:rPr/>
            </w:pPr>
            <w:r>
              <w:rPr/>
              <w:t>​</w:t>
            </w:r>
          </w:p>
        </w:tc>
        <w:tc>
          <w:tcPr>
            <w:tcW w:w="476" w:type="dxa"/>
            <w:tcBorders/>
            <w:vAlign w:val="center"/>
          </w:tcPr>
          <w:p>
            <w:pPr>
              <w:pStyle w:val="TableContents"/>
              <w:bidi w:val="0"/>
              <w:spacing w:before="1" w:after="1"/>
              <w:ind w:left="0" w:right="0" w:hanging="0"/>
              <w:jc w:val="left"/>
              <w:rPr/>
            </w:pPr>
            <w:r>
              <w:rPr/>
              <w:t>​</w:t>
            </w:r>
          </w:p>
        </w:tc>
        <w:tc>
          <w:tcPr>
            <w:tcW w:w="352" w:type="dxa"/>
            <w:tcBorders/>
            <w:vAlign w:val="center"/>
          </w:tcPr>
          <w:p>
            <w:pPr>
              <w:pStyle w:val="TableContents"/>
              <w:bidi w:val="0"/>
              <w:spacing w:before="1" w:after="1"/>
              <w:ind w:left="0" w:right="0" w:hanging="0"/>
              <w:jc w:val="left"/>
              <w:rPr/>
            </w:pPr>
            <w:r>
              <w:rPr/>
              <w:t>​</w:t>
            </w:r>
          </w:p>
        </w:tc>
        <w:tc>
          <w:tcPr>
            <w:tcW w:w="115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290" w:type="dxa"/>
            <w:tcBorders/>
            <w:shd w:fill="CCEEFF" w:val="clear"/>
            <w:vAlign w:val="center"/>
          </w:tcPr>
          <w:p>
            <w:pPr>
              <w:pStyle w:val="TableContents"/>
              <w:bidi w:val="0"/>
              <w:spacing w:before="1" w:after="1"/>
              <w:ind w:left="0" w:right="0" w:hanging="0"/>
              <w:jc w:val="left"/>
              <w:rPr/>
            </w:pPr>
            <w:r>
              <w:rPr/>
              <w:t>​</w:t>
            </w:r>
          </w:p>
        </w:tc>
        <w:tc>
          <w:tcPr>
            <w:tcW w:w="951" w:type="dxa"/>
            <w:tcBorders/>
            <w:shd w:fill="CCEEFF" w:val="clear"/>
            <w:vAlign w:val="center"/>
          </w:tcPr>
          <w:p>
            <w:pPr>
              <w:pStyle w:val="TableContents"/>
              <w:bidi w:val="0"/>
              <w:spacing w:before="1" w:after="1"/>
              <w:ind w:left="0" w:right="0" w:hanging="0"/>
              <w:jc w:val="right"/>
              <w:rPr/>
            </w:pPr>
            <w:r>
              <w:rPr/>
              <w:t>​</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pPr>
            <w:r>
              <w:rPr/>
              <w:t>​</w:t>
            </w:r>
          </w:p>
        </w:tc>
        <w:tc>
          <w:tcPr>
            <w:tcW w:w="115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90" w:type="dxa"/>
            <w:tcBorders/>
            <w:vAlign w:val="center"/>
          </w:tcPr>
          <w:p>
            <w:pPr>
              <w:pStyle w:val="TableContents"/>
              <w:bidi w:val="0"/>
              <w:spacing w:before="1" w:after="1"/>
              <w:ind w:left="0" w:right="0" w:hanging="0"/>
              <w:jc w:val="left"/>
              <w:rPr/>
            </w:pPr>
            <w:r>
              <w:rPr/>
              <w:t>​</w:t>
            </w:r>
          </w:p>
        </w:tc>
        <w:tc>
          <w:tcPr>
            <w:tcW w:w="95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476" w:type="dxa"/>
            <w:tcBorders/>
            <w:vAlign w:val="center"/>
          </w:tcPr>
          <w:p>
            <w:pPr>
              <w:pStyle w:val="TableContents"/>
              <w:bidi w:val="0"/>
              <w:spacing w:before="1" w:after="1"/>
              <w:ind w:left="0" w:right="0" w:hanging="0"/>
              <w:jc w:val="left"/>
              <w:rPr/>
            </w:pPr>
            <w:r>
              <w:rPr/>
              <w:t>​</w:t>
            </w:r>
          </w:p>
        </w:tc>
        <w:tc>
          <w:tcPr>
            <w:tcW w:w="352" w:type="dxa"/>
            <w:tcBorders/>
            <w:vAlign w:val="center"/>
          </w:tcPr>
          <w:p>
            <w:pPr>
              <w:pStyle w:val="TableContents"/>
              <w:bidi w:val="0"/>
              <w:spacing w:before="1" w:after="1"/>
              <w:ind w:left="0" w:right="0" w:hanging="0"/>
              <w:jc w:val="left"/>
              <w:rPr/>
            </w:pPr>
            <w:r>
              <w:rPr/>
              <w:t>​</w:t>
            </w:r>
          </w:p>
        </w:tc>
        <w:tc>
          <w:tcPr>
            <w:tcW w:w="115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290" w:type="dxa"/>
            <w:tcBorders/>
            <w:shd w:fill="CCEEFF" w:val="clear"/>
            <w:vAlign w:val="center"/>
          </w:tcPr>
          <w:p>
            <w:pPr>
              <w:pStyle w:val="TableContents"/>
              <w:bidi w:val="0"/>
              <w:spacing w:before="1" w:after="1"/>
              <w:ind w:left="0" w:right="0" w:hanging="0"/>
              <w:jc w:val="left"/>
              <w:rPr/>
            </w:pPr>
            <w:r>
              <w:rPr/>
              <w:t>​</w:t>
            </w:r>
          </w:p>
        </w:tc>
        <w:tc>
          <w:tcPr>
            <w:tcW w:w="95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pPr>
            <w:r>
              <w:rPr/>
              <w:t>​</w:t>
            </w:r>
          </w:p>
        </w:tc>
        <w:tc>
          <w:tcPr>
            <w:tcW w:w="115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pPr>
            <w:r>
              <w:rPr/>
              <w:t>​</w:t>
            </w:r>
          </w:p>
        </w:tc>
        <w:tc>
          <w:tcPr>
            <w:tcW w:w="290" w:type="dxa"/>
            <w:tcBorders/>
            <w:vAlign w:val="center"/>
          </w:tcPr>
          <w:p>
            <w:pPr>
              <w:pStyle w:val="TableContents"/>
              <w:bidi w:val="0"/>
              <w:spacing w:before="1" w:after="1"/>
              <w:ind w:left="0" w:right="0" w:hanging="0"/>
              <w:jc w:val="left"/>
              <w:rPr/>
            </w:pPr>
            <w:r>
              <w:rPr/>
              <w:t>​</w:t>
            </w:r>
          </w:p>
        </w:tc>
        <w:tc>
          <w:tcPr>
            <w:tcW w:w="951" w:type="dxa"/>
            <w:tcBorders/>
            <w:vAlign w:val="center"/>
          </w:tcPr>
          <w:p>
            <w:pPr>
              <w:pStyle w:val="TableContents"/>
              <w:bidi w:val="0"/>
              <w:spacing w:before="1" w:after="1"/>
              <w:ind w:left="0" w:right="0" w:hanging="0"/>
              <w:jc w:val="right"/>
              <w:rPr/>
            </w:pPr>
            <w:r>
              <w:rPr/>
              <w:t>​</w:t>
            </w:r>
          </w:p>
        </w:tc>
        <w:tc>
          <w:tcPr>
            <w:tcW w:w="476" w:type="dxa"/>
            <w:tcBorders/>
            <w:vAlign w:val="center"/>
          </w:tcPr>
          <w:p>
            <w:pPr>
              <w:pStyle w:val="TableContents"/>
              <w:bidi w:val="0"/>
              <w:spacing w:before="1" w:after="1"/>
              <w:ind w:left="0" w:right="0" w:hanging="0"/>
              <w:jc w:val="left"/>
              <w:rPr/>
            </w:pPr>
            <w:r>
              <w:rPr/>
              <w:t>​</w:t>
            </w:r>
          </w:p>
        </w:tc>
        <w:tc>
          <w:tcPr>
            <w:tcW w:w="352" w:type="dxa"/>
            <w:tcBorders/>
            <w:vAlign w:val="center"/>
          </w:tcPr>
          <w:p>
            <w:pPr>
              <w:pStyle w:val="TableContents"/>
              <w:bidi w:val="0"/>
              <w:spacing w:before="1" w:after="1"/>
              <w:ind w:left="0" w:right="0" w:hanging="0"/>
              <w:jc w:val="left"/>
              <w:rPr/>
            </w:pPr>
            <w:r>
              <w:rPr/>
              <w:t>​</w:t>
            </w:r>
          </w:p>
        </w:tc>
        <w:tc>
          <w:tcPr>
            <w:tcW w:w="1155" w:type="dxa"/>
            <w:tcBorders/>
            <w:vAlign w:val="center"/>
          </w:tcPr>
          <w:p>
            <w:pPr>
              <w:pStyle w:val="TableContents"/>
              <w:bidi w:val="0"/>
              <w:spacing w:before="1" w:after="1"/>
              <w:ind w:left="0" w:right="0" w:hanging="0"/>
              <w:jc w:val="right"/>
              <w:rPr/>
            </w:pPr>
            <w:r>
              <w:rPr/>
              <w:t>​</w:t>
            </w:r>
          </w:p>
        </w:tc>
        <w:tc>
          <w:tcPr>
            <w:tcW w:w="316" w:type="dxa"/>
            <w:tcBorders/>
            <w:vAlign w:val="center"/>
          </w:tcPr>
          <w:p>
            <w:pPr>
              <w:pStyle w:val="TableContents"/>
              <w:bidi w:val="0"/>
              <w:spacing w:before="1" w:after="1"/>
              <w:ind w:left="0" w:right="0" w:hanging="0"/>
              <w:jc w:val="left"/>
              <w:rPr/>
            </w:pPr>
            <w:r>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290" w:type="dxa"/>
            <w:tcBorders/>
            <w:shd w:fill="CCEEFF" w:val="clear"/>
            <w:vAlign w:val="center"/>
          </w:tcPr>
          <w:p>
            <w:pPr>
              <w:pStyle w:val="TableContents"/>
              <w:bidi w:val="0"/>
              <w:spacing w:before="1" w:after="1"/>
              <w:ind w:left="0" w:right="0" w:hanging="0"/>
              <w:jc w:val="left"/>
              <w:rPr/>
            </w:pPr>
            <w:r>
              <w:rPr/>
              <w:t>​</w:t>
            </w:r>
          </w:p>
        </w:tc>
        <w:tc>
          <w:tcPr>
            <w:tcW w:w="951" w:type="dxa"/>
            <w:tcBorders/>
            <w:shd w:fill="CCEEFF" w:val="clear"/>
            <w:vAlign w:val="center"/>
          </w:tcPr>
          <w:p>
            <w:pPr>
              <w:pStyle w:val="TableContents"/>
              <w:bidi w:val="0"/>
              <w:spacing w:before="1" w:after="1"/>
              <w:ind w:left="0" w:right="0" w:hanging="0"/>
              <w:jc w:val="right"/>
              <w:rPr/>
            </w:pPr>
            <w:r>
              <w:rPr/>
              <w:t>​</w:t>
            </w:r>
          </w:p>
        </w:tc>
        <w:tc>
          <w:tcPr>
            <w:tcW w:w="476" w:type="dxa"/>
            <w:tcBorders/>
            <w:shd w:fill="CCEEFF" w:val="clear"/>
            <w:vAlign w:val="center"/>
          </w:tcPr>
          <w:p>
            <w:pPr>
              <w:pStyle w:val="TableContents"/>
              <w:bidi w:val="0"/>
              <w:spacing w:before="1" w:after="1"/>
              <w:ind w:left="0" w:right="0" w:hanging="0"/>
              <w:jc w:val="left"/>
              <w:rPr/>
            </w:pPr>
            <w:r>
              <w:rPr/>
              <w:t>​</w:t>
            </w:r>
          </w:p>
        </w:tc>
        <w:tc>
          <w:tcPr>
            <w:tcW w:w="352" w:type="dxa"/>
            <w:tcBorders/>
            <w:shd w:fill="CCEEFF" w:val="clear"/>
            <w:vAlign w:val="center"/>
          </w:tcPr>
          <w:p>
            <w:pPr>
              <w:pStyle w:val="TableContents"/>
              <w:bidi w:val="0"/>
              <w:spacing w:before="1" w:after="1"/>
              <w:ind w:left="0" w:right="0" w:hanging="0"/>
              <w:jc w:val="left"/>
              <w:rPr/>
            </w:pPr>
            <w:r>
              <w:rPr/>
              <w:t>​</w:t>
            </w:r>
          </w:p>
        </w:tc>
        <w:tc>
          <w:tcPr>
            <w:tcW w:w="1155" w:type="dxa"/>
            <w:tcBorders/>
            <w:shd w:fill="CCEEFF" w:val="clear"/>
            <w:vAlign w:val="center"/>
          </w:tcPr>
          <w:p>
            <w:pPr>
              <w:pStyle w:val="TableContents"/>
              <w:bidi w:val="0"/>
              <w:spacing w:before="1" w:after="1"/>
              <w:ind w:left="0" w:right="0" w:hanging="0"/>
              <w:jc w:val="right"/>
              <w:rPr/>
            </w:pPr>
            <w:r>
              <w:rPr/>
              <w:t>​</w:t>
            </w:r>
          </w:p>
        </w:tc>
        <w:tc>
          <w:tcPr>
            <w:tcW w:w="316" w:type="dxa"/>
            <w:tcBorders/>
            <w:shd w:fill="CCEEFF" w:val="clear"/>
            <w:vAlign w:val="center"/>
          </w:tcPr>
          <w:p>
            <w:pPr>
              <w:pStyle w:val="TableContents"/>
              <w:bidi w:val="0"/>
              <w:spacing w:before="1" w:after="1"/>
              <w:ind w:left="0" w:right="0" w:hanging="0"/>
              <w:jc w:val="left"/>
              <w:rPr/>
            </w:pPr>
            <w:r>
              <w:rPr/>
              <w:t>​</w:t>
            </w:r>
          </w:p>
        </w:tc>
      </w:tr>
      <w:tr>
        <w:trPr/>
        <w:tc>
          <w:tcPr>
            <w:tcW w:w="60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90" w:type="dxa"/>
            <w:tcBorders/>
            <w:vAlign w:val="center"/>
          </w:tcPr>
          <w:p>
            <w:pPr>
              <w:pStyle w:val="TableContents"/>
              <w:bidi w:val="0"/>
              <w:spacing w:before="1" w:after="1"/>
              <w:ind w:left="0" w:right="0" w:hanging="0"/>
              <w:jc w:val="left"/>
              <w:rPr/>
            </w:pPr>
            <w:r>
              <w:rPr/>
              <w:t>​</w:t>
            </w:r>
          </w:p>
        </w:tc>
        <w:tc>
          <w:tcPr>
            <w:tcW w:w="95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4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2" w:type="dxa"/>
            <w:tcBorders/>
            <w:vAlign w:val="center"/>
          </w:tcPr>
          <w:p>
            <w:pPr>
              <w:pStyle w:val="TableContents"/>
              <w:bidi w:val="0"/>
              <w:spacing w:before="1" w:after="1"/>
              <w:ind w:left="0" w:right="0" w:hanging="0"/>
              <w:jc w:val="left"/>
              <w:rPr/>
            </w:pPr>
            <w:r>
              <w:rPr/>
              <w:t>​</w:t>
            </w:r>
          </w:p>
        </w:tc>
        <w:tc>
          <w:tcPr>
            <w:tcW w:w="1155"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3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0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290" w:type="dxa"/>
            <w:tcBorders/>
            <w:shd w:fill="CCEEFF" w:val="clear"/>
            <w:vAlign w:val="center"/>
          </w:tcPr>
          <w:p>
            <w:pPr>
              <w:pStyle w:val="TableContents"/>
              <w:bidi w:val="0"/>
              <w:spacing w:before="1" w:after="1"/>
              <w:ind w:left="0" w:right="0" w:hanging="0"/>
              <w:jc w:val="left"/>
              <w:rPr/>
            </w:pPr>
            <w:r>
              <w:rPr/>
              <w:t>​</w:t>
            </w:r>
          </w:p>
        </w:tc>
        <w:tc>
          <w:tcPr>
            <w:tcW w:w="95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6.17</w:t>
            </w:r>
          </w:p>
        </w:tc>
        <w:tc>
          <w:tcPr>
            <w:tcW w:w="4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2" w:type="dxa"/>
            <w:tcBorders/>
            <w:shd w:fill="CCEEFF" w:val="clear"/>
            <w:vAlign w:val="center"/>
          </w:tcPr>
          <w:p>
            <w:pPr>
              <w:pStyle w:val="TableContents"/>
              <w:bidi w:val="0"/>
              <w:spacing w:before="1" w:after="1"/>
              <w:ind w:left="0" w:right="0" w:hanging="0"/>
              <w:jc w:val="left"/>
              <w:rPr/>
            </w:pPr>
            <w:r>
              <w:rPr/>
              <w:t>​</w:t>
            </w:r>
          </w:p>
        </w:tc>
        <w:tc>
          <w:tcPr>
            <w:tcW w:w="1155"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Rent expense for fiscal years 2025, 2024 and 2023 was $6.8 million, $6.9 million, and $6.8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082" w:name="Tc_MdRT4rghwk6yyLo3flGuwA_14_5"/>
      <w:bookmarkStart w:id="1083" w:name="Tc_e4ZgT66XM0Wu49-csGJHZw_14_2"/>
      <w:bookmarkStart w:id="1084" w:name="Tc_AiKxdwS8OECzi9Xk97wj-w_14_0"/>
      <w:bookmarkStart w:id="1085" w:name="Tc_To8omcgpmEqeDG8S0cNMBQ_13_0"/>
      <w:bookmarkStart w:id="1086" w:name="Tc_22IXNGpbI0a4JY5esa8WGg_12_0"/>
      <w:bookmarkStart w:id="1087" w:name="Tc_UqCrMs3TokGMXsv8PZqmLw_11_0"/>
      <w:bookmarkStart w:id="1088" w:name="Tc_W_AnJrV_Y0OFNtyyTW0jqg_10_0"/>
      <w:bookmarkStart w:id="1089" w:name="Tc_G-DalQ6FxEO30UWkr0_miA_9_6"/>
      <w:bookmarkStart w:id="1090" w:name="Tc_3bEVLZzX4EeXTK-MUKnX5w_9_0"/>
      <w:bookmarkStart w:id="1091" w:name="Tc_3HKiJlkIUkKRXbMQb3kVlg_8_0"/>
      <w:bookmarkStart w:id="1092" w:name="Tc_LqzAb-aD80S9X3cn-Lc2yA_7_0"/>
      <w:bookmarkStart w:id="1093" w:name="Tc_Epyx5FgbvUu3w25Vb4rPrQ_6_0"/>
      <w:bookmarkStart w:id="1094" w:name="Tc_xxsfiGE5bEyzEjNW9ERS5A_5_0"/>
      <w:bookmarkStart w:id="1095" w:name="Tc_4eqmFVFDMUGpfcWlxIWwvw_4_5"/>
      <w:bookmarkStart w:id="1096" w:name="Tc_W01DBuzCh0CqLE5cipARcQ_4_2"/>
      <w:bookmarkStart w:id="1097" w:name="Tc_-ID1TT2yF0KtJxbCG-aOgg_4_0"/>
      <w:bookmarkStart w:id="1098" w:name="Tc_VJsGRB3OsE2bVc2LM_A9qg_3_0"/>
      <w:bookmarkStart w:id="1099" w:name="Tc_2vaOFBWwKUiPaedEiv6LQA_2_2"/>
      <w:bookmarkStart w:id="1100" w:name="Tc_e-DPyE3E9k6ePL8CcJbLsg_1_5"/>
      <w:bookmarkStart w:id="1101" w:name="Tc_H3GR33uHd0mam94hwVIZ-A_1_2"/>
      <w:bookmarkStart w:id="1102" w:name="_1e3a943f_a13e_4b2f_85fa_69288b81f6cd"/>
      <w:bookmarkStart w:id="1103" w:name="Tc_RAdkahGiJEaRaFBNbQMX4A_10_8"/>
      <w:bookmarkStart w:id="1104" w:name="Tc_aaM1yjUyOEmVI3qdEjD2pw_10_5"/>
      <w:bookmarkStart w:id="1105" w:name="Tc_WSuvwlV4IE2bxuv8isv10Q_10_2"/>
      <w:bookmarkStart w:id="1106" w:name="Tc_B8uK_vLk7U-_rzuF_1GOzA_10_0"/>
      <w:bookmarkStart w:id="1107" w:name="Tc_4J0AjbgedkSofu89u_DV_Q_9_0"/>
      <w:bookmarkStart w:id="1108" w:name="Tc_1MvAhRP8jE6vXFNS-X3YqA_7_0"/>
      <w:bookmarkStart w:id="1109" w:name="Tc_x6XNyXf1dE2Htjpfzh0WVQ_6_0"/>
      <w:bookmarkStart w:id="1110" w:name="Tc_QprpLXDeR0qqJ099OxFyuQ_5_8"/>
      <w:bookmarkStart w:id="1111" w:name="Tc_6yYPYJnubky184Gar4KPmQ_5_5"/>
      <w:bookmarkStart w:id="1112" w:name="Tc_PljldjsakkGW7N35LBIchA_5_2"/>
      <w:bookmarkStart w:id="1113" w:name="Tc_Pmc69Fpd1U2AERQFvDqzDA_5_0"/>
      <w:bookmarkStart w:id="1114" w:name="Tc_NB8l64RG-UOhs5QnkDzNzQ_4_0"/>
      <w:bookmarkStart w:id="1115" w:name="Tc_yKOxRbuv9EmaUEgH7x8NCw_3_2"/>
      <w:bookmarkStart w:id="1116" w:name="Tc_XVYtFKDwL0KCA1Vih-aJKw_2_8"/>
      <w:bookmarkStart w:id="1117" w:name="Tc_8zoxG0XD7k-nyGBpTowxdw_2_5"/>
      <w:bookmarkStart w:id="1118" w:name="Tc_kXUVoavkjkCkOJ70MBMaOw_2_2"/>
      <w:bookmarkStart w:id="1119" w:name="Tc_L4Qx_MJwzkScF5lnf0ljlQ_1_2"/>
      <w:bookmarkStart w:id="1120" w:name="_a58d4ddd_cd07_4dc1_8611_5970a6cea41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r>
        <w:rPr>
          <w:rFonts w:ascii="Times New Roman;Times;serif" w:hAnsi="Times New Roman;Times;serif"/>
          <w:sz w:val="20"/>
        </w:rPr>
        <w:t>The following is a summary of other information and supplemental cash flow information related to finance and operating leases:</w:t>
      </w:r>
    </w:p>
    <w:p>
      <w:pPr>
        <w:pStyle w:val="TextBody"/>
        <w:bidi w:val="0"/>
        <w:spacing w:before="0" w:after="0"/>
        <w:ind w:left="0" w:right="0" w:hanging="0"/>
        <w:jc w:val="left"/>
        <w:rPr/>
      </w:pPr>
      <w:r>
        <w:rPr/>
        <w:t>​</w:t>
      </w:r>
    </w:p>
    <w:tbl>
      <w:tblPr>
        <w:tblW w:w="9355" w:type="dxa"/>
        <w:jc w:val="left"/>
        <w:tblInd w:w="0" w:type="dxa"/>
        <w:tblLayout w:type="fixed"/>
        <w:tblCellMar>
          <w:top w:w="0" w:type="dxa"/>
          <w:left w:w="0" w:type="dxa"/>
          <w:bottom w:w="0" w:type="dxa"/>
          <w:right w:w="0" w:type="dxa"/>
        </w:tblCellMar>
      </w:tblPr>
      <w:tblGrid>
        <w:gridCol w:w="5866"/>
        <w:gridCol w:w="346"/>
        <w:gridCol w:w="211"/>
        <w:gridCol w:w="571"/>
        <w:gridCol w:w="346"/>
        <w:gridCol w:w="211"/>
        <w:gridCol w:w="571"/>
        <w:gridCol w:w="346"/>
        <w:gridCol w:w="211"/>
        <w:gridCol w:w="67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724910" cy="175895"/>
                      <wp:effectExtent l="0" t="0" r="0" b="0"/>
                      <wp:wrapNone/>
                      <wp:docPr id="267" name="Frame266"/>
                      <a:graphic xmlns:a="http://schemas.openxmlformats.org/drawingml/2006/main">
                        <a:graphicData uri="http://schemas.microsoft.com/office/word/2010/wordprocessingShape">
                          <wps:wsp>
                            <wps:cNvSpPr txBox="1"/>
                            <wps:spPr>
                              <a:xfrm>
                                <a:off x="0" y="0"/>
                                <a:ext cx="3724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895"/>
                      <wp:effectExtent l="0" t="0" r="0" b="0"/>
                      <wp:wrapNone/>
                      <wp:docPr id="268" name="Frame26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895"/>
                      <wp:effectExtent l="0" t="0" r="0" b="0"/>
                      <wp:wrapNone/>
                      <wp:docPr id="269" name="Frame26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62585" cy="175895"/>
                      <wp:effectExtent l="0" t="0" r="0" b="0"/>
                      <wp:wrapNone/>
                      <wp:docPr id="270" name="Frame269"/>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895"/>
                      <wp:effectExtent l="0" t="0" r="0" b="0"/>
                      <wp:wrapNone/>
                      <wp:docPr id="271" name="Frame27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895"/>
                      <wp:effectExtent l="0" t="0" r="0" b="0"/>
                      <wp:wrapNone/>
                      <wp:docPr id="272" name="Frame27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62585" cy="175895"/>
                      <wp:effectExtent l="0" t="0" r="0" b="0"/>
                      <wp:wrapNone/>
                      <wp:docPr id="273" name="Frame272"/>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895"/>
                      <wp:effectExtent l="0" t="0" r="0" b="0"/>
                      <wp:wrapNone/>
                      <wp:docPr id="274" name="Frame27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895"/>
                      <wp:effectExtent l="0" t="0" r="0" b="0"/>
                      <wp:wrapNone/>
                      <wp:docPr id="275" name="Frame27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29260" cy="175895"/>
                      <wp:effectExtent l="0" t="0" r="0" b="0"/>
                      <wp:wrapNone/>
                      <wp:docPr id="276" name="Frame275"/>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Fiscal Year</w:t>
            </w:r>
          </w:p>
        </w:tc>
      </w:tr>
      <w:tr>
        <w:trPr/>
        <w:tc>
          <w:tcPr>
            <w:tcW w:w="586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1"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1"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935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586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3143" w:type="dxa"/>
            <w:gridSpan w:val="8"/>
            <w:tcBorders/>
            <w:vAlign w:val="center"/>
          </w:tcPr>
          <w:p>
            <w:pPr>
              <w:pStyle w:val="TableContents"/>
              <w:bidi w:val="0"/>
              <w:spacing w:before="1" w:after="1"/>
              <w:ind w:left="0" w:right="0" w:hanging="0"/>
              <w:jc w:val="center"/>
              <w:rPr>
                <w:rFonts w:ascii="Times New Roman;Times;serif" w:hAnsi="Times New Roman;Times;serif"/>
                <w:i/>
                <w:sz w:val="20"/>
              </w:rPr>
            </w:pPr>
            <w:r>
              <w:rPr>
                <w:rFonts w:ascii="Times New Roman;Times;serif" w:hAnsi="Times New Roman;Times;serif"/>
                <w:i/>
                <w:sz w:val="20"/>
              </w:rPr>
              <w:t>(in thousands)</w:t>
            </w:r>
          </w:p>
        </w:tc>
      </w:tr>
      <w:tr>
        <w:trPr/>
        <w:tc>
          <w:tcPr>
            <w:tcW w:w="58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left"/>
              <w:rPr/>
            </w:pPr>
            <w:r>
              <w:rPr/>
              <w:t>​</w:t>
            </w:r>
          </w:p>
        </w:tc>
      </w:tr>
      <w:tr>
        <w:trPr/>
        <w:tc>
          <w:tcPr>
            <w:tcW w:w="586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cash flow from operating leases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6,658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6,329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5,843</w:t>
            </w:r>
          </w:p>
        </w:tc>
      </w:tr>
      <w:tr>
        <w:trPr/>
        <w:tc>
          <w:tcPr>
            <w:tcW w:w="58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cash flow from finance leases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586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Financing cash flow from finance leases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1,497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1,444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1,304</w:t>
            </w:r>
          </w:p>
        </w:tc>
      </w:tr>
      <w:tr>
        <w:trPr/>
        <w:tc>
          <w:tcPr>
            <w:tcW w:w="5866"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pPr>
            <w:r>
              <w:rPr/>
              <w:t>​</w:t>
            </w:r>
          </w:p>
        </w:tc>
      </w:tr>
      <w:tr>
        <w:trPr/>
        <w:tc>
          <w:tcPr>
            <w:tcW w:w="586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pPr>
            <w:r>
              <w:rPr/>
              <w:t>​</w:t>
            </w:r>
          </w:p>
        </w:tc>
      </w:tr>
      <w:tr>
        <w:trPr/>
        <w:tc>
          <w:tcPr>
            <w:tcW w:w="58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9,389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6,760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5,374</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is a summary of the Company’s maturities of lease liabilities as of January 2, 2026:</w:t>
      </w:r>
    </w:p>
    <w:p>
      <w:pPr>
        <w:pStyle w:val="TextBody"/>
        <w:bidi w:val="0"/>
        <w:spacing w:before="0" w:after="0"/>
        <w:ind w:left="0" w:right="0" w:hanging="0"/>
        <w:jc w:val="left"/>
        <w:rPr/>
      </w:pPr>
      <w:r>
        <w:rPr/>
        <w:t>​</w:t>
      </w:r>
    </w:p>
    <w:tbl>
      <w:tblPr>
        <w:tblW w:w="5028" w:type="dxa"/>
        <w:jc w:val="left"/>
        <w:tblInd w:w="0" w:type="dxa"/>
        <w:tblLayout w:type="fixed"/>
        <w:tblCellMar>
          <w:top w:w="0" w:type="dxa"/>
          <w:left w:w="0" w:type="dxa"/>
          <w:bottom w:w="0" w:type="dxa"/>
          <w:right w:w="0" w:type="dxa"/>
        </w:tblCellMar>
      </w:tblPr>
      <w:tblGrid>
        <w:gridCol w:w="2461"/>
        <w:gridCol w:w="346"/>
        <w:gridCol w:w="211"/>
        <w:gridCol w:w="691"/>
        <w:gridCol w:w="346"/>
        <w:gridCol w:w="211"/>
        <w:gridCol w:w="571"/>
        <w:gridCol w:w="19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562735" cy="175895"/>
                      <wp:effectExtent l="0" t="0" r="0" b="0"/>
                      <wp:wrapNone/>
                      <wp:docPr id="277" name="Frame276"/>
                      <a:graphic xmlns:a="http://schemas.openxmlformats.org/drawingml/2006/main">
                        <a:graphicData uri="http://schemas.microsoft.com/office/word/2010/wordprocessingShape">
                          <wps:wsp>
                            <wps:cNvSpPr txBox="1"/>
                            <wps:spPr>
                              <a:xfrm>
                                <a:off x="0" y="0"/>
                                <a:ext cx="15627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895"/>
                      <wp:effectExtent l="0" t="0" r="0" b="0"/>
                      <wp:wrapNone/>
                      <wp:docPr id="278" name="Frame27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895"/>
                      <wp:effectExtent l="0" t="0" r="0" b="0"/>
                      <wp:wrapNone/>
                      <wp:docPr id="279" name="Frame27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895"/>
                      <wp:effectExtent l="0" t="0" r="0" b="0"/>
                      <wp:wrapNone/>
                      <wp:docPr id="280" name="Frame279"/>
                      <a:graphic xmlns:a="http://schemas.openxmlformats.org/drawingml/2006/main">
                        <a:graphicData uri="http://schemas.microsoft.com/office/word/2010/wordprocessingShape">
                          <wps:wsp>
                            <wps:cNvSpPr txBox="1"/>
                            <wps:spPr>
                              <a:xfrm>
                                <a:off x="0" y="0"/>
                                <a:ext cx="438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895"/>
                      <wp:effectExtent l="0" t="0" r="0" b="0"/>
                      <wp:wrapNone/>
                      <wp:docPr id="281" name="Frame28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895"/>
                      <wp:effectExtent l="0" t="0" r="0" b="0"/>
                      <wp:wrapNone/>
                      <wp:docPr id="282" name="Frame28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62585" cy="175895"/>
                      <wp:effectExtent l="0" t="0" r="0" b="0"/>
                      <wp:wrapNone/>
                      <wp:docPr id="283" name="Frame282"/>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1285" cy="175895"/>
                      <wp:effectExtent l="0" t="0" r="0" b="0"/>
                      <wp:wrapNone/>
                      <wp:docPr id="284" name="Frame283"/>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bottom w:val="single" w:sz="2" w:space="0" w:color="000000"/>
            </w:tcBorders>
            <w:tcMar>
              <w:bottom w:w="28" w:type="dxa"/>
            </w:tcMar>
            <w:vAlign w:val="center"/>
          </w:tcPr>
          <w:p>
            <w:pPr>
              <w:pStyle w:val="TableContents"/>
              <w:bidi w:val="0"/>
              <w:spacing w:before="1"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191" w:type="dxa"/>
            <w:tcBorders/>
            <w:vAlign w:val="center"/>
          </w:tcPr>
          <w:p>
            <w:pPr>
              <w:pStyle w:val="TableContents"/>
              <w:bidi w:val="0"/>
              <w:spacing w:before="1" w:after="1"/>
              <w:ind w:left="0" w:right="0" w:hanging="0"/>
              <w:jc w:val="center"/>
              <w:rPr/>
            </w:pPr>
            <w:r>
              <w:rPr/>
              <w:t> </w:t>
            </w:r>
          </w:p>
        </w:tc>
      </w:tr>
      <w:tr>
        <w:trPr/>
        <w:tc>
          <w:tcPr>
            <w:tcW w:w="246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030" w:type="dxa"/>
            <w:gridSpan w:val="5"/>
            <w:tcBorders/>
            <w:vAlign w:val="center"/>
          </w:tcPr>
          <w:p>
            <w:pPr>
              <w:pStyle w:val="TableContents"/>
              <w:bidi w:val="0"/>
              <w:spacing w:before="1" w:after="1"/>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1" w:after="1"/>
              <w:ind w:left="0" w:right="0" w:hanging="0"/>
              <w:jc w:val="center"/>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Fiscal year: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5,479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1,390</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4,213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3,209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2,487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4,687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21,840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2,529</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(3,408)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18,432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2,387</w:t>
            </w:r>
          </w:p>
        </w:tc>
        <w:tc>
          <w:tcPr>
            <w:tcW w:w="191" w:type="dxa"/>
            <w:tcBorders/>
            <w:vAlign w:val="center"/>
          </w:tcPr>
          <w:p>
            <w:pPr>
              <w:pStyle w:val="TableContents"/>
              <w:bidi w:val="0"/>
              <w:spacing w:before="1" w:after="1"/>
              <w:ind w:left="0" w:right="0" w:hanging="0"/>
              <w:jc w:val="left"/>
              <w:rPr/>
            </w:pPr>
            <w:r>
              <w:rPr/>
              <w:t>​</w:t>
            </w:r>
          </w:p>
        </w:tc>
      </w:tr>
      <w:tr>
        <w:trPr/>
        <w:tc>
          <w:tcPr>
            <w:tcW w:w="24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Less: Current obligations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4,670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4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Noncurrent lease obligations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13,762</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imputed interest for finance lease obligations represents the interest component of finance leases that will be recognized as interest expense in future periods. The financing component for operating lease obligations represents the effect of discounting the operating lease payments to their present value.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VARIABLE INTEREST ENTITIES</w:t>
      </w:r>
    </w:p>
    <w:p>
      <w:pPr>
        <w:pStyle w:val="TextBody"/>
        <w:pBdr/>
        <w:bidi w:val="0"/>
        <w:spacing w:before="0" w:after="200"/>
        <w:ind w:left="360" w:right="0" w:hanging="720"/>
        <w:jc w:val="left"/>
        <w:rPr>
          <w:rFonts w:ascii="Times New Roman;Times;serif" w:hAnsi="Times New Roman;Times;serif"/>
          <w:i/>
          <w:sz w:val="20"/>
        </w:rPr>
      </w:pPr>
      <w:r>
        <w:rPr>
          <w:rFonts w:ascii="Times New Roman;Times;serif" w:hAnsi="Times New Roman;Times;serif"/>
          <w:i/>
          <w:sz w:val="20"/>
        </w:rPr>
        <w:t>Employee Benefit Plans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has a </w:t>
      </w:r>
      <w:r>
        <w:rPr>
          <w:rFonts w:ascii="Times New Roman;Times;serif" w:hAnsi="Times New Roman;Times;serif"/>
          <w:b w:val="false"/>
          <w:i w:val="false"/>
          <w:caps w:val="false"/>
          <w:smallCaps w:val="false"/>
          <w:sz w:val="20"/>
        </w:rPr>
        <w:t>qualified</w:t>
      </w:r>
      <w:r>
        <w:rPr>
          <w:rFonts w:ascii="Times New Roman;Times;serif" w:hAnsi="Times New Roman;Times;serif"/>
          <w:sz w:val="20"/>
        </w:rPr>
        <w:t xml:space="preserve"> profit sharing plan pursuant to Code Section 401(a) and qualified cash or deferred arrangement pursuant to Code Section 401(k) covering all employees. Employees may elect to contribute up to 50% of their compensation limited to the amount allowed by tax laws. Company contributions are made solely at the discretion of the Company’s board of directors.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Company’s defined contribution plan (the “Plan”) covers employees who have completed three months of service and who have attained 21 years of age. The Company elects to make matching contributions equal to 50% of the participants’ contributions to the Plan up to 6% of the individual participant’s compensation, and subject to a maximum of $3,000 per employee. Under the defined Plan, the Company may make discretionary contributions to employee accounts.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made matching contributions of $2.9 million, $2.4 million, and $2.2 million during fiscal years 2025, 2024 and 2023, respectively.</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Variable Interest Entities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On March 4, 2016, the Company and the Company’s wholly-owned subsidiary, </w:t>
      </w:r>
      <w:r>
        <w:rPr>
          <w:rFonts w:ascii="Times New Roman;Times;serif" w:hAnsi="Times New Roman;Times;serif"/>
          <w:color w:val="212529"/>
          <w:sz w:val="20"/>
          <w:shd w:fill="FFFFFF" w:val="clear"/>
        </w:rPr>
        <w:t>Willdan Energy Solutions, Inc. (“WES”)</w:t>
      </w:r>
      <w:r>
        <w:rPr>
          <w:rFonts w:ascii="Times New Roman;Times;serif" w:hAnsi="Times New Roman;Times;serif"/>
          <w:sz w:val="20"/>
        </w:rPr>
        <w:t xml:space="preserve">, acquired substantially all of the assets of Genesys </w:t>
      </w:r>
      <w:r>
        <w:rPr>
          <w:rFonts w:ascii="Times New Roman;Times;serif" w:hAnsi="Times New Roman;Times;serif"/>
          <w:color w:val="212529"/>
          <w:sz w:val="20"/>
        </w:rPr>
        <w:t>Engineering, P.C. (“Genesys”) </w:t>
      </w:r>
      <w:r>
        <w:rPr>
          <w:rFonts w:ascii="Times New Roman;Times;serif" w:hAnsi="Times New Roman;Times;serif"/>
          <w:sz w:val="20"/>
        </w:rPr>
        <w:t>and assumed certain specified liabilities of Genesys (collectively, the “Purchase”) pursuant to an Asset Purchase and Merger Agreement, dated as of February 26, 2016 (the “Agreement”), by and among Willdan Group, Inc., WES, WESGEN (as defined below), Genesys and Ronald W. Mineo (“Mineo”) and Robert J. Braun (“Braun” and, together with Mineo, the “Genesys Shareholders”). On March 5, 2016, pursuant to the terms of the Agreement, WESGEN, Inc., a non-affiliated corporation (“WESGEN”), merged (the “Merger” and, together with the Purchase, the “Acquisition”) with Genesys, with Genesys remaining as the surviving corporation. Genesys was acquired to strengthen the Company’s power engineering capability in the northeastern U.S., and also to increase client exposure and experience with universities.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Genesys continues to be a professional corporation organized under the laws of the State of New York, wholly-owned by one or more licensed engineers. Pursuant to New York law, the Company does not own capital stock of Genesys. The Company has entered into an agreement with the Shareholder of Genesys pursuant to which the Shareholder will be prohibited from selling, transferring or encumbering the Shareholder’s ownership interest in Genesys without the Company’s consent. Notwithstanding the Company’s rights regarding the transfer of Genesys’s stock, the Company does not have control over the professional decision making of Genesys’s engineering services. The Company has entered into an administrative services agreement with Genesys pursuant to which WES will provide Genesys with ongoing administrative, operational and other non-professional support services. Genesys pays WES a service fee, which consists of all of the costs incurred by WES to provide the administrative services to Genesys plus ten percent of such costs, as well as any other costs that relate to professional service supplies and personnel costs. As a result of the administrative services agreement, the Company absorbs the expected losses of Genesys through its deferral of Genesys’s service fees owed to WES.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The Company manages Genesys and has the power to direct the activities that most significantly impact Genesys’s performance, in addition to being obligated to absorb expected losses from Genesys. Accordingly, the Company is the primary beneficiary of Genesys and consolidates Genesys as a </w:t>
      </w:r>
      <w:r>
        <w:rPr>
          <w:rFonts w:ascii="Times New Roman;Times;serif" w:hAnsi="Times New Roman;Times;serif"/>
          <w:color w:val="212529"/>
          <w:sz w:val="20"/>
          <w:shd w:fill="FFFFFF" w:val="clear"/>
        </w:rPr>
        <w:t>variable interest entity</w:t>
      </w:r>
      <w:r>
        <w:rPr>
          <w:rFonts w:ascii="Times New Roman;Times;serif" w:hAnsi="Times New Roman;Times;serif"/>
          <w:sz w:val="20"/>
        </w:rPr>
        <w:t xml:space="preserve"> (“VIE”). In addition, the Company concluded there is no noncontrolling interest related to the consolidation of Genesys because the Company determined that (i) the shareholder of Genesys does not have more than a nominal amount of equity investment at risk, (ii) WES absorbs the expected losses of Genesys through its deferral of Genesys’s service fees owed to WES and the Company has, since entering into the administrative services agreement, had to continuously defer service fees for Genesys, and (iii) the Company believes Genesys will continue to have a shortfall on payment of its service fees for the foreseeable future, leaving no expected residual returns for the shareholder. As of January 2, 2026, the Company had one VIE — Genesys.</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1121" w:name="Tc_WJLNbWEi3kudFa5dJXTTlQ_16_12"/>
      <w:bookmarkStart w:id="1122" w:name="Tc_yGYpkKVYUESr2z0hTkPPXA_16_0"/>
      <w:bookmarkStart w:id="1123" w:name="Tc_uBigZh7z0UKjJKs-3Hs0MA_15_12"/>
      <w:bookmarkStart w:id="1124" w:name="Tc_8rrzUvwLY0Gk7Nf73SrorA_15_0"/>
      <w:bookmarkStart w:id="1125" w:name="Tc_X5lbLPJHw0emTtIWzHGx9A_14_12"/>
      <w:bookmarkStart w:id="1126" w:name="Tc_8HYDjJY-tkmZqAijy4ty9A_14_0"/>
      <w:bookmarkStart w:id="1127" w:name="Tc_n0nAx9UFJkullqAX0rk_hQ_13_12"/>
      <w:bookmarkStart w:id="1128" w:name="Tc_e6I7qwYmY0iATZX2fOom_Q_13_0"/>
      <w:bookmarkStart w:id="1129" w:name="Tc_OSpCsW5SZkeShrl0rAuG6g_12_12"/>
      <w:bookmarkStart w:id="1130" w:name="Tc_k7oluwl9nEqVZXrCJ2XD1Q_12_9"/>
      <w:bookmarkStart w:id="1131" w:name="Tc_Fcooug-2EUCSecQhuoc_Jw_12_0"/>
      <w:bookmarkStart w:id="1132" w:name="Tc_pBl-uTJTZ0ah6sN4RzQHZw_11_12"/>
      <w:bookmarkStart w:id="1133" w:name="Tc_N21oR3pZ6UONFDtymQhPgg_11_6"/>
      <w:bookmarkStart w:id="1134" w:name="Tc_fbrSmOZ2CkO_b6DhLOexPQ_11_3"/>
      <w:bookmarkStart w:id="1135" w:name="Tc_BMF6W13YfkC9y-Z5Gkx5UQ_11_0"/>
      <w:bookmarkStart w:id="1136" w:name="Tc_BwBslfEmbEGjLz4mwA1NTw_10_12"/>
      <w:bookmarkStart w:id="1137" w:name="Tc_F0T8TJkMZ0iX_rogOYe8MQ_10_0"/>
      <w:bookmarkStart w:id="1138" w:name="Tc_ESFeJganIky3a1_5mscJtg_9_12"/>
      <w:bookmarkStart w:id="1139" w:name="Tc_SdW4b_Bo8UWHErM4rjNMyg_9_0"/>
      <w:bookmarkStart w:id="1140" w:name="Tc_xBArwSBIXkiyMoY6KCj9BQ_8_12"/>
      <w:bookmarkStart w:id="1141" w:name="Tc_bkYNWJWbTUetBrfa5DAi0g_8_9"/>
      <w:bookmarkStart w:id="1142" w:name="Tc_uszW57khL0ybOZ8maKBg-g_8_0"/>
      <w:bookmarkStart w:id="1143" w:name="Tc_xk31mC_yxEKKMh8KdpL7CA_7_12"/>
      <w:bookmarkStart w:id="1144" w:name="Tc_d2C6CdbmX0O1a1lcVtrQbw_7_9"/>
      <w:bookmarkStart w:id="1145" w:name="Tc_6ciL81PWXUGaZ-xNJXFwQw_7_0"/>
      <w:bookmarkStart w:id="1146" w:name="Tc_KhqXapkHykCnDhn6ry1pzA_6_12"/>
      <w:bookmarkStart w:id="1147" w:name="Tc_6SLAt7KAUk-qTaUd2ix6Lg_6_9"/>
      <w:bookmarkStart w:id="1148" w:name="Tc_F60w2E0crEuGpI6TAn0nUg_6_0"/>
      <w:bookmarkStart w:id="1149" w:name="Tc_fr0XfDyP7Eek0VO9xk3NIg_5_14"/>
      <w:bookmarkStart w:id="1150" w:name="Tc_teP033Zeh0ywdYbmrsinhA_5_12"/>
      <w:bookmarkStart w:id="1151" w:name="Tc_36SD1YgMm02fJmxXY-GO-g_5_11"/>
      <w:bookmarkStart w:id="1152" w:name="Tc_SCzl39Y560iB59IVta449w_5_9"/>
      <w:bookmarkStart w:id="1153" w:name="Tc_mHmVf-7bKEGn_i7XSdXZYg_5_8"/>
      <w:bookmarkStart w:id="1154" w:name="Tc_QHNNwdVQJUCaio0WSzFR0A_5_5"/>
      <w:bookmarkStart w:id="1155" w:name="Tc_gWSolB-aVUKPw1tKQnjZ6g_5_2"/>
      <w:bookmarkStart w:id="1156" w:name="Tc_gG5CZbNT90e4QggJO1IMDw_5_0"/>
      <w:bookmarkStart w:id="1157" w:name="Tc_AVfw8F3XyUOumySyFOV_rg_4_0"/>
      <w:bookmarkStart w:id="1158" w:name="Tc_SeL7EHciqUCXMUmhFpqPxA_3_2"/>
      <w:bookmarkStart w:id="1159" w:name="Tc_EkvmYRyGg0OKiVedAF4SzA_2_14"/>
      <w:bookmarkStart w:id="1160" w:name="Tc_IIUO9BJ88EK2iRpiJx3ElQ_2_11"/>
      <w:bookmarkStart w:id="1161" w:name="Tc_-RWd9nEyVk-kJIRVR8UU7Q_2_8"/>
      <w:bookmarkStart w:id="1162" w:name="Tc_fnP25qZkq0ixqz_R8vIDdQ_2_5"/>
      <w:bookmarkStart w:id="1163" w:name="Tc_TtSxuZmmlUOGdLjUOKb60w_2_2"/>
      <w:bookmarkStart w:id="1164" w:name="Tc_1PvCuzh5UU6g0IKJV67ulA_1_14"/>
      <w:bookmarkStart w:id="1165" w:name="Tc_jmiWOhRAOEioVHsJkIL6Xw_1_8"/>
      <w:bookmarkStart w:id="1166" w:name="Tc_b__iurLIXUmzPH70DxRchg_1_5"/>
      <w:bookmarkStart w:id="1167" w:name="_1cca1c5a_1598_429f_83b4_69c563518a85"/>
      <w:bookmarkStart w:id="1168" w:name="Tc_lCcIsc-qr0GTd7GKcvCG0A_16_12"/>
      <w:bookmarkStart w:id="1169" w:name="Tc_x3wKsXZb-UWK_Z7csL7wrA_16_0"/>
      <w:bookmarkStart w:id="1170" w:name="Tc_6GjqQmXk8kOuqEb7j6Xzng_15_12"/>
      <w:bookmarkStart w:id="1171" w:name="Tc_oRXMj_W1x0Syi_VZADBO2w_15_0"/>
      <w:bookmarkStart w:id="1172" w:name="Tc_qN0m8XggjUG-1iGdFfY-LQ_14_12"/>
      <w:bookmarkStart w:id="1173" w:name="Tc_lcujwiQSZEmJshYFqAjCAQ_14_0"/>
      <w:bookmarkStart w:id="1174" w:name="Tc_psPYzXCy5kur6wwHD63E5Q_13_12"/>
      <w:bookmarkStart w:id="1175" w:name="Tc_HzUiX-EmQk2b7rts1ycphA_13_0"/>
      <w:bookmarkStart w:id="1176" w:name="Tc_QxK24PsXIkSfGGv6_QeMmA_12_12"/>
      <w:bookmarkStart w:id="1177" w:name="Tc__Nw7P6F0FEyRnaQOAr_8zA_12_9"/>
      <w:bookmarkStart w:id="1178" w:name="Tc_zoc4ZAqUGkGGpGsFalC8XQ_12_0"/>
      <w:bookmarkStart w:id="1179" w:name="Tc_zyqONAju20CJkL7J2fvUCA_11_12"/>
      <w:bookmarkStart w:id="1180" w:name="Tc_LEh32OJXTEOqf4NSvbU-JQ_11_6"/>
      <w:bookmarkStart w:id="1181" w:name="Tc_Psl9SwGVJkalS3zRGBekIw_11_3"/>
      <w:bookmarkStart w:id="1182" w:name="Tc_FovDGOkOiESYq7IhSgD_cQ_11_0"/>
      <w:bookmarkStart w:id="1183" w:name="Tc_iY_3AGRxNk-Nneq62LcmRg_10_12"/>
      <w:bookmarkStart w:id="1184" w:name="Tc_k_evPuobQECuDdijZpJx4g_10_0"/>
      <w:bookmarkStart w:id="1185" w:name="Tc_4cq5K3KMZEG4jqU-6eGyZg_9_12"/>
      <w:bookmarkStart w:id="1186" w:name="Tc_qA_Sh24cUkq8EQSY_dT4eQ_9_0"/>
      <w:bookmarkStart w:id="1187" w:name="Tc_XMex559FSUqWSBuFCcUzYA_8_12"/>
      <w:bookmarkStart w:id="1188" w:name="Tc_ySqSB09gSUu3zJOPtEB93w_8_9"/>
      <w:bookmarkStart w:id="1189" w:name="Tc__-7bDQhflkeMjNKfe5Nfgg_8_0"/>
      <w:bookmarkStart w:id="1190" w:name="Tc_liArYdPdx0-KUG-BJsWSDg_7_12"/>
      <w:bookmarkStart w:id="1191" w:name="Tc_Sflsy4k1M0OZY1jt0xUq6A_7_9"/>
      <w:bookmarkStart w:id="1192" w:name="Tc_1vFPfYpYPEeM0Ts0rkFpVw_7_0"/>
      <w:bookmarkStart w:id="1193" w:name="Tc_rFo8R379xE2tCdePFnUZWA_6_12"/>
      <w:bookmarkStart w:id="1194" w:name="Tc_eBaMl0grr0CZHiSb8omwlQ_6_9"/>
      <w:bookmarkStart w:id="1195" w:name="Tc_ztDP6DQQDUSvqG10IE0E3Q_6_0"/>
      <w:bookmarkStart w:id="1196" w:name="Tc_mGlT4uCah0u1SLTOBrRpNA_5_14"/>
      <w:bookmarkStart w:id="1197" w:name="Tc_-SDmH3IoYkGUYyTNFh4VSA_5_12"/>
      <w:bookmarkStart w:id="1198" w:name="Tc_9N3bXzNOQkGcYodquX2aQw_5_11"/>
      <w:bookmarkStart w:id="1199" w:name="Tc_zH_75JaV7EasHJyUg-EsaQ_5_9"/>
      <w:bookmarkStart w:id="1200" w:name="Tc_7VJrzZmHg0qe_qIp6VBlNA_5_8"/>
      <w:bookmarkStart w:id="1201" w:name="Tc_9pdxzw4nG0Chnu0j2JBUFg_5_5"/>
      <w:bookmarkStart w:id="1202" w:name="Tc_gGjMhmbX1k6LsHzzTkn8Rw_5_2"/>
      <w:bookmarkStart w:id="1203" w:name="Tc_T5ve1JQk-0W_9F68cJk0nQ_5_0"/>
      <w:bookmarkStart w:id="1204" w:name="Tc_aidQtidvt0yMt0r5iTDw2w_4_0"/>
      <w:bookmarkStart w:id="1205" w:name="Tc_wIUC7yQyX0-ugkEm50lrSw_3_2"/>
      <w:bookmarkStart w:id="1206" w:name="Tc_F-JBIhZtWUS8ohUiIUeung_2_14"/>
      <w:bookmarkStart w:id="1207" w:name="Tc_-aaLsrkL2Eeu_rDuczOAeg_2_11"/>
      <w:bookmarkStart w:id="1208" w:name="Tc_PIKkjXH-WEOjVNB1HKbIrg_2_8"/>
      <w:bookmarkStart w:id="1209" w:name="Tc_Yfwgzbj2FUywYeXblJso4g_2_5"/>
      <w:bookmarkStart w:id="1210" w:name="Tc_zSIDwK9m3kqQF7TlLGp9sA_2_2"/>
      <w:bookmarkStart w:id="1211" w:name="Tc_rePxIzK7i02fd7ie4LqSIw_1_14"/>
      <w:bookmarkStart w:id="1212" w:name="Tc_gPXFsJi8mE6fpYDOwHQE3g_1_8"/>
      <w:bookmarkStart w:id="1213" w:name="Tc_uRb4I7Pkekm698iaQmRoBA_1_5"/>
      <w:bookmarkStart w:id="1214" w:name="_599d23b7_1ae4_4593_bd84_9deea3f56f65"/>
      <w:bookmarkStart w:id="1215" w:name="_dc3dc1b3_b117_4a1c_be6e_9469ae58c3d0_4"/>
      <w:bookmarkStart w:id="1216" w:name="_dc3dc1b3_b117_4a1c_be6e_9469ae58c3d0_3"/>
      <w:bookmarkStart w:id="1217" w:name="_dc3dc1b3_b117_4a1c_be6e_9469ae58c3d0_2"/>
      <w:bookmarkStart w:id="1218" w:name="_dc3dc1b3_b117_4a1c_be6e_9469ae58c3d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r>
        <w:rPr>
          <w:rFonts w:ascii="Times New Roman;Times;serif" w:hAnsi="Times New Roman;Times;serif"/>
          <w:b/>
          <w:sz w:val="20"/>
        </w:rPr>
        <w:t>9. SEGMENT AND GEOGRAPHICAL INFORMATION</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two segments are Energy and Engineering and Consulting, and the Company’s chief operating decision maker, which continues to be its chief executive officer, receives and reviews financial information in this format.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2023, the FASB issued ASU No. 2023-07, “Segment Reporting (Topic 280): Improvements to Reportable Segment Disclosures” (“ASU 2023-07”). The Company retroactively adopted ASU 2023-07, which requires, for fiscal years beginning after December 15, 2023, the disclosure of significant segment expenses that are regularly provided to the CODM, along with a description of other segment items by reportable segment, and any additional measures of a segment's profit or loss used by the CODM when deciding how to allocate resources. The Company’s CODM evaluates the performance of each segment based upon the information provided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intersegment sales during the fiscal years 2025, 2024, or 2023. In addition, enterprise-wide service line contract revenue is not included as it is impracticable to report this information for each group of similar services.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06"/>
        <w:gridCol w:w="109"/>
        <w:gridCol w:w="196"/>
        <w:gridCol w:w="720"/>
        <w:gridCol w:w="346"/>
        <w:gridCol w:w="234"/>
        <w:gridCol w:w="832"/>
        <w:gridCol w:w="346"/>
        <w:gridCol w:w="215"/>
        <w:gridCol w:w="761"/>
        <w:gridCol w:w="346"/>
        <w:gridCol w:w="380"/>
        <w:gridCol w:w="671"/>
        <w:gridCol w:w="346"/>
        <w:gridCol w:w="218"/>
        <w:gridCol w:w="879"/>
      </w:tblGrid>
      <w:tr>
        <w:trPr/>
        <w:tc>
          <w:tcPr>
            <w:tcW w:w="3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24460" cy="175260"/>
                      <wp:effectExtent l="0" t="0" r="0" b="0"/>
                      <wp:wrapNone/>
                      <wp:docPr id="286" name="Frame2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57200" cy="175260"/>
                      <wp:effectExtent l="0" t="0" r="0" b="0"/>
                      <wp:wrapNone/>
                      <wp:docPr id="287" name="Frame2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8590" cy="175260"/>
                      <wp:effectExtent l="0" t="0" r="0" b="0"/>
                      <wp:wrapNone/>
                      <wp:docPr id="289" name="Frame28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28320" cy="175260"/>
                      <wp:effectExtent l="0" t="0" r="0" b="0"/>
                      <wp:wrapNone/>
                      <wp:docPr id="290" name="Frame289"/>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6525" cy="175260"/>
                      <wp:effectExtent l="0" t="0" r="0" b="0"/>
                      <wp:wrapNone/>
                      <wp:docPr id="292" name="Frame29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83235" cy="175260"/>
                      <wp:effectExtent l="0" t="0" r="0" b="0"/>
                      <wp:wrapNone/>
                      <wp:docPr id="293" name="Frame29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41300" cy="175260"/>
                      <wp:effectExtent l="0" t="0" r="0" b="0"/>
                      <wp:wrapNone/>
                      <wp:docPr id="295" name="Frame29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26085" cy="175260"/>
                      <wp:effectExtent l="0" t="0" r="0" b="0"/>
                      <wp:wrapNone/>
                      <wp:docPr id="296" name="Frame295"/>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8430" cy="175260"/>
                      <wp:effectExtent l="0" t="0" r="0" b="0"/>
                      <wp:wrapNone/>
                      <wp:docPr id="298" name="Frame29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58165" cy="175260"/>
                      <wp:effectExtent l="0" t="0" r="0" b="0"/>
                      <wp:wrapNone/>
                      <wp:docPr id="299" name="Frame29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sz w:val="12"/>
              </w:rPr>
              <w:t>(1)</w:t>
            </w:r>
          </w:p>
        </w:tc>
      </w:tr>
      <w:tr>
        <w:trPr/>
        <w:tc>
          <w:tcPr>
            <w:tcW w:w="36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90" w:type="dxa"/>
            <w:gridSpan w:val="14"/>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6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2025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left"/>
              <w:rPr/>
            </w:pPr>
            <w:r>
              <w:rPr/>
              <w:t>​</w:t>
            </w:r>
          </w:p>
        </w:tc>
      </w:tr>
      <w:tr>
        <w:trPr/>
        <w:tc>
          <w:tcPr>
            <w:tcW w:w="3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576,051</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105,501</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681,552</w:t>
            </w:r>
          </w:p>
        </w:tc>
      </w:tr>
      <w:tr>
        <w:trPr/>
        <w:tc>
          <w:tcPr>
            <w:tcW w:w="3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311,231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316,772</w:t>
            </w:r>
          </w:p>
        </w:tc>
      </w:tr>
      <w:tr>
        <w:trPr/>
        <w:tc>
          <w:tcPr>
            <w:tcW w:w="3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66,908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42,190</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109,098</w:t>
            </w:r>
          </w:p>
        </w:tc>
      </w:tr>
      <w:tr>
        <w:trPr/>
        <w:tc>
          <w:tcPr>
            <w:tcW w:w="3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197,912</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57,770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255,682</w:t>
            </w:r>
          </w:p>
        </w:tc>
      </w:tr>
      <w:tr>
        <w:trPr/>
        <w:tc>
          <w:tcPr>
            <w:tcW w:w="3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140,938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39,449</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12,462</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192,849</w:t>
            </w:r>
          </w:p>
        </w:tc>
      </w:tr>
      <w:tr>
        <w:trPr/>
        <w:tc>
          <w:tcPr>
            <w:tcW w:w="36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56,449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18,315</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(10,336)</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64,428</w:t>
            </w:r>
          </w:p>
        </w:tc>
      </w:tr>
      <w:tr>
        <w:trPr/>
        <w:tc>
          <w:tcPr>
            <w:tcW w:w="3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5,748</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5,748</w:t>
            </w:r>
          </w:p>
        </w:tc>
      </w:tr>
      <w:tr>
        <w:trPr/>
        <w:tc>
          <w:tcPr>
            <w:tcW w:w="3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16,627</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2,059</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18,686</w:t>
            </w:r>
          </w:p>
        </w:tc>
      </w:tr>
      <w:tr>
        <w:trPr/>
        <w:tc>
          <w:tcPr>
            <w:tcW w:w="3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39,822</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16,256</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(16,084)</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39,994</w:t>
            </w:r>
          </w:p>
        </w:tc>
      </w:tr>
      <w:tr>
        <w:trPr/>
        <w:tc>
          <w:tcPr>
            <w:tcW w:w="36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(5,106)</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5,052</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(12,563)</w:t>
            </w:r>
          </w:p>
        </w:tc>
      </w:tr>
      <w:tr>
        <w:trPr/>
        <w:tc>
          <w:tcPr>
            <w:tcW w:w="36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52,331</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21,362</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(21,136)</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52,557</w:t>
            </w:r>
          </w:p>
        </w:tc>
      </w:tr>
      <w:tr>
        <w:trPr/>
        <w:tc>
          <w:tcPr>
            <w:tcW w:w="36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398,299</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44,170</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101,742</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544,211</w:t>
            </w:r>
          </w:p>
        </w:tc>
      </w:tr>
    </w:tbl>
    <w:p>
      <w:pPr>
        <w:pStyle w:val="TextBody"/>
        <w:bidi w:val="0"/>
        <w:spacing w:before="0" w:after="40"/>
        <w:ind w:left="0" w:right="0" w:hanging="0"/>
        <w:jc w:val="left"/>
        <w:rPr/>
      </w:pPr>
      <w:r>
        <w:rPr/>
        <w:t> </w:t>
      </w:r>
    </w:p>
    <w:tbl>
      <w:tblPr>
        <w:tblW w:w="10200" w:type="dxa"/>
        <w:jc w:val="left"/>
        <w:tblInd w:w="0" w:type="dxa"/>
        <w:tblLayout w:type="fixed"/>
        <w:tblCellMar>
          <w:top w:w="0" w:type="dxa"/>
          <w:left w:w="0" w:type="dxa"/>
          <w:bottom w:w="0" w:type="dxa"/>
          <w:right w:w="0" w:type="dxa"/>
        </w:tblCellMar>
      </w:tblPr>
      <w:tblGrid>
        <w:gridCol w:w="3631"/>
        <w:gridCol w:w="109"/>
        <w:gridCol w:w="196"/>
        <w:gridCol w:w="691"/>
        <w:gridCol w:w="346"/>
        <w:gridCol w:w="262"/>
        <w:gridCol w:w="804"/>
        <w:gridCol w:w="346"/>
        <w:gridCol w:w="223"/>
        <w:gridCol w:w="753"/>
        <w:gridCol w:w="346"/>
        <w:gridCol w:w="380"/>
        <w:gridCol w:w="671"/>
        <w:gridCol w:w="346"/>
        <w:gridCol w:w="218"/>
        <w:gridCol w:w="878"/>
      </w:tblGrid>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4460" cy="175260"/>
                      <wp:effectExtent l="0" t="0" r="0" b="0"/>
                      <wp:wrapNone/>
                      <wp:docPr id="301" name="Frame3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38785" cy="175260"/>
                      <wp:effectExtent l="0" t="0" r="0" b="0"/>
                      <wp:wrapNone/>
                      <wp:docPr id="302" name="Frame3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66370" cy="175260"/>
                      <wp:effectExtent l="0" t="0" r="0" b="0"/>
                      <wp:wrapNone/>
                      <wp:docPr id="304" name="Frame30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10540" cy="175260"/>
                      <wp:effectExtent l="0" t="0" r="0" b="0"/>
                      <wp:wrapNone/>
                      <wp:docPr id="305" name="Frame304"/>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41605" cy="175260"/>
                      <wp:effectExtent l="0" t="0" r="0" b="0"/>
                      <wp:wrapNone/>
                      <wp:docPr id="307" name="Frame30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478155" cy="175260"/>
                      <wp:effectExtent l="0" t="0" r="0" b="0"/>
                      <wp:wrapNone/>
                      <wp:docPr id="308" name="Frame307"/>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19710" cy="175260"/>
                      <wp:effectExtent l="0" t="0" r="0" b="0"/>
                      <wp:wrapNone/>
                      <wp:docPr id="309"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41300" cy="175260"/>
                      <wp:effectExtent l="0" t="0" r="0" b="0"/>
                      <wp:wrapNone/>
                      <wp:docPr id="310" name="Frame30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26085" cy="175260"/>
                      <wp:effectExtent l="0" t="0" r="0" b="0"/>
                      <wp:wrapNone/>
                      <wp:docPr id="311" name="Frame310"/>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8430" cy="175260"/>
                      <wp:effectExtent l="0" t="0" r="0" b="0"/>
                      <wp:wrapNone/>
                      <wp:docPr id="313" name="Frame31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57530" cy="175260"/>
                      <wp:effectExtent l="0" t="0" r="0" b="0"/>
                      <wp:wrapNone/>
                      <wp:docPr id="314" name="Frame31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sz w:val="12"/>
              </w:rPr>
              <w:t>(1)</w:t>
            </w:r>
          </w:p>
        </w:tc>
      </w:tr>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0" w:type="dxa"/>
            <w:gridSpan w:val="14"/>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2024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473,309</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92,489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565,798</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266,092</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269,473</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55,041</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38,502</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93,543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152,176</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50,606</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202,782</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113,998</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36,263</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6,423</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156,684</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38,554</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14,344</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(3,673)</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49,225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7,801</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13,260</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14,745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25,294</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(11,474)</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26,679</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3,896</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1,980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4,109</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21,398</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10,879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(9,707)</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22,570</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348,884</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29,202</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86,777</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464,863</w:t>
            </w:r>
          </w:p>
        </w:tc>
      </w:tr>
    </w:tbl>
    <w:p>
      <w:pPr>
        <w:pStyle w:val="TextBody"/>
        <w:bidi w:val="0"/>
        <w:spacing w:before="0" w:after="4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Normal"/>
        <w:bidi w:val="0"/>
        <w:spacing w:before="0" w:after="0"/>
        <w:jc w:val="left"/>
        <w:rPr>
          <w:sz w:val="4"/>
          <w:szCs w:val="4"/>
        </w:rPr>
      </w:pPr>
      <w:r>
        <w:rPr>
          <w:sz w:val="4"/>
          <w:szCs w:val="4"/>
        </w:rPr>
      </w:r>
      <w:bookmarkStart w:id="1219" w:name="Tc_-1LS92zLbkmz-QJQH7BrHQ_17_8"/>
      <w:bookmarkStart w:id="1220" w:name="Tc_rBF2aYu2ak6RZ1W95EMhtQ_17_5"/>
      <w:bookmarkStart w:id="1221" w:name="Tc_SI2R-bVPt06Q0FJaeOXu0g_17_2"/>
      <w:bookmarkStart w:id="1222" w:name="Tc_9S9usuizzE-Ar7C8hTLulg_17_0"/>
      <w:bookmarkStart w:id="1223" w:name="Tc_EZo-p6AGKEeBgx8IrSjbhg_16_0"/>
      <w:bookmarkStart w:id="1224" w:name="Tc_5u9cKpPhUE2mXpd79xcxCQ_14_8"/>
      <w:bookmarkStart w:id="1225" w:name="Tc_CgS_NFYmD06iyNMwGIFr_g_14_5"/>
      <w:bookmarkStart w:id="1226" w:name="Tc_wo8tdzsgQ0CTqmRji2A96w_14_2"/>
      <w:bookmarkStart w:id="1227" w:name="Tc_SOM0gNIsb02ebr8V1xVEvw_14_0"/>
      <w:bookmarkStart w:id="1228" w:name="Tc_6toTrvGhgUm1xTkaFOm2jQ_13_0"/>
      <w:bookmarkStart w:id="1229" w:name="Tc_CLyPk5vsOUOb6556918SwQ_12_0"/>
      <w:bookmarkStart w:id="1230" w:name="Tc_GjjffXxaCUeVMkF14pLkFQ_11_8"/>
      <w:bookmarkStart w:id="1231" w:name="Tc_6wHhSmz2_0yHVjlReW0lVQ_11_5"/>
      <w:bookmarkStart w:id="1232" w:name="Tc_B5t13zsEI0ywwbNnNJZkLg_11_2"/>
      <w:bookmarkStart w:id="1233" w:name="Tc_6NMUV-VaKUm_sLeKVItzyw_11_0"/>
      <w:bookmarkStart w:id="1234" w:name="Tc_A3BLZPEmUkC8cGIYh57KLQ_10_0"/>
      <w:bookmarkStart w:id="1235" w:name="Tc_6K_bgiSZAUCWxhzJc_J_wA_8_8"/>
      <w:bookmarkStart w:id="1236" w:name="Tc_8FMHx_AMgkWuJHDle1JzeQ_8_5"/>
      <w:bookmarkStart w:id="1237" w:name="Tc_ubSN_RSkZkSkqYLo7Zo7CQ_8_2"/>
      <w:bookmarkStart w:id="1238" w:name="Tc_9cKtBstbpU2deHHWmxTQvw_8_0"/>
      <w:bookmarkStart w:id="1239" w:name="Tc_ZTjfS7PSmEyxI8Pcnf2MwQ_7_0"/>
      <w:bookmarkStart w:id="1240" w:name="Tc_LEewbmBmwk-8z6aCgWmwnQ_6_0"/>
      <w:bookmarkStart w:id="1241" w:name="Tc_X0_Vz_S58EKXoyCwCnPDwA_5_8"/>
      <w:bookmarkStart w:id="1242" w:name="Tc_2amuziMzPUS4NW_T2uzAxA_5_5"/>
      <w:bookmarkStart w:id="1243" w:name="Tc_ocTuhxewPECOfGYYRdqWIg_5_2"/>
      <w:bookmarkStart w:id="1244" w:name="Tc_1zuC4rBic02JC_37x-CMXQ_5_0"/>
      <w:bookmarkStart w:id="1245" w:name="Tc_qsPj_h35O02P0VV6upW-KA_4_0"/>
      <w:bookmarkStart w:id="1246" w:name="Tc_q_W-9EDi_EeXGi1su7toHQ_3_2"/>
      <w:bookmarkStart w:id="1247" w:name="Tc_enzylohzfUqLEmpItvz1Dg_2_8"/>
      <w:bookmarkStart w:id="1248" w:name="Tc_nG87ueTWdU6dJL6gc2f2Gg_2_5"/>
      <w:bookmarkStart w:id="1249" w:name="Tc_Gxypf-lJaECg2Z9PvtG0Fg_2_2"/>
      <w:bookmarkStart w:id="1250" w:name="Tc_zq5KxF569USnH0tUG3Svlg_1_2"/>
      <w:bookmarkStart w:id="1251" w:name="_56c3cd06_cfd8_4324_b8e6_6672a340d87c"/>
      <w:bookmarkStart w:id="1252" w:name="Tc_q5dA7GhypUGBCqrqhUCXIQ_17_8"/>
      <w:bookmarkStart w:id="1253" w:name="Tc_zWYON6BsBECkbiyZzcmPuA_17_5"/>
      <w:bookmarkStart w:id="1254" w:name="Tc_lvIZWms5Zka9cERLVAm-ag_17_2"/>
      <w:bookmarkStart w:id="1255" w:name="Tc_M8sXnDm70UGITsUhceu6jw_17_0"/>
      <w:bookmarkStart w:id="1256" w:name="Tc_fwYC6QM140atTe3YCQmprg_16_0"/>
      <w:bookmarkStart w:id="1257" w:name="Tc_OSoMBBRSGk6GrcF9P82mgQ_14_8"/>
      <w:bookmarkStart w:id="1258" w:name="Tc_3ARTZE23_Uq-pbb6_LEF-Q_14_5"/>
      <w:bookmarkStart w:id="1259" w:name="Tc_pkf3WV9OdE-WPK6QYb110A_14_2"/>
      <w:bookmarkStart w:id="1260" w:name="Tc_mJJPmKuwQUWiqP1b8uzaTA_14_0"/>
      <w:bookmarkStart w:id="1261" w:name="Tc_JUj7_6II4UmLKc-fnH3q_w_13_0"/>
      <w:bookmarkStart w:id="1262" w:name="Tc__qyRbl2_uk6Tq5_FbuLdVA_12_0"/>
      <w:bookmarkStart w:id="1263" w:name="Tc_FUVB3VgQnUWyTEeSYknwKg_11_8"/>
      <w:bookmarkStart w:id="1264" w:name="Tc_B0NWLmLsdUCcUxr3Ux8fGQ_11_5"/>
      <w:bookmarkStart w:id="1265" w:name="Tc_u3UL9VsHOECCpNLg6hnhzw_11_2"/>
      <w:bookmarkStart w:id="1266" w:name="Tc_BKTCm8J96EuySs7Y0YHHGw_11_0"/>
      <w:bookmarkStart w:id="1267" w:name="Tc_W6OjLoe3tkm36E3mZmqCaA_10_0"/>
      <w:bookmarkStart w:id="1268" w:name="Tc_VsN9ZwOgoEaK6wX0X5QADA_8_8"/>
      <w:bookmarkStart w:id="1269" w:name="Tc_1GCndlWuMUi33Mab5pcE-Q_8_5"/>
      <w:bookmarkStart w:id="1270" w:name="Tc_PJJBobJ-qE6gPY1zRI_lXw_8_2"/>
      <w:bookmarkStart w:id="1271" w:name="Tc_ZbpQ2003KE2TkqOGz9ObdA_8_0"/>
      <w:bookmarkStart w:id="1272" w:name="Tc_zfaFaupDfEmNfJTn8HuIxg_7_0"/>
      <w:bookmarkStart w:id="1273" w:name="Tc_nsyU7dxCX0GQzE4EXpRI-Q_6_0"/>
      <w:bookmarkStart w:id="1274" w:name="Tc_BzTHNLiWwU-EBTyFSXCd2w_5_8"/>
      <w:bookmarkStart w:id="1275" w:name="Tc_lkARgJwzPkm5XlkskK4h4w_5_5"/>
      <w:bookmarkStart w:id="1276" w:name="Tc_kEzG7iGDDkaxq2VoX2zNXw_5_2"/>
      <w:bookmarkStart w:id="1277" w:name="Tc_YBHzxFRHt0eBhTq3eMR_AQ_5_0"/>
      <w:bookmarkStart w:id="1278" w:name="Tc_2m982Sp6MUaQa0kJ7dNTlg_4_0"/>
      <w:bookmarkStart w:id="1279" w:name="Tc_ePE-_Ay6qkij13Z582SfiQ_3_2"/>
      <w:bookmarkStart w:id="1280" w:name="Tc_O2SKTBdho0GNhv5sdOcB_A_2_8"/>
      <w:bookmarkStart w:id="1281" w:name="Tc_0mb-_Am5O026Ahnk_xXfMA_2_5"/>
      <w:bookmarkStart w:id="1282" w:name="Tc_S-RsAFqQwESgtIG2okokQA_2_2"/>
      <w:bookmarkStart w:id="1283" w:name="Tc_Sojsl9kXIE6fKfj3uSMV_A_1_2"/>
      <w:bookmarkStart w:id="1284" w:name="_a02ed7d8_5247_420d_b416_42898e95c567"/>
      <w:bookmarkStart w:id="1285" w:name="Tc_Ioakl0UP_kyWrsjfYsf64g_16_12"/>
      <w:bookmarkStart w:id="1286" w:name="Tc_n79UqJCxJEy_0lxGW-lbVA_16_0"/>
      <w:bookmarkStart w:id="1287" w:name="Tc_5NnJJ19GaEqHmqUi6_Q-fg_15_12"/>
      <w:bookmarkStart w:id="1288" w:name="Tc_hjExOxJA3U2ZEfqERoZelw_15_0"/>
      <w:bookmarkStart w:id="1289" w:name="Tc___zYGJhuU0a5dEk4I1kTzQ_14_12"/>
      <w:bookmarkStart w:id="1290" w:name="Tc_mV2Am8Tui02rDToB_eM77Q_14_0"/>
      <w:bookmarkStart w:id="1291" w:name="Tc_8SsoRKqosEiEGqzh9mp3jA_13_12"/>
      <w:bookmarkStart w:id="1292" w:name="Tc_rbmEIx_nU0-m_leIIIQ7rQ_13_0"/>
      <w:bookmarkStart w:id="1293" w:name="Tc_dZLr71OHlkC_-YgZEe55Uw_12_12"/>
      <w:bookmarkStart w:id="1294" w:name="Tc_BSGvKcemjE28bZIpm_vNmQ_12_9"/>
      <w:bookmarkStart w:id="1295" w:name="Tc_HCvCLO3MqkmOBnLl9f_fNw_12_0"/>
      <w:bookmarkStart w:id="1296" w:name="Tc_cblm8mEdN0W0CP5V3W9Amg_11_12"/>
      <w:bookmarkStart w:id="1297" w:name="Tc_ReeK5NbLPUi9RsAxd5W4FA_11_6"/>
      <w:bookmarkStart w:id="1298" w:name="Tc_CN3dcJ4CI0icI6_bUWIYIA_11_0"/>
      <w:bookmarkStart w:id="1299" w:name="Tc_AkXGYsOeGUOpNa7eyCy5tA_10_12"/>
      <w:bookmarkStart w:id="1300" w:name="Tc_C6HrcFTeEUSFmNIFjNS2EQ_10_0"/>
      <w:bookmarkStart w:id="1301" w:name="Tc_7M0MWf851kGQFfe3-Xjwlw_9_12"/>
      <w:bookmarkStart w:id="1302" w:name="Tc_RFsEk3yLREG_pzoTjG58Pw_9_0"/>
      <w:bookmarkStart w:id="1303" w:name="Tc_T5RvMcIk5kubQBjgCEbW2A_8_12"/>
      <w:bookmarkStart w:id="1304" w:name="Tc_rgjl9m9crUa9y7hZpA70MA_8_9"/>
      <w:bookmarkStart w:id="1305" w:name="Tc_yMaABpWIUEaJ-Ffn4ljoYg_8_0"/>
      <w:bookmarkStart w:id="1306" w:name="Tc_51P8pCJMB06OFbjY7L1UXQ_7_12"/>
      <w:bookmarkStart w:id="1307" w:name="Tc_BvmgDbssrk2smQcUUtzvNg_7_9"/>
      <w:bookmarkStart w:id="1308" w:name="Tc_JNx52jv-70CVL_TKEqndIw_7_0"/>
      <w:bookmarkStart w:id="1309" w:name="Tc_GuGHZIAeckmU1HJj7bFpww_6_12"/>
      <w:bookmarkStart w:id="1310" w:name="Tc_4yCu9pjHG0-dRhELLvP6Fw_6_9"/>
      <w:bookmarkStart w:id="1311" w:name="Tc_sVLBi8rq10eBVCPbwOYNWw_6_0"/>
      <w:bookmarkStart w:id="1312" w:name="Tc_KAclxpjiA0yNxcKKom-Sww_5_14"/>
      <w:bookmarkStart w:id="1313" w:name="Tc_eOHvNy85a0-JGRX3TF6yaw_5_12"/>
      <w:bookmarkStart w:id="1314" w:name="Tc_dQtG7CpSBEahnT6_k0VNsw_5_11"/>
      <w:bookmarkStart w:id="1315" w:name="Tc_PtwDXmmlrUSyYVp8G-VIWQ_5_9"/>
      <w:bookmarkStart w:id="1316" w:name="Tc_ZBXJxWSEFUGTojiM0_M9Pw_5_8"/>
      <w:bookmarkStart w:id="1317" w:name="Tc_lLcWYEPX_UGY6yHr7DQeug_5_5"/>
      <w:bookmarkStart w:id="1318" w:name="Tc_iUcYMKNOFkKa8wyuXfDsgA_5_2"/>
      <w:bookmarkStart w:id="1319" w:name="Tc_fIpq5OI1kEeFwQ6hqn6tQQ_5_0"/>
      <w:bookmarkStart w:id="1320" w:name="Tc_TO1g2_AgIEG6EZCmFQuUMA_4_0"/>
      <w:bookmarkStart w:id="1321" w:name="Tc_jPLsi4w1KUuwtL1xMN10dw_3_2"/>
      <w:bookmarkStart w:id="1322" w:name="Tc_x4bf8Xb0fEWnuiiVscdJHA_2_14"/>
      <w:bookmarkStart w:id="1323" w:name="Tc_UBO5TBLiA0SXjDCGO-WiDQ_2_11"/>
      <w:bookmarkStart w:id="1324" w:name="Tc_P10vbAbW4UePv37_z2h0BA_2_8"/>
      <w:bookmarkStart w:id="1325" w:name="Tc_qo4b40kqVU2sZA4WHfQy0g_2_5"/>
      <w:bookmarkStart w:id="1326" w:name="Tc_xWV8qM6uh023Uz5s8Er1hw_2_2"/>
      <w:bookmarkStart w:id="1327" w:name="Tc_bSqLSrZmoUWtxisqqO9S7A_1_14"/>
      <w:bookmarkStart w:id="1328" w:name="Tc_x6TWW8xfYkyMzC5vKdcMLQ_1_8"/>
      <w:bookmarkStart w:id="1329" w:name="Tc_iZUQCj1v1kuIm7qe9X5nGw_1_5"/>
      <w:bookmarkStart w:id="1330" w:name="_4bb8fa03_b914_449a_8839_96b02a5ec190"/>
      <w:bookmarkStart w:id="1331" w:name="Tc_-1LS92zLbkmz-QJQH7BrHQ_17_8"/>
      <w:bookmarkStart w:id="1332" w:name="Tc_rBF2aYu2ak6RZ1W95EMhtQ_17_5"/>
      <w:bookmarkStart w:id="1333" w:name="Tc_SI2R-bVPt06Q0FJaeOXu0g_17_2"/>
      <w:bookmarkStart w:id="1334" w:name="Tc_9S9usuizzE-Ar7C8hTLulg_17_0"/>
      <w:bookmarkStart w:id="1335" w:name="Tc_EZo-p6AGKEeBgx8IrSjbhg_16_0"/>
      <w:bookmarkStart w:id="1336" w:name="Tc_5u9cKpPhUE2mXpd79xcxCQ_14_8"/>
      <w:bookmarkStart w:id="1337" w:name="Tc_CgS_NFYmD06iyNMwGIFr_g_14_5"/>
      <w:bookmarkStart w:id="1338" w:name="Tc_wo8tdzsgQ0CTqmRji2A96w_14_2"/>
      <w:bookmarkStart w:id="1339" w:name="Tc_SOM0gNIsb02ebr8V1xVEvw_14_0"/>
      <w:bookmarkStart w:id="1340" w:name="Tc_6toTrvGhgUm1xTkaFOm2jQ_13_0"/>
      <w:bookmarkStart w:id="1341" w:name="Tc_CLyPk5vsOUOb6556918SwQ_12_0"/>
      <w:bookmarkStart w:id="1342" w:name="Tc_GjjffXxaCUeVMkF14pLkFQ_11_8"/>
      <w:bookmarkStart w:id="1343" w:name="Tc_6wHhSmz2_0yHVjlReW0lVQ_11_5"/>
      <w:bookmarkStart w:id="1344" w:name="Tc_B5t13zsEI0ywwbNnNJZkLg_11_2"/>
      <w:bookmarkStart w:id="1345" w:name="Tc_6NMUV-VaKUm_sLeKVItzyw_11_0"/>
      <w:bookmarkStart w:id="1346" w:name="Tc_A3BLZPEmUkC8cGIYh57KLQ_10_0"/>
      <w:bookmarkStart w:id="1347" w:name="Tc_6K_bgiSZAUCWxhzJc_J_wA_8_8"/>
      <w:bookmarkStart w:id="1348" w:name="Tc_8FMHx_AMgkWuJHDle1JzeQ_8_5"/>
      <w:bookmarkStart w:id="1349" w:name="Tc_ubSN_RSkZkSkqYLo7Zo7CQ_8_2"/>
      <w:bookmarkStart w:id="1350" w:name="Tc_9cKtBstbpU2deHHWmxTQvw_8_0"/>
      <w:bookmarkStart w:id="1351" w:name="Tc_ZTjfS7PSmEyxI8Pcnf2MwQ_7_0"/>
      <w:bookmarkStart w:id="1352" w:name="Tc_LEewbmBmwk-8z6aCgWmwnQ_6_0"/>
      <w:bookmarkStart w:id="1353" w:name="Tc_X0_Vz_S58EKXoyCwCnPDwA_5_8"/>
      <w:bookmarkStart w:id="1354" w:name="Tc_2amuziMzPUS4NW_T2uzAxA_5_5"/>
      <w:bookmarkStart w:id="1355" w:name="Tc_ocTuhxewPECOfGYYRdqWIg_5_2"/>
      <w:bookmarkStart w:id="1356" w:name="Tc_1zuC4rBic02JC_37x-CMXQ_5_0"/>
      <w:bookmarkStart w:id="1357" w:name="Tc_qsPj_h35O02P0VV6upW-KA_4_0"/>
      <w:bookmarkStart w:id="1358" w:name="Tc_q_W-9EDi_EeXGi1su7toHQ_3_2"/>
      <w:bookmarkStart w:id="1359" w:name="Tc_enzylohzfUqLEmpItvz1Dg_2_8"/>
      <w:bookmarkStart w:id="1360" w:name="Tc_nG87ueTWdU6dJL6gc2f2Gg_2_5"/>
      <w:bookmarkStart w:id="1361" w:name="Tc_Gxypf-lJaECg2Z9PvtG0Fg_2_2"/>
      <w:bookmarkStart w:id="1362" w:name="Tc_zq5KxF569USnH0tUG3Svlg_1_2"/>
      <w:bookmarkStart w:id="1363" w:name="_56c3cd06_cfd8_4324_b8e6_6672a340d87c"/>
      <w:bookmarkStart w:id="1364" w:name="Tc_q5dA7GhypUGBCqrqhUCXIQ_17_8"/>
      <w:bookmarkStart w:id="1365" w:name="Tc_zWYON6BsBECkbiyZzcmPuA_17_5"/>
      <w:bookmarkStart w:id="1366" w:name="Tc_lvIZWms5Zka9cERLVAm-ag_17_2"/>
      <w:bookmarkStart w:id="1367" w:name="Tc_M8sXnDm70UGITsUhceu6jw_17_0"/>
      <w:bookmarkStart w:id="1368" w:name="Tc_fwYC6QM140atTe3YCQmprg_16_0"/>
      <w:bookmarkStart w:id="1369" w:name="Tc_OSoMBBRSGk6GrcF9P82mgQ_14_8"/>
      <w:bookmarkStart w:id="1370" w:name="Tc_3ARTZE23_Uq-pbb6_LEF-Q_14_5"/>
      <w:bookmarkStart w:id="1371" w:name="Tc_pkf3WV9OdE-WPK6QYb110A_14_2"/>
      <w:bookmarkStart w:id="1372" w:name="Tc_mJJPmKuwQUWiqP1b8uzaTA_14_0"/>
      <w:bookmarkStart w:id="1373" w:name="Tc_JUj7_6II4UmLKc-fnH3q_w_13_0"/>
      <w:bookmarkStart w:id="1374" w:name="Tc__qyRbl2_uk6Tq5_FbuLdVA_12_0"/>
      <w:bookmarkStart w:id="1375" w:name="Tc_FUVB3VgQnUWyTEeSYknwKg_11_8"/>
      <w:bookmarkStart w:id="1376" w:name="Tc_B0NWLmLsdUCcUxr3Ux8fGQ_11_5"/>
      <w:bookmarkStart w:id="1377" w:name="Tc_u3UL9VsHOECCpNLg6hnhzw_11_2"/>
      <w:bookmarkStart w:id="1378" w:name="Tc_BKTCm8J96EuySs7Y0YHHGw_11_0"/>
      <w:bookmarkStart w:id="1379" w:name="Tc_W6OjLoe3tkm36E3mZmqCaA_10_0"/>
      <w:bookmarkStart w:id="1380" w:name="Tc_VsN9ZwOgoEaK6wX0X5QADA_8_8"/>
      <w:bookmarkStart w:id="1381" w:name="Tc_1GCndlWuMUi33Mab5pcE-Q_8_5"/>
      <w:bookmarkStart w:id="1382" w:name="Tc_PJJBobJ-qE6gPY1zRI_lXw_8_2"/>
      <w:bookmarkStart w:id="1383" w:name="Tc_ZbpQ2003KE2TkqOGz9ObdA_8_0"/>
      <w:bookmarkStart w:id="1384" w:name="Tc_zfaFaupDfEmNfJTn8HuIxg_7_0"/>
      <w:bookmarkStart w:id="1385" w:name="Tc_nsyU7dxCX0GQzE4EXpRI-Q_6_0"/>
      <w:bookmarkStart w:id="1386" w:name="Tc_BzTHNLiWwU-EBTyFSXCd2w_5_8"/>
      <w:bookmarkStart w:id="1387" w:name="Tc_lkARgJwzPkm5XlkskK4h4w_5_5"/>
      <w:bookmarkStart w:id="1388" w:name="Tc_kEzG7iGDDkaxq2VoX2zNXw_5_2"/>
      <w:bookmarkStart w:id="1389" w:name="Tc_YBHzxFRHt0eBhTq3eMR_AQ_5_0"/>
      <w:bookmarkStart w:id="1390" w:name="Tc_2m982Sp6MUaQa0kJ7dNTlg_4_0"/>
      <w:bookmarkStart w:id="1391" w:name="Tc_ePE-_Ay6qkij13Z582SfiQ_3_2"/>
      <w:bookmarkStart w:id="1392" w:name="Tc_O2SKTBdho0GNhv5sdOcB_A_2_8"/>
      <w:bookmarkStart w:id="1393" w:name="Tc_0mb-_Am5O026Ahnk_xXfMA_2_5"/>
      <w:bookmarkStart w:id="1394" w:name="Tc_S-RsAFqQwESgtIG2okokQA_2_2"/>
      <w:bookmarkStart w:id="1395" w:name="Tc_Sojsl9kXIE6fKfj3uSMV_A_1_2"/>
      <w:bookmarkStart w:id="1396" w:name="_a02ed7d8_5247_420d_b416_42898e95c567"/>
      <w:bookmarkStart w:id="1397" w:name="Tc_Ioakl0UP_kyWrsjfYsf64g_16_12"/>
      <w:bookmarkStart w:id="1398" w:name="Tc_n79UqJCxJEy_0lxGW-lbVA_16_0"/>
      <w:bookmarkStart w:id="1399" w:name="Tc_5NnJJ19GaEqHmqUi6_Q-fg_15_12"/>
      <w:bookmarkStart w:id="1400" w:name="Tc_hjExOxJA3U2ZEfqERoZelw_15_0"/>
      <w:bookmarkStart w:id="1401" w:name="Tc___zYGJhuU0a5dEk4I1kTzQ_14_12"/>
      <w:bookmarkStart w:id="1402" w:name="Tc_mV2Am8Tui02rDToB_eM77Q_14_0"/>
      <w:bookmarkStart w:id="1403" w:name="Tc_8SsoRKqosEiEGqzh9mp3jA_13_12"/>
      <w:bookmarkStart w:id="1404" w:name="Tc_rbmEIx_nU0-m_leIIIQ7rQ_13_0"/>
      <w:bookmarkStart w:id="1405" w:name="Tc_dZLr71OHlkC_-YgZEe55Uw_12_12"/>
      <w:bookmarkStart w:id="1406" w:name="Tc_BSGvKcemjE28bZIpm_vNmQ_12_9"/>
      <w:bookmarkStart w:id="1407" w:name="Tc_HCvCLO3MqkmOBnLl9f_fNw_12_0"/>
      <w:bookmarkStart w:id="1408" w:name="Tc_cblm8mEdN0W0CP5V3W9Amg_11_12"/>
      <w:bookmarkStart w:id="1409" w:name="Tc_ReeK5NbLPUi9RsAxd5W4FA_11_6"/>
      <w:bookmarkStart w:id="1410" w:name="Tc_CN3dcJ4CI0icI6_bUWIYIA_11_0"/>
      <w:bookmarkStart w:id="1411" w:name="Tc_AkXGYsOeGUOpNa7eyCy5tA_10_12"/>
      <w:bookmarkStart w:id="1412" w:name="Tc_C6HrcFTeEUSFmNIFjNS2EQ_10_0"/>
      <w:bookmarkStart w:id="1413" w:name="Tc_7M0MWf851kGQFfe3-Xjwlw_9_12"/>
      <w:bookmarkStart w:id="1414" w:name="Tc_RFsEk3yLREG_pzoTjG58Pw_9_0"/>
      <w:bookmarkStart w:id="1415" w:name="Tc_T5RvMcIk5kubQBjgCEbW2A_8_12"/>
      <w:bookmarkStart w:id="1416" w:name="Tc_rgjl9m9crUa9y7hZpA70MA_8_9"/>
      <w:bookmarkStart w:id="1417" w:name="Tc_yMaABpWIUEaJ-Ffn4ljoYg_8_0"/>
      <w:bookmarkStart w:id="1418" w:name="Tc_51P8pCJMB06OFbjY7L1UXQ_7_12"/>
      <w:bookmarkStart w:id="1419" w:name="Tc_BvmgDbssrk2smQcUUtzvNg_7_9"/>
      <w:bookmarkStart w:id="1420" w:name="Tc_JNx52jv-70CVL_TKEqndIw_7_0"/>
      <w:bookmarkStart w:id="1421" w:name="Tc_GuGHZIAeckmU1HJj7bFpww_6_12"/>
      <w:bookmarkStart w:id="1422" w:name="Tc_4yCu9pjHG0-dRhELLvP6Fw_6_9"/>
      <w:bookmarkStart w:id="1423" w:name="Tc_sVLBi8rq10eBVCPbwOYNWw_6_0"/>
      <w:bookmarkStart w:id="1424" w:name="Tc_KAclxpjiA0yNxcKKom-Sww_5_14"/>
      <w:bookmarkStart w:id="1425" w:name="Tc_eOHvNy85a0-JGRX3TF6yaw_5_12"/>
      <w:bookmarkStart w:id="1426" w:name="Tc_dQtG7CpSBEahnT6_k0VNsw_5_11"/>
      <w:bookmarkStart w:id="1427" w:name="Tc_PtwDXmmlrUSyYVp8G-VIWQ_5_9"/>
      <w:bookmarkStart w:id="1428" w:name="Tc_ZBXJxWSEFUGTojiM0_M9Pw_5_8"/>
      <w:bookmarkStart w:id="1429" w:name="Tc_lLcWYEPX_UGY6yHr7DQeug_5_5"/>
      <w:bookmarkStart w:id="1430" w:name="Tc_iUcYMKNOFkKa8wyuXfDsgA_5_2"/>
      <w:bookmarkStart w:id="1431" w:name="Tc_fIpq5OI1kEeFwQ6hqn6tQQ_5_0"/>
      <w:bookmarkStart w:id="1432" w:name="Tc_TO1g2_AgIEG6EZCmFQuUMA_4_0"/>
      <w:bookmarkStart w:id="1433" w:name="Tc_jPLsi4w1KUuwtL1xMN10dw_3_2"/>
      <w:bookmarkStart w:id="1434" w:name="Tc_x4bf8Xb0fEWnuiiVscdJHA_2_14"/>
      <w:bookmarkStart w:id="1435" w:name="Tc_UBO5TBLiA0SXjDCGO-WiDQ_2_11"/>
      <w:bookmarkStart w:id="1436" w:name="Tc_P10vbAbW4UePv37_z2h0BA_2_8"/>
      <w:bookmarkStart w:id="1437" w:name="Tc_qo4b40kqVU2sZA4WHfQy0g_2_5"/>
      <w:bookmarkStart w:id="1438" w:name="Tc_xWV8qM6uh023Uz5s8Er1hw_2_2"/>
      <w:bookmarkStart w:id="1439" w:name="Tc_bSqLSrZmoUWtxisqqO9S7A_1_14"/>
      <w:bookmarkStart w:id="1440" w:name="Tc_x6TWW8xfYkyMzC5vKdcMLQ_1_8"/>
      <w:bookmarkStart w:id="1441" w:name="Tc_iZUQCj1v1kuIm7qe9X5nGw_1_5"/>
      <w:bookmarkStart w:id="1442" w:name="_4bb8fa03_b914_449a_8839_96b02a5ec19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p>
    <w:tbl>
      <w:tblPr>
        <w:tblW w:w="10200" w:type="dxa"/>
        <w:jc w:val="left"/>
        <w:tblInd w:w="0" w:type="dxa"/>
        <w:tblLayout w:type="fixed"/>
        <w:tblCellMar>
          <w:top w:w="0" w:type="dxa"/>
          <w:left w:w="0" w:type="dxa"/>
          <w:bottom w:w="0" w:type="dxa"/>
          <w:right w:w="0" w:type="dxa"/>
        </w:tblCellMar>
      </w:tblPr>
      <w:tblGrid>
        <w:gridCol w:w="3631"/>
        <w:gridCol w:w="109"/>
        <w:gridCol w:w="196"/>
        <w:gridCol w:w="691"/>
        <w:gridCol w:w="346"/>
        <w:gridCol w:w="262"/>
        <w:gridCol w:w="804"/>
        <w:gridCol w:w="346"/>
        <w:gridCol w:w="223"/>
        <w:gridCol w:w="753"/>
        <w:gridCol w:w="346"/>
        <w:gridCol w:w="380"/>
        <w:gridCol w:w="671"/>
        <w:gridCol w:w="346"/>
        <w:gridCol w:w="218"/>
        <w:gridCol w:w="878"/>
      </w:tblGrid>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24460" cy="175260"/>
                      <wp:effectExtent l="0" t="0" r="0" b="0"/>
                      <wp:wrapNone/>
                      <wp:docPr id="316" name="Frame3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38785" cy="175260"/>
                      <wp:effectExtent l="0" t="0" r="0" b="0"/>
                      <wp:wrapNone/>
                      <wp:docPr id="317" name="Frame3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66370" cy="175260"/>
                      <wp:effectExtent l="0" t="0" r="0" b="0"/>
                      <wp:wrapNone/>
                      <wp:docPr id="319" name="Frame318"/>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10540" cy="175260"/>
                      <wp:effectExtent l="0" t="0" r="0" b="0"/>
                      <wp:wrapNone/>
                      <wp:docPr id="320" name="Frame319"/>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1605" cy="175260"/>
                      <wp:effectExtent l="0" t="0" r="0" b="0"/>
                      <wp:wrapNone/>
                      <wp:docPr id="322" name="Frame32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78155" cy="175260"/>
                      <wp:effectExtent l="0" t="0" r="0" b="0"/>
                      <wp:wrapNone/>
                      <wp:docPr id="323" name="Frame322"/>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41300" cy="175260"/>
                      <wp:effectExtent l="0" t="0" r="0" b="0"/>
                      <wp:wrapNone/>
                      <wp:docPr id="325" name="Frame32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26085" cy="175260"/>
                      <wp:effectExtent l="0" t="0" r="0" b="0"/>
                      <wp:wrapNone/>
                      <wp:docPr id="326" name="Frame325"/>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8430" cy="175260"/>
                      <wp:effectExtent l="0" t="0" r="0" b="0"/>
                      <wp:wrapNone/>
                      <wp:docPr id="328" name="Frame327"/>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57530" cy="175260"/>
                      <wp:effectExtent l="0" t="0" r="0" b="0"/>
                      <wp:wrapNone/>
                      <wp:docPr id="329" name="Frame32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w:t>
            </w:r>
          </w:p>
        </w:tc>
        <w:tc>
          <w:tcPr>
            <w:tcW w:w="346" w:type="dxa"/>
            <w:tcBorders/>
            <w:vAlign w:val="center"/>
          </w:tcPr>
          <w:p>
            <w:pPr>
              <w:pStyle w:val="TableContents"/>
              <w:bidi w:val="0"/>
              <w:spacing w:before="0" w:after="0"/>
              <w:ind w:left="0" w:right="0" w:hanging="0"/>
              <w:jc w:val="left"/>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Unallocated</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&amp; 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Total </w:t>
            </w:r>
            <w:r>
              <w:rPr>
                <w:rFonts w:ascii="Times New Roman;Times;serif" w:hAnsi="Times New Roman;Times;serif"/>
                <w:sz w:val="12"/>
              </w:rPr>
              <w:t>(1)</w:t>
            </w:r>
          </w:p>
        </w:tc>
      </w:tr>
      <w:tr>
        <w:trPr/>
        <w:tc>
          <w:tcPr>
            <w:tcW w:w="3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460" w:type="dxa"/>
            <w:gridSpan w:val="14"/>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Fiscal Year 2023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Contract revenue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subcontractor services and other direct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236,603</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3,810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240,413</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Direct salaries and wages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54,377</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35,538</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89,915</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135,996</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43,771</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179,767</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indirect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104,644</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32,259</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4,359</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141,262</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EBITDA </w:t>
            </w:r>
            <w:r>
              <w:rPr>
                <w:rFonts w:ascii="Times New Roman;Times;serif" w:hAnsi="Times New Roman;Times;serif"/>
                <w:sz w:val="12"/>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32,103</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11,525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(3,193)</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40,435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9,407</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9,413</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15,176</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16,431</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Segment profit (loss) before income tax expense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16,921</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10,270</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(12,600)</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14,591</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(benefit)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4,250</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2,580</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(3,165)</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3,665</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12,671</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7,690</w:t>
            </w:r>
          </w:p>
        </w:tc>
        <w:tc>
          <w:tcPr>
            <w:tcW w:w="34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(9,435)</w:t>
            </w:r>
          </w:p>
        </w:tc>
        <w:tc>
          <w:tcPr>
            <w:tcW w:w="346"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10,926</w:t>
            </w:r>
          </w:p>
        </w:tc>
      </w:tr>
      <w:tr>
        <w:trPr/>
        <w:tc>
          <w:tcPr>
            <w:tcW w:w="36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Segment assets </w:t>
            </w:r>
            <w:r>
              <w:rPr>
                <w:rFonts w:ascii="Times New Roman;Times;serif" w:hAnsi="Times New Roman;Times;serif"/>
                <w:sz w:val="12"/>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345,745</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25,842</w:t>
            </w:r>
          </w:p>
        </w:tc>
        <w:tc>
          <w:tcPr>
            <w:tcW w:w="34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44,001</w:t>
            </w:r>
          </w:p>
        </w:tc>
        <w:tc>
          <w:tcPr>
            <w:tcW w:w="346"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415,588</w:t>
            </w:r>
          </w:p>
        </w:tc>
      </w:tr>
    </w:tbl>
    <w:tbl>
      <w:tblPr>
        <w:tblW w:w="4082" w:type="dxa"/>
        <w:jc w:val="left"/>
        <w:tblInd w:w="0" w:type="dxa"/>
        <w:tblLayout w:type="fixed"/>
        <w:tblCellMar>
          <w:top w:w="0" w:type="dxa"/>
          <w:left w:w="0" w:type="dxa"/>
          <w:bottom w:w="0" w:type="dxa"/>
          <w:right w:w="0" w:type="dxa"/>
        </w:tblCellMar>
      </w:tblPr>
      <w:tblGrid>
        <w:gridCol w:w="286"/>
        <w:gridCol w:w="379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37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Amounts may not add to the totals due to rounding.</w:t>
            </w:r>
          </w:p>
        </w:tc>
      </w:tr>
    </w:tbl>
    <w:tbl>
      <w:tblPr>
        <w:tblW w:w="8972" w:type="dxa"/>
        <w:jc w:val="left"/>
        <w:tblInd w:w="0" w:type="dxa"/>
        <w:tblLayout w:type="fixed"/>
        <w:tblCellMar>
          <w:top w:w="0" w:type="dxa"/>
          <w:left w:w="0" w:type="dxa"/>
          <w:bottom w:w="0" w:type="dxa"/>
          <w:right w:w="0" w:type="dxa"/>
        </w:tblCellMar>
      </w:tblPr>
      <w:tblGrid>
        <w:gridCol w:w="286"/>
        <w:gridCol w:w="868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86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18"/>
              </w:rPr>
              <w:t xml:space="preserve">EBITDA”, defined as earnings before interest, taxes, depreciation and amortization, is a non-GAAP financial measure. </w:t>
            </w:r>
          </w:p>
        </w:tc>
      </w:tr>
    </w:tbl>
    <w:tbl>
      <w:tblPr>
        <w:tblW w:w="4817" w:type="dxa"/>
        <w:jc w:val="left"/>
        <w:tblInd w:w="0" w:type="dxa"/>
        <w:tblLayout w:type="fixed"/>
        <w:tblCellMar>
          <w:top w:w="0" w:type="dxa"/>
          <w:left w:w="0" w:type="dxa"/>
          <w:bottom w:w="0" w:type="dxa"/>
          <w:right w:w="0" w:type="dxa"/>
        </w:tblCellMar>
      </w:tblPr>
      <w:tblGrid>
        <w:gridCol w:w="286"/>
        <w:gridCol w:w="453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45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Segment assets are presented net of intercompany receivables.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following tables provide information about disaggregated revenue by contract type, client type and geographical region:</w:t>
      </w:r>
    </w:p>
    <w:p>
      <w:pPr>
        <w:pStyle w:val="TextBody"/>
        <w:bidi w:val="0"/>
        <w:spacing w:before="0" w:after="0"/>
        <w:ind w:left="0" w:right="0" w:hanging="0"/>
        <w:jc w:val="left"/>
        <w:rPr/>
      </w:pPr>
      <w:r>
        <w:rPr/>
        <w:t>​</w:t>
      </w:r>
    </w:p>
    <w:tbl>
      <w:tblPr>
        <w:tblW w:w="5669" w:type="dxa"/>
        <w:jc w:val="left"/>
        <w:tblInd w:w="0" w:type="dxa"/>
        <w:tblLayout w:type="fixed"/>
        <w:tblCellMar>
          <w:top w:w="0" w:type="dxa"/>
          <w:left w:w="0" w:type="dxa"/>
          <w:bottom w:w="0" w:type="dxa"/>
          <w:right w:w="0" w:type="dxa"/>
        </w:tblCellMar>
      </w:tblPr>
      <w:tblGrid>
        <w:gridCol w:w="1471"/>
        <w:gridCol w:w="346"/>
        <w:gridCol w:w="196"/>
        <w:gridCol w:w="691"/>
        <w:gridCol w:w="346"/>
        <w:gridCol w:w="285"/>
        <w:gridCol w:w="1006"/>
        <w:gridCol w:w="34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934085" cy="175260"/>
                      <wp:effectExtent l="0" t="0" r="0" b="0"/>
                      <wp:wrapNone/>
                      <wp:docPr id="330" name="Frame32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4460" cy="175260"/>
                      <wp:effectExtent l="0" t="0" r="0" b="0"/>
                      <wp:wrapNone/>
                      <wp:docPr id="332" name="Frame3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38785" cy="175260"/>
                      <wp:effectExtent l="0" t="0" r="0" b="0"/>
                      <wp:wrapNone/>
                      <wp:docPr id="333" name="Frame3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80975" cy="175260"/>
                      <wp:effectExtent l="0" t="0" r="0" b="0"/>
                      <wp:wrapNone/>
                      <wp:docPr id="335" name="Frame33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38810" cy="175260"/>
                      <wp:effectExtent l="0" t="0" r="0" b="0"/>
                      <wp:wrapNone/>
                      <wp:docPr id="336" name="Frame33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24460" cy="175260"/>
                      <wp:effectExtent l="0" t="0" r="0" b="0"/>
                      <wp:wrapNone/>
                      <wp:docPr id="338" name="Frame3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9110" cy="175260"/>
                      <wp:effectExtent l="0" t="0" r="0" b="0"/>
                      <wp:wrapNone/>
                      <wp:docPr id="339" name="Frame33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49,898</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121,998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215,499</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241,734</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310,654</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317,820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576,051</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681,552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70,871</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77,900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227,497</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98,233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325,730</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277,683</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277,922</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576,051</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681,552</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Geography</w:t>
            </w:r>
            <w:r>
              <w:rPr>
                <w:rFonts w:ascii="Times New Roman;Times;serif" w:hAnsi="Times New Roman;Times;serif"/>
                <w:sz w:val="16"/>
              </w:rPr>
              <w:t xml:space="preserve">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576,051</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105,501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681,552</w:t>
            </w:r>
          </w:p>
        </w:tc>
      </w:tr>
    </w:tbl>
    <w:p>
      <w:pPr>
        <w:pStyle w:val="TextBody"/>
        <w:bidi w:val="0"/>
        <w:spacing w:before="0" w:after="0"/>
        <w:ind w:left="0" w:right="0" w:hanging="0"/>
        <w:jc w:val="left"/>
        <w:rPr/>
      </w:pPr>
      <w:r>
        <w:rPr/>
        <w:t> </w:t>
      </w:r>
    </w:p>
    <w:tbl>
      <w:tblPr>
        <w:tblW w:w="566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934085" cy="175260"/>
                      <wp:effectExtent l="0" t="0" r="0" b="0"/>
                      <wp:wrapNone/>
                      <wp:docPr id="340" name="Frame33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24460" cy="175260"/>
                      <wp:effectExtent l="0" t="0" r="0" b="0"/>
                      <wp:wrapNone/>
                      <wp:docPr id="342" name="Frame3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38785" cy="175260"/>
                      <wp:effectExtent l="0" t="0" r="0" b="0"/>
                      <wp:wrapNone/>
                      <wp:docPr id="343" name="Frame3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1295" cy="175260"/>
                      <wp:effectExtent l="0" t="0" r="0" b="0"/>
                      <wp:wrapNone/>
                      <wp:docPr id="345" name="Frame34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18490" cy="175260"/>
                      <wp:effectExtent l="0" t="0" r="0" b="0"/>
                      <wp:wrapNone/>
                      <wp:docPr id="346" name="Frame34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24460" cy="175260"/>
                      <wp:effectExtent l="0" t="0" r="0" b="0"/>
                      <wp:wrapNone/>
                      <wp:docPr id="348"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99110" cy="175260"/>
                      <wp:effectExtent l="0" t="0" r="0" b="0"/>
                      <wp:wrapNone/>
                      <wp:docPr id="349" name="Frame34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34,381</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102,312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205,117</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224,793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233,811</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238,693</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473,309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565,798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34,072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41,620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182,079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266,774</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257,158</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257,404</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473,309</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565,798</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Geography</w:t>
            </w:r>
            <w:r>
              <w:rPr>
                <w:rFonts w:ascii="Times New Roman;Times;serif" w:hAnsi="Times New Roman;Times;serif"/>
                <w:sz w:val="16"/>
              </w:rPr>
              <w:t xml:space="preserve">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473,309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565,798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pPr>
      <w:bookmarkStart w:id="1443" w:name="Tc_CC-y1XUmdUG6_cMMQM1jRg_14_5"/>
      <w:bookmarkStart w:id="1444" w:name="Tc_4OKzpBIVnEOi_rWVuOdwgw_14_2"/>
      <w:bookmarkStart w:id="1445" w:name="Tc_UZ0UXOxM40qMAb725Gl9rQ_13_0"/>
      <w:bookmarkStart w:id="1446" w:name="Tc_VsWgpwzyZkW5HA7jBxPViQ_12_0"/>
      <w:bookmarkStart w:id="1447" w:name="Tc_GyifCFkdC0CYyijpB6C7ng_11_0"/>
      <w:bookmarkStart w:id="1448" w:name="Tc_vPpRYNzcI0em71jhdjTCXA_10_0"/>
      <w:bookmarkStart w:id="1449" w:name="Tc_S__eczL04EqsVv_v6LwlYA_9_0"/>
      <w:bookmarkStart w:id="1450" w:name="Tc_Hr6fyyn03E6-icF72Co2Dw_8_0"/>
      <w:bookmarkStart w:id="1451" w:name="Tc_LahCdvQEtk21uPvZzihMZA_7_0"/>
      <w:bookmarkStart w:id="1452" w:name="Tc_YMgWlfY_Nkut-FbTbFiwYA_6_0"/>
      <w:bookmarkStart w:id="1453" w:name="Tc_rRe5BB_a_kG-cdAPQ5uVjg_5_6"/>
      <w:bookmarkStart w:id="1454" w:name="Tc_dv-DHHkCgUqjyG6NTs8d3w_5_3"/>
      <w:bookmarkStart w:id="1455" w:name="Tc_XFzkvyPWvkCh6tr4mlAR3g_5_0"/>
      <w:bookmarkStart w:id="1456" w:name="Tc_JND3Ny1yIkmRTi2-jwKE2A_4_5"/>
      <w:bookmarkStart w:id="1457" w:name="Tc_Q0LHIqqeVEmFpUpIwj450A_4_2"/>
      <w:bookmarkStart w:id="1458" w:name="Tc_nOaDELoZ8kCFZo41xRD10Q_4_0"/>
      <w:bookmarkStart w:id="1459" w:name="Tc_kNUo8wPVCkSKXpQleGo5Xw_3_0"/>
      <w:bookmarkStart w:id="1460" w:name="Tc_tZmJ461o6Uq0FitlLR67Ug_2_2"/>
      <w:bookmarkStart w:id="1461" w:name="Tc_9IUKMkzQJUe2HF818KveNg_1_5"/>
      <w:bookmarkStart w:id="1462" w:name="Tc_03GvvKVEs0SiGEwnXmEm2g_1_2"/>
      <w:bookmarkStart w:id="1463" w:name="_1b0d9f99_f0b5_4d01_b162_5cc1e48abf5e"/>
      <w:bookmarkStart w:id="1464" w:name="Tc_B8MQXPxSNEK-2t5rN6y5FA_17_8"/>
      <w:bookmarkStart w:id="1465" w:name="Tc_QXTJEyI9wkqqR0OPKryRBQ_17_5"/>
      <w:bookmarkStart w:id="1466" w:name="Tc_xKW9cYX8QEul5-LSPLOZmA_17_2"/>
      <w:bookmarkStart w:id="1467" w:name="Tc_MCim2_OXOUul2-0h5J6rcQ_17_0"/>
      <w:bookmarkStart w:id="1468" w:name="Tc_AdDWTrkVckKeTO2qMzv6ug_16_0"/>
      <w:bookmarkStart w:id="1469" w:name="Tc_hB6LHVF_6EOtI_LocRpfiw_14_8"/>
      <w:bookmarkStart w:id="1470" w:name="Tc_VZOzHPrImUmI410H1WStEA_14_5"/>
      <w:bookmarkStart w:id="1471" w:name="Tc_QRiQ8ZykFk20DgvrL1FG3Q_14_2"/>
      <w:bookmarkStart w:id="1472" w:name="Tc_RMIVEa9rIkG2UN7uV58UQg_14_0"/>
      <w:bookmarkStart w:id="1473" w:name="Tc_ES1VklMuaEqEHcIcDHcuiA_13_0"/>
      <w:bookmarkStart w:id="1474" w:name="Tc_2V_uhWbX0UWUGCy5gQLStg_12_0"/>
      <w:bookmarkStart w:id="1475" w:name="Tc_oYJG4jIGfkCX_fAlOBnGMQ_11_8"/>
      <w:bookmarkStart w:id="1476" w:name="Tc_4RZJElamFEq5yww200agNQ_11_5"/>
      <w:bookmarkStart w:id="1477" w:name="Tc_iFK8mylp4UytlodZ1X0NhA_11_2"/>
      <w:bookmarkStart w:id="1478" w:name="Tc_u8NN3376FEGa5AjDPOk0Qg_11_0"/>
      <w:bookmarkStart w:id="1479" w:name="Tc_eVjbahyUZUerNlRM1Xc6xA_10_0"/>
      <w:bookmarkStart w:id="1480" w:name="Tc_X5pZs9oLiUaVKT_rLiDgFw_8_8"/>
      <w:bookmarkStart w:id="1481" w:name="Tc_iZVUzgoUm0O9DNfWq6pE0g_8_5"/>
      <w:bookmarkStart w:id="1482" w:name="Tc_DquMwOQk1kCtod5Zb3937Q_8_2"/>
      <w:bookmarkStart w:id="1483" w:name="Tc__4vpFYPm00KaEbXpF4zdOA_8_0"/>
      <w:bookmarkStart w:id="1484" w:name="Tc_5J3uPYi4BUej81jHnwWSBw_7_0"/>
      <w:bookmarkStart w:id="1485" w:name="Tc_APxiZ5KkEkui34iLmrm8Iw_6_0"/>
      <w:bookmarkStart w:id="1486" w:name="Tc_lyyk43qqlU-oVK0KIPTXEQ_5_8"/>
      <w:bookmarkStart w:id="1487" w:name="Tc_QpsJzVX2g065KXBGpvqP3Q_5_5"/>
      <w:bookmarkStart w:id="1488" w:name="Tc_0gi9skCtSUS3MFnfS5w7AQ_5_2"/>
      <w:bookmarkStart w:id="1489" w:name="Tc_0TxONeS7UkCYBAm7-jL3dw_5_0"/>
      <w:bookmarkStart w:id="1490" w:name="Tc_CP7Zn6IUF0mlOEV16hdZ-A_4_0"/>
      <w:bookmarkStart w:id="1491" w:name="Tc_ihbOgy-bP0G-26IFdyigHw_3_2"/>
      <w:bookmarkStart w:id="1492" w:name="Tc_letnY4-hR0uxF5izEy8GFw_2_8"/>
      <w:bookmarkStart w:id="1493" w:name="Tc_ll4Iy1lfTUO5NRr-Z-Saig_2_5"/>
      <w:bookmarkStart w:id="1494" w:name="Tc_rvM40VoGnUe_OEIwm_TB2A_2_2"/>
      <w:bookmarkStart w:id="1495" w:name="Tc_oz8o8yL68USR4QCxLxXphw_1_2"/>
      <w:bookmarkStart w:id="1496" w:name="_1dbd64b9_3e1b_4bd6_9673_61e474baaf89"/>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r>
        <w:rPr/>
        <w:t> </w:t>
      </w:r>
    </w:p>
    <w:tbl>
      <w:tblPr>
        <w:tblW w:w="5669" w:type="dxa"/>
        <w:jc w:val="left"/>
        <w:tblInd w:w="0" w:type="dxa"/>
        <w:tblLayout w:type="fixed"/>
        <w:tblCellMar>
          <w:top w:w="0" w:type="dxa"/>
          <w:left w:w="0" w:type="dxa"/>
          <w:bottom w:w="0" w:type="dxa"/>
          <w:right w:w="0" w:type="dxa"/>
        </w:tblCellMar>
      </w:tblPr>
      <w:tblGrid>
        <w:gridCol w:w="1471"/>
        <w:gridCol w:w="346"/>
        <w:gridCol w:w="196"/>
        <w:gridCol w:w="691"/>
        <w:gridCol w:w="346"/>
        <w:gridCol w:w="317"/>
        <w:gridCol w:w="974"/>
        <w:gridCol w:w="346"/>
        <w:gridCol w:w="196"/>
        <w:gridCol w:w="7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934085" cy="175260"/>
                      <wp:effectExtent l="0" t="0" r="0" b="0"/>
                      <wp:wrapNone/>
                      <wp:docPr id="350" name="Frame34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24460" cy="175260"/>
                      <wp:effectExtent l="0" t="0" r="0" b="0"/>
                      <wp:wrapNone/>
                      <wp:docPr id="352" name="Frame3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38785" cy="175260"/>
                      <wp:effectExtent l="0" t="0" r="0" b="0"/>
                      <wp:wrapNone/>
                      <wp:docPr id="353" name="Frame3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1295" cy="175260"/>
                      <wp:effectExtent l="0" t="0" r="0" b="0"/>
                      <wp:wrapNone/>
                      <wp:docPr id="355" name="Frame354"/>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18490" cy="175260"/>
                      <wp:effectExtent l="0" t="0" r="0" b="0"/>
                      <wp:wrapNone/>
                      <wp:docPr id="356" name="Frame35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4460" cy="175260"/>
                      <wp:effectExtent l="0" t="0" r="0" b="0"/>
                      <wp:wrapNone/>
                      <wp:docPr id="358" name="Frame3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99110" cy="175260"/>
                      <wp:effectExtent l="0" t="0" r="0" b="0"/>
                      <wp:wrapNone/>
                      <wp:docPr id="359" name="Frame35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Energy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Engineering and</w:t>
              <w:br/>
              <w:t>Consulting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2"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Time-and-materials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35,582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99,112</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Unit-based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199,040</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214,793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price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192,354</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196,190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Client Type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31,162</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37,028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159,935</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236,907</w:t>
            </w:r>
          </w:p>
        </w:tc>
      </w:tr>
      <w:tr>
        <w:trPr/>
        <w:tc>
          <w:tcPr>
            <w:tcW w:w="147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Utilities </w:t>
            </w: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235,879</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236,160</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510,095</w:t>
            </w:r>
          </w:p>
        </w:tc>
      </w:tr>
      <w:tr>
        <w:trPr/>
        <w:tc>
          <w:tcPr>
            <w:tcW w:w="14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 xml:space="preserve">Geography </w:t>
            </w:r>
            <w:r>
              <w:rPr>
                <w:rFonts w:ascii="Times New Roman;Times;serif" w:hAnsi="Times New Roman;Times;serif"/>
                <w:sz w:val="12"/>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Domestic</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426,976</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83,119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510,095</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may not add to the totals due to rounding.</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the portion of revenue related to small business programs paid by the end user/customer.</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from the Company’s foreign operations were immaterial for fiscal years 2025, 2024, and 2023.</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sets forth the assets that are included in Unallocated Corporate as of January 2, 2026 and December 27, 2024.</w:t>
      </w:r>
    </w:p>
    <w:p>
      <w:pPr>
        <w:pStyle w:val="TextBody"/>
        <w:bidi w:val="0"/>
        <w:spacing w:before="0" w:after="0"/>
        <w:ind w:left="0" w:right="0" w:hanging="0"/>
        <w:jc w:val="left"/>
        <w:rPr/>
      </w:pPr>
      <w:r>
        <w:rPr/>
        <w:t>​</w:t>
      </w:r>
    </w:p>
    <w:tbl>
      <w:tblPr>
        <w:tblW w:w="6412" w:type="dxa"/>
        <w:jc w:val="left"/>
        <w:tblInd w:w="0" w:type="dxa"/>
        <w:tblLayout w:type="fixed"/>
        <w:tblCellMar>
          <w:top w:w="0" w:type="dxa"/>
          <w:left w:w="0" w:type="dxa"/>
          <w:bottom w:w="0" w:type="dxa"/>
          <w:right w:w="0" w:type="dxa"/>
        </w:tblCellMar>
      </w:tblPr>
      <w:tblGrid>
        <w:gridCol w:w="3736"/>
        <w:gridCol w:w="346"/>
        <w:gridCol w:w="211"/>
        <w:gridCol w:w="781"/>
        <w:gridCol w:w="346"/>
        <w:gridCol w:w="211"/>
        <w:gridCol w:w="78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372360" cy="175260"/>
                      <wp:effectExtent l="0" t="0" r="0" b="0"/>
                      <wp:wrapNone/>
                      <wp:docPr id="360" name="Frame35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95935" cy="175260"/>
                      <wp:effectExtent l="0" t="0" r="0" b="0"/>
                      <wp:wrapNone/>
                      <wp:docPr id="363" name="Frame3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6" name="Frame3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74,158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leasehold improvements,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13,346</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86,777</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Geographical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Substantially all of the Company’s consolidated revenue was derived from its operations in the 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operates through a network of offices spread across 22 U.S. states, the District of Columbia, the Commonwealth of Puerto Rico, and Canada. Revenues from the Company’s Puerto Rican and Canadian operations were not material for fiscal years 2025,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Customer Concentration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fiscal years 2025, 2024, and 2023, the Company’s top 10 customers accounted for 50.7%, 51.3%, and 52.7%, respectively, of the Company’s consolidated contract revenue. For fiscal year 2025, the Company had individual customers that accounted for more than 10% of its consolidated contract revenue; for fiscal year 2025, the Company derived 23.2% of its consolidated contract revenue from two customers, Clark County School District and Southern</w:t>
      </w:r>
      <w:r>
        <w:rPr>
          <w:rFonts w:ascii="Times New Roman;Times;serif" w:hAnsi="Times New Roman;Times;serif"/>
          <w:sz w:val="20"/>
          <w:shd w:fill="FFFFFF" w:val="clear"/>
        </w:rPr>
        <w:t xml:space="preserve"> </w:t>
      </w:r>
      <w:r>
        <w:rPr>
          <w:rFonts w:ascii="Times New Roman;Times;serif" w:hAnsi="Times New Roman;Times;serif"/>
          <w:sz w:val="20"/>
        </w:rPr>
        <w:t>California Edison.</w:t>
      </w:r>
      <w:r>
        <w:rPr>
          <w:rFonts w:ascii="Times New Roman;Times;serif" w:hAnsi="Times New Roman;Times;serif"/>
          <w:sz w:val="20"/>
          <w:shd w:fill="FFFFFF" w:val="clear"/>
        </w:rPr>
        <w:t> </w:t>
      </w:r>
      <w:r>
        <w:rPr>
          <w:rFonts w:ascii="Times New Roman;Times;serif" w:hAnsi="Times New Roman;Times;serif"/>
          <w:sz w:val="20"/>
        </w:rPr>
        <w:t xml:space="preserve">For fiscal years 2024 and 2023, </w:t>
      </w:r>
      <w:r>
        <w:rPr>
          <w:rFonts w:ascii="Times New Roman;Times;serif" w:hAnsi="Times New Roman;Times;serif"/>
          <w:sz w:val="20"/>
          <w:shd w:fill="FFFFFF" w:val="clear"/>
        </w:rPr>
        <w:t>the Company had no individual customers that accounted for more than 10% of its consolidated contract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 segment basis, the Company also had individual customers that accounted for more than 10% of its segment contract revenues. For fiscal year 2025, the Company derived 27.4% of its Energy segment revenues from two customers, Clark County School District and Southern Edison, and had no individual customers accounted for more than 10% of its Engineering and Consulting segment revenues. For fiscal year 2024, the Company derived 10.7% of its Energy segment revenues from one customer, Southern California Edison, and had no individual customers accounted for more than 10% of its Engineering and Consulting segment revenues. For fiscal year 2023, the Company derived 22.7% of its Energy segment revenues from two customers, Los Angeles Department of Water and Power (“LADWP”)</w:t>
      </w:r>
      <w:r>
        <w:rPr>
          <w:rFonts w:ascii="Times New Roman;Times;serif" w:hAnsi="Times New Roman;Times;serif"/>
          <w:sz w:val="20"/>
          <w:shd w:fill="FFFFFF" w:val="clear"/>
        </w:rPr>
        <w:t xml:space="preserve"> </w:t>
      </w:r>
      <w:r>
        <w:rPr>
          <w:rFonts w:ascii="Times New Roman;Times;serif" w:hAnsi="Times New Roman;Times;serif"/>
          <w:sz w:val="20"/>
        </w:rPr>
        <w:t>and the Dormitory Authority State of New York (“DASNY”), and had no individual customers accounted for more than 10% of its Engineering and Consulting segment revenues.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largest clients are based in California, New York, and Nevada. In fiscal years 2025, 2024, and 2023, services provided to clients in California accounted for 43.5%, 43.9%, and 45.1%, respectively, of the Company’s consolidated contract revenue, services provided to clients in New York accounted for 19.0%, 23.6%, and 24.7%, respectively, of the Company’s consolidated contract revenue, and services provided to clients in Nevada accounted for 11.8%, 8.2%, and 0.3%, respectively, of the Company’s consolidated contract revenue.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SHAREHOLDERS’ EQUITY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Stock Incentive Plans</w:t>
      </w:r>
    </w:p>
    <w:p>
      <w:pPr>
        <w:pStyle w:val="TextBody"/>
        <w:bidi w:val="0"/>
        <w:spacing w:before="0" w:after="240"/>
        <w:ind w:left="0" w:right="0" w:firstLine="547"/>
        <w:jc w:val="left"/>
        <w:rPr>
          <w:rFonts w:ascii="Times New Roman;Times;serif" w:hAnsi="Times New Roman;Times;serif"/>
          <w:i/>
          <w:sz w:val="20"/>
        </w:rPr>
      </w:pPr>
      <w:r>
        <w:rPr>
          <w:rFonts w:ascii="Times New Roman;Times;serif" w:hAnsi="Times New Roman;Times;serif"/>
          <w:i/>
          <w:sz w:val="20"/>
        </w:rPr>
        <w:t>2006 Stock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June 2006, the Company’s board of directors adopted the 2006 Stock Incentive Plan (“2006 Plan”) and it received stockholder approval. The Company re-submitted the 2006 Plan to its stockholders for post-IPO approval at the 2007 annual meeting of the stockholders and it was approved. After the Company’s shareholders approved the 2008 Plan (as defined below) in June 2008, no additional awards were granted under the 2006 Plan. The 2006 Plan had 300,000 shares of common stock reserved for issuance to the Company’s directors, executives, officers, employees, consultants and advisors. Approximately 182,735 shares that were available for award grant purposes under the 2006 Plan became available for grant under the 2008 Plan following shareholder approval of the 2008 Plan. Options granted under the 2006 Plan could be “non-statutory stock options” which expired no more than 10 years from the date of grant or “incentive stock options” as defined in Section 422 of the Internal Revenue Code of 1986, as amended (the “Internal Revenue Code”). Upon exercise of non-statutory stock options, the Company is generally entitled to a tax deduction on the exercise of the option for an amount equal to the excess over the exercise price of the fair market value of the shares at the date of exercise. The Company is generally not entitled to any tax deduction on the exercise of an incentive stock option. The 2006 Plan terminated in June 2016 and, as of January 2, 2026, there were no outstanding stock options under the 2006 Plan.</w:t>
      </w:r>
    </w:p>
    <w:p>
      <w:pPr>
        <w:pStyle w:val="TextBody"/>
        <w:bidi w:val="0"/>
        <w:spacing w:before="0" w:after="240"/>
        <w:ind w:left="0" w:right="0" w:firstLine="547"/>
        <w:jc w:val="left"/>
        <w:rPr>
          <w:rFonts w:ascii="Times New Roman;Times;serif" w:hAnsi="Times New Roman;Times;serif"/>
          <w:i/>
          <w:sz w:val="20"/>
        </w:rPr>
      </w:pPr>
      <w:r>
        <w:rPr>
          <w:rFonts w:ascii="Times New Roman;Times;serif" w:hAnsi="Times New Roman;Times;serif"/>
          <w:i/>
          <w:sz w:val="20"/>
        </w:rPr>
        <w:t>Amended and Restated 2008 Performance Incentive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2008, the Company’s board of directors adopted the 2008 Performance Incentive Plan (“2008 Plan”), and it received stockholder approval at the 2008 annual meeting of the stockholders in June 2008. The 2008 Plan was originally set to terminate on April 17, 2027 but received extensions through several annual meetings of the stockholders, the latest of which was the 2025 annual meeting of the stockholders. The 2008 Plan is currently scheduled to expire on April 13, 2035.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2008 Plan initially had 450,000 shares of common stock reserved for issuance (not counting any shares originally available under the 2006 Plan that “poured over”) and, through several annual meetings of the stockholders, stockholders approved share increases to the 2008 Plan, the latest of which was the 2025 annual meeting of the stockholders approving a 150,000 share increases. The maximum number of shares of the Company’s common stock that may be issued or transferred pursuant to awards under the 2008 Plan can also be increased by any shares subject to stock options granted under the 2006 Plan and outstanding as of June 9, 2008 which expire, or for any reason are cancelled or terminated, after June 9, 2008 without being exercised. As of January 2, 2026, the 2008 Plan had 938,000 shares of common stock reserved for issuance. Awards authorized by the 2008 Plan include stock options, stock appreciation rights, restricted stock, stock bonuses, stock units, performance stock, and other share-based awards. No participant may be granted an option to purchase more than 300,000 shares in any fiscal year. Options generally may not be granted with exercise prices less than fair market value at the date of grant, with vesting provisions and contractual terms determined by the compensation committee of the board of directors on a grant-by-grant basis, subject to the minimum vesting provisions contained in the 2008 Plan. Options granted under the 2008 Plan may be “nonqualified stock options” or “incentive stock options” as defined in Section 422 of the Internal Revenue Code. The maximum term of each option shall be 10 years. Upon exercise of nonqualified stock options, the Company is generally entitled to a tax deduction on the exercise of the option for an amount equal to the excess over the exercise price of the fair market value of the shares at the date of exercise. The Company is generally not entitled to any tax deduction on the exercise of an incentive stock option. For awards other than stock options, the Company is generally entitled to a tax deduction at the time the award holder recognizes income with respect to the award equal to the amount of compensation income recognized by the award holder. Options and other awards provide for accelerated vesting if there is a change in control (as defined in the 2008 Plan) and the outstanding awards are not substituted or assumed in connection with the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Through January 2, 2026, outstanding awards granted, net of forfeitures and exercises, under the 2008 Plan consisted of 24,000 shares of incentive stock options, 376,000 shares of nonqualified stock options, 98,000 shares of restricted stock awards, 123,000 shares of restricted stock units, and 184,000 shares of performance-based restricted stock units.</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547"/>
        <w:jc w:val="left"/>
        <w:rPr>
          <w:rFonts w:ascii="Times New Roman;Times;serif" w:hAnsi="Times New Roman;Times;serif"/>
          <w:i/>
          <w:sz w:val="20"/>
        </w:rPr>
      </w:pPr>
      <w:r>
        <w:rPr>
          <w:rFonts w:ascii="Times New Roman;Times;serif" w:hAnsi="Times New Roman;Times;serif"/>
          <w:i/>
          <w:sz w:val="20"/>
        </w:rPr>
        <w:t>Amended and Restated 2006 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adopted its Amended and Restated 2006 Employee Stock Purchase Plan (“ESPP”) to allow eligible employees the right to purchase shares of common stock, at semi-annual intervals, with their accumulated payroll deductions. The ESPP received stockholder approval in June 2006. The Company re-submitted the ESPP to its stockholders for post-IPO approval at the 2007 annual stockholders’ meeting where approval was obtained. The ESPP initially had 300,000 shares of common stock reserved for issuance. At the 2017 and 2023 annual meeting of the stockholders, the stockholders approved an 825,000 and 800,000 share increase to the ESPP, respectively. A total of 1,925,000 shares of the Company’s common stock have been reserved for issuance under the ESPP.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ESPP has semi-annual periods beginning on each January 1 and ending on each June 30 and beginning on each July 1 and ending on each December 31. The first offering period commenced on February 10, 2007 and ended on June 30, 2007. Participants make contributions under the ESPP only by means of payroll deductions each payroll period. The rate of payroll contributions elected by a Participant may not be less than one percent (1%) nor more than ten percent (10%) of the Participant’s Earnings for each payroll period, and only whole percentages may be elected. The accumulated contributions are applied to the purchase of shares. Shares are purchased under the ESPP on, or as soon as practicable after, the last day of the offering period. The purchase price per share equals 85% of the fair market value of a share on the lesser price of the share on the first day or last day of the offering period. The Company’s Amended and Restated 2006 Employee Stock Purchase Plan is a compensatory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there were 702,000 shares available for issuance under the ESPP.</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compensation expense that has been recognized for stock options, restricted stock awards (“RSA”), restricted stock units (“RSU”), performance-based restricted stock units (“PBRSU”), and ESPP issued under these plans was $11.8 million, $7.4 million, and $5.3 million for fiscal years 2025, 2024, and 2023,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unrecognized compensation expense related to nonvested stock options for fiscal years 2025, 2024, and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total unrecognized compensation expense related to RSAs was $2.1 million, $2.3 million, and $2.5 million, for fiscal years 2025, 2024, and 2023, respectively. That expense is expected to be recognized over a weighted-average period of 1.0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total unrecognized compensation expense related to RSUs was $3.1 million and $1.4 million for fiscal years 2025 and 2024, respectively. The Company did not have any unrecognized compensation related to RSUs for fiscal year 2023. That expense is expected to be recognized over a weighted-average period of 1.8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total unrecognized compensation expense related to PBRSUs was $10.2 million, $7.0 million, and $5.2 million for the fiscal years 2025, 2024, and 2023, respectively. That expense is expected to be recognized over a weighted-average period of 1.0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options granted that were immediately vested during the fiscal years 2025, 2024, or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1497" w:name="Tc_T-8ekxQv0Eykeat3jTUNhg_13_4"/>
      <w:bookmarkStart w:id="1498" w:name="Tc_JIT3FXl7D0OzJbNIj2mjrg_13_0"/>
      <w:bookmarkStart w:id="1499" w:name="Tc_jq3QcGqd30e5lkR0qIsRtw_12_4"/>
      <w:bookmarkStart w:id="1500" w:name="Tc_ZA0yqlZQd0S4cp6hUjfbQg_12_0"/>
      <w:bookmarkStart w:id="1501" w:name="Tc_K9uvG-POdEC3pneqZYE37Q_11_4"/>
      <w:bookmarkStart w:id="1502" w:name="Tc_zomQufDzH0GI1Gjw8fNGeQ_11_0"/>
      <w:bookmarkStart w:id="1503" w:name="Tc_WlFOM8R210ORe4T6hBupQw_10_7"/>
      <w:bookmarkStart w:id="1504" w:name="Tc_SjFLMh-mPEuYGwFFniFjIQ_10_0"/>
      <w:bookmarkStart w:id="1505" w:name="Tc_BLPklwGvfEqr2KK_C5nI_Q_9_7"/>
      <w:bookmarkStart w:id="1506" w:name="Tc_pgUpUB5IV0-PdDucAH8C6g_9_0"/>
      <w:bookmarkStart w:id="1507" w:name="Tc_TuTfFSalFkymem_DJN7P_Q_8_7"/>
      <w:bookmarkStart w:id="1508" w:name="Tc_jJ8hzobmbkqvR86hKTQfIg_8_5"/>
      <w:bookmarkStart w:id="1509" w:name="Tc_plURc6ifcUmx5ziTkaswmg_8_2"/>
      <w:bookmarkStart w:id="1510" w:name="Tc_I1AwIzThkkihSHnEUpDMkg_8_0"/>
      <w:bookmarkStart w:id="1511" w:name="Tc_ijMM_428-UCt4VAeHwMu6g_7_4"/>
      <w:bookmarkStart w:id="1512" w:name="Tc_1SvLlS7hrUSDrInlF1YmcA_7_0"/>
      <w:bookmarkStart w:id="1513" w:name="Tc_smnN3ftuR0iU4KdiPHTSFw_6_7"/>
      <w:bookmarkStart w:id="1514" w:name="Tc_NOQx5lZzv02YxNMAEQTumA_6_2"/>
      <w:bookmarkStart w:id="1515" w:name="Tc_sY9svQvWC0arW7UIbeXeiQ_5_7"/>
      <w:bookmarkStart w:id="1516" w:name="Tc_cr9AGSsesUKZt6SYPDUTyA_5_4"/>
      <w:bookmarkStart w:id="1517" w:name="Tc_x66lGbLwSk6UhH2Ap392WA_5_2"/>
      <w:bookmarkStart w:id="1518" w:name="Tc_wMxwerHZ7EmCPJs-JQNipw_4_7"/>
      <w:bookmarkStart w:id="1519" w:name="Tc_28kE--bSn0St70U1JsQ_iQ_4_4"/>
      <w:bookmarkStart w:id="1520" w:name="Tc_9js_8QSfZUiXWZmO93fTjw_3_7"/>
      <w:bookmarkStart w:id="1521" w:name="Tc_KwzOkCHVp0WTYcikAY-lew_3_4"/>
      <w:bookmarkStart w:id="1522" w:name="Tc_5po9ukLOskKthEGLjkl0mg_2_7"/>
      <w:bookmarkStart w:id="1523" w:name="Tc_LLSpTxTF2UWPLAF6BFE8lg_2_4"/>
      <w:bookmarkStart w:id="1524" w:name="Tc_gfZLoSHBsE-UfxebIgLjbw_1_7"/>
      <w:bookmarkStart w:id="1525" w:name="_c3432d50_7741_4a5e_8b05_bd40a094bf89"/>
      <w:bookmarkStart w:id="1526" w:name="Tc_kP_MYRtOO0Wx-y_BKZhksQ_13_4"/>
      <w:bookmarkStart w:id="1527" w:name="Tc_QqK0Fb2m0UaBf521QG4mzQ_13_0"/>
      <w:bookmarkStart w:id="1528" w:name="Tc_PuTEWWCDwU-ys4aqbUP9Dw_12_4"/>
      <w:bookmarkStart w:id="1529" w:name="Tc_W0jfmVjzMECRbKwR-PpSAA_12_0"/>
      <w:bookmarkStart w:id="1530" w:name="Tc_UujkXmeEEE28Ii0-ayuUCw_11_4"/>
      <w:bookmarkStart w:id="1531" w:name="Tc_u5gsn9b5UUCAWc7qAW0HDA_11_0"/>
      <w:bookmarkStart w:id="1532" w:name="Tc_VtOSMNf20k63ICb7WdkPJw_10_7"/>
      <w:bookmarkStart w:id="1533" w:name="Tc_GL6f5y-zsE2rNYfJWawiXg_10_0"/>
      <w:bookmarkStart w:id="1534" w:name="Tc_OGCNy7E8MEOzR5KMREz6zA_9_7"/>
      <w:bookmarkStart w:id="1535" w:name="Tc_w8PSc9HI7kuX9WPqQC2fhw_9_0"/>
      <w:bookmarkStart w:id="1536" w:name="Tc_x4UEVzglv0qr8HShywK-qA_8_7"/>
      <w:bookmarkStart w:id="1537" w:name="Tc_rFuDqy7q9E2R5VaahSYOsA_8_5"/>
      <w:bookmarkStart w:id="1538" w:name="Tc_23l-Up_lyUG_aIrfjWYvTA_8_2"/>
      <w:bookmarkStart w:id="1539" w:name="Tc_wGnPIK92u063ECj35GJRaQ_8_0"/>
      <w:bookmarkStart w:id="1540" w:name="Tc_XzyIirSscEyhh8YrG5wVjQ_7_4"/>
      <w:bookmarkStart w:id="1541" w:name="Tc_clqEEi-fqki3iJeVCT64iQ_7_0"/>
      <w:bookmarkStart w:id="1542" w:name="Tc_E6A7Az4-ZU-N1Rcm14-S2g_6_7"/>
      <w:bookmarkStart w:id="1543" w:name="Tc_YBv28UFlkkSt3CcNwxim6A_6_2"/>
      <w:bookmarkStart w:id="1544" w:name="Tc_wYTHakxQgEe5Z4KeyOLiBw_5_7"/>
      <w:bookmarkStart w:id="1545" w:name="Tc_9VcfOisa-02UPEmUL-c4FA_5_4"/>
      <w:bookmarkStart w:id="1546" w:name="Tc_AHYj_Pp8Mka0nfExQbD37w_5_2"/>
      <w:bookmarkStart w:id="1547" w:name="Tc_FfxYKko2Q0mZUa2XvrrMRA_4_7"/>
      <w:bookmarkStart w:id="1548" w:name="Tc_sAsUybnh1kiT9w798AgSkA_4_4"/>
      <w:bookmarkStart w:id="1549" w:name="Tc_y1BCIF7sNEej4_9uFz3mBw_3_7"/>
      <w:bookmarkStart w:id="1550" w:name="Tc_Vk2NnOmozU-kC3668NbNGg_3_4"/>
      <w:bookmarkStart w:id="1551" w:name="Tc_fBqPqPRPTk-k-iH_bele9w_2_7"/>
      <w:bookmarkStart w:id="1552" w:name="Tc_zf7Q7siWEkm3w1tF4jjdYA_2_4"/>
      <w:bookmarkStart w:id="1553" w:name="Tc_PuXo8a9Lh0SpQ2fFlXojhA_1_7"/>
      <w:bookmarkStart w:id="1554" w:name="_2a4cccb6_259e_4630_8320_094db83e13d9"/>
      <w:bookmarkStart w:id="1555" w:name="Tc_fNoN4Vwi50WdkE3ALGRC3w_13_4"/>
      <w:bookmarkStart w:id="1556" w:name="Tc_aak1inpTvEKRlxWJaq4QRQ_13_0"/>
      <w:bookmarkStart w:id="1557" w:name="Tc_LgngFNZx-k6Eazo9KUBfVw_12_4"/>
      <w:bookmarkStart w:id="1558" w:name="Tc_dLJulfiyH0m668mKp6dY8g_12_0"/>
      <w:bookmarkStart w:id="1559" w:name="Tc_JzWMf0srR0yM-_KeLxatSA_11_4"/>
      <w:bookmarkStart w:id="1560" w:name="Tc_fYv-gU-KvUGQoYxWe2AKEQ_11_0"/>
      <w:bookmarkStart w:id="1561" w:name="Tc_ixZRjBKRMUiswacGwq_xNw_10_7"/>
      <w:bookmarkStart w:id="1562" w:name="Tc_pE2q6MVbPEGcrFm1Ho1OcQ_10_5"/>
      <w:bookmarkStart w:id="1563" w:name="Tc_Sa3G2JRxJ0aJQZfd3mzM9A_10_2"/>
      <w:bookmarkStart w:id="1564" w:name="Tc_YH_3g759Tk6FDp0cP8_j6Q_10_0"/>
      <w:bookmarkStart w:id="1565" w:name="Tc_p-8KO8cKEkaAAyoRBD3tkw_9_7"/>
      <w:bookmarkStart w:id="1566" w:name="Tc_vXLMi0kcCUK3SqRUuo_hQw_9_0"/>
      <w:bookmarkStart w:id="1567" w:name="Tc_a0ynax-4nUC_2IBx_N_LmQ_8_7"/>
      <w:bookmarkStart w:id="1568" w:name="Tc_c8eYxP_eq0O3f9bxzjnQsA_8_5"/>
      <w:bookmarkStart w:id="1569" w:name="Tc_WXX1yYxFvU2GOFKE4r20Nw_8_2"/>
      <w:bookmarkStart w:id="1570" w:name="Tc_je5dCynGnUqCgh6UEN4EYw_8_0"/>
      <w:bookmarkStart w:id="1571" w:name="Tc_IegQ3_1LzEicydkzDcMT9g_7_4"/>
      <w:bookmarkStart w:id="1572" w:name="Tc_CnnST-5WEE6-7r7x5lGucw_7_0"/>
      <w:bookmarkStart w:id="1573" w:name="Tc_1Z-H8HmQ1USupSkKQnOKAw_6_7"/>
      <w:bookmarkStart w:id="1574" w:name="Tc_VCKv7rznkkuCjmii7Sur6g_6_2"/>
      <w:bookmarkStart w:id="1575" w:name="Tc_r1CbJKjetk2qTtVjOfVUFg_5_7"/>
      <w:bookmarkStart w:id="1576" w:name="Tc_ZLa_t-srKEeAe-z0tFMwMg_5_4"/>
      <w:bookmarkStart w:id="1577" w:name="Tc_MKncoaUctkuXnnS1SAjQhw_5_2"/>
      <w:bookmarkStart w:id="1578" w:name="Tc_S7aJxPtHcUSEFg4PXftV-g_4_7"/>
      <w:bookmarkStart w:id="1579" w:name="Tc_wxP2ECm1vEecOyGDfP0hlw_4_4"/>
      <w:bookmarkStart w:id="1580" w:name="Tc_iaSR9NpxrUifbvP6QgtOSw_3_7"/>
      <w:bookmarkStart w:id="1581" w:name="Tc_z35Tr2Qm9UKdDUO7zLcLzQ_3_4"/>
      <w:bookmarkStart w:id="1582" w:name="Tc_7mtsRPV85Ey9aaTcy3PJIQ_2_7"/>
      <w:bookmarkStart w:id="1583" w:name="Tc_uFE-8eyWykOvWC_9jO828A_2_4"/>
      <w:bookmarkStart w:id="1584" w:name="Tc_Drq79-XHO0G202geZ4kZzQ_1_7"/>
      <w:bookmarkStart w:id="1585" w:name="_21f6110a_97c9_4070_8e6b_8eb36973f43e"/>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r>
        <w:rPr>
          <w:rFonts w:ascii="Times New Roman;Times;serif" w:hAnsi="Times New Roman;Times;serif"/>
          <w:i/>
          <w:sz w:val="20"/>
        </w:rPr>
        <w:t>Summary of Stock Option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option activity under the 2006 Plan and 2008 Plan as of January 2, 2026 and changes during the fiscal years ended January 2, 2026, December 27, 2024, and December 29, 2023 is presented below. The intrinsic value of the fully-vested options is $32.3 million based on the Company’s closing stock price of $106.66 and the weighted average exercise price of outstanding options on January 2, 2026.</w:t>
      </w:r>
    </w:p>
    <w:p>
      <w:pPr>
        <w:pStyle w:val="TextBody"/>
        <w:bidi w:val="0"/>
        <w:spacing w:before="0" w:after="0"/>
        <w:ind w:left="0" w:right="0" w:hanging="0"/>
        <w:jc w:val="left"/>
        <w:rPr/>
      </w:pPr>
      <w:r>
        <w:rPr/>
        <w:t>​</w:t>
      </w:r>
    </w:p>
    <w:tbl>
      <w:tblPr>
        <w:tblW w:w="7562" w:type="dxa"/>
        <w:jc w:val="left"/>
        <w:tblInd w:w="0" w:type="dxa"/>
        <w:tblLayout w:type="fixed"/>
        <w:tblCellMar>
          <w:top w:w="0" w:type="dxa"/>
          <w:left w:w="0" w:type="dxa"/>
          <w:bottom w:w="0" w:type="dxa"/>
          <w:right w:w="0" w:type="dxa"/>
        </w:tblCellMar>
      </w:tblPr>
      <w:tblGrid>
        <w:gridCol w:w="3376"/>
        <w:gridCol w:w="346"/>
        <w:gridCol w:w="1111"/>
        <w:gridCol w:w="346"/>
        <w:gridCol w:w="230"/>
        <w:gridCol w:w="625"/>
        <w:gridCol w:w="346"/>
        <w:gridCol w:w="991"/>
        <w:gridCol w:w="19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43760" cy="175260"/>
                      <wp:effectExtent l="0" t="0" r="0" b="0"/>
                      <wp:wrapNone/>
                      <wp:docPr id="367" name="Frame366"/>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05485" cy="175260"/>
                      <wp:effectExtent l="0" t="0" r="0" b="0"/>
                      <wp:wrapNone/>
                      <wp:docPr id="369" name="Frame36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6050" cy="175260"/>
                      <wp:effectExtent l="0" t="0" r="0" b="0"/>
                      <wp:wrapNone/>
                      <wp:docPr id="371" name="Frame37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396875" cy="175260"/>
                      <wp:effectExtent l="0" t="0" r="0" b="0"/>
                      <wp:wrapNone/>
                      <wp:docPr id="372" name="Frame37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29285" cy="175260"/>
                      <wp:effectExtent l="0" t="0" r="0" b="0"/>
                      <wp:wrapNone/>
                      <wp:docPr id="374" name="Frame37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21285" cy="175260"/>
                      <wp:effectExtent l="0" t="0" r="0" b="0"/>
                      <wp:wrapNone/>
                      <wp:docPr id="375" name="Frame37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c>
          <w:tcPr>
            <w:tcW w:w="191" w:type="dxa"/>
            <w:tcBorders/>
            <w:vAlign w:val="center"/>
          </w:tcPr>
          <w:p>
            <w:pPr>
              <w:pStyle w:val="TableContents"/>
              <w:bidi w:val="0"/>
              <w:spacing w:before="0" w:after="0"/>
              <w:ind w:left="0" w:right="0" w:hanging="0"/>
              <w:jc w:val="center"/>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 </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Forfeited or expired</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January 2, 2026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and expected to vest at January 2, 2026</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Exercisable at January 2, 2026</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tbl>
      <w:tblPr>
        <w:tblW w:w="7817" w:type="dxa"/>
        <w:jc w:val="left"/>
        <w:tblInd w:w="0" w:type="dxa"/>
        <w:tblLayout w:type="fixed"/>
        <w:tblCellMar>
          <w:top w:w="0" w:type="dxa"/>
          <w:left w:w="0" w:type="dxa"/>
          <w:bottom w:w="0" w:type="dxa"/>
          <w:right w:w="0" w:type="dxa"/>
        </w:tblCellMar>
      </w:tblPr>
      <w:tblGrid>
        <w:gridCol w:w="3631"/>
        <w:gridCol w:w="346"/>
        <w:gridCol w:w="1111"/>
        <w:gridCol w:w="346"/>
        <w:gridCol w:w="230"/>
        <w:gridCol w:w="625"/>
        <w:gridCol w:w="346"/>
        <w:gridCol w:w="991"/>
        <w:gridCol w:w="19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305685" cy="175260"/>
                      <wp:effectExtent l="0" t="0" r="0" b="0"/>
                      <wp:wrapNone/>
                      <wp:docPr id="376" name="Frame375"/>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705485" cy="175260"/>
                      <wp:effectExtent l="0" t="0" r="0" b="0"/>
                      <wp:wrapNone/>
                      <wp:docPr id="378" name="Frame37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6050" cy="175260"/>
                      <wp:effectExtent l="0" t="0" r="0" b="0"/>
                      <wp:wrapNone/>
                      <wp:docPr id="380" name="Frame379"/>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96875" cy="175260"/>
                      <wp:effectExtent l="0" t="0" r="0" b="0"/>
                      <wp:wrapNone/>
                      <wp:docPr id="381" name="Frame380"/>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29285" cy="175260"/>
                      <wp:effectExtent l="0" t="0" r="0" b="0"/>
                      <wp:wrapNone/>
                      <wp:docPr id="383" name="Frame38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21285" cy="175260"/>
                      <wp:effectExtent l="0" t="0" r="0" b="0"/>
                      <wp:wrapNone/>
                      <wp:docPr id="384" name="Frame38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c>
          <w:tcPr>
            <w:tcW w:w="191" w:type="dxa"/>
            <w:tcBorders/>
            <w:vAlign w:val="center"/>
          </w:tcPr>
          <w:p>
            <w:pPr>
              <w:pStyle w:val="TableContents"/>
              <w:bidi w:val="0"/>
              <w:spacing w:before="0" w:after="0"/>
              <w:ind w:left="0" w:right="0" w:hanging="0"/>
              <w:jc w:val="center"/>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29, 2023</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 </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Forfeited or expired</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and expected to vest at December 27, 2024</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Exercisable at December 27, 2024</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tbl>
      <w:tblPr>
        <w:tblW w:w="7817" w:type="dxa"/>
        <w:jc w:val="left"/>
        <w:tblInd w:w="0" w:type="dxa"/>
        <w:tblLayout w:type="fixed"/>
        <w:tblCellMar>
          <w:top w:w="0" w:type="dxa"/>
          <w:left w:w="0" w:type="dxa"/>
          <w:bottom w:w="0" w:type="dxa"/>
          <w:right w:w="0" w:type="dxa"/>
        </w:tblCellMar>
      </w:tblPr>
      <w:tblGrid>
        <w:gridCol w:w="3631"/>
        <w:gridCol w:w="346"/>
        <w:gridCol w:w="1111"/>
        <w:gridCol w:w="346"/>
        <w:gridCol w:w="230"/>
        <w:gridCol w:w="625"/>
        <w:gridCol w:w="346"/>
        <w:gridCol w:w="991"/>
        <w:gridCol w:w="19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305685" cy="175260"/>
                      <wp:effectExtent l="0" t="0" r="0" b="0"/>
                      <wp:wrapNone/>
                      <wp:docPr id="385" name="Frame384"/>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05485" cy="175260"/>
                      <wp:effectExtent l="0" t="0" r="0" b="0"/>
                      <wp:wrapNone/>
                      <wp:docPr id="387" name="Frame38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46050" cy="175260"/>
                      <wp:effectExtent l="0" t="0" r="0" b="0"/>
                      <wp:wrapNone/>
                      <wp:docPr id="389" name="Frame38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96875" cy="175260"/>
                      <wp:effectExtent l="0" t="0" r="0" b="0"/>
                      <wp:wrapNone/>
                      <wp:docPr id="390" name="Frame389"/>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29285" cy="175260"/>
                      <wp:effectExtent l="0" t="0" r="0" b="0"/>
                      <wp:wrapNone/>
                      <wp:docPr id="392" name="Frame39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21285" cy="175260"/>
                      <wp:effectExtent l="0" t="0" r="0" b="0"/>
                      <wp:wrapNone/>
                      <wp:docPr id="393" name="Frame39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  ​ ​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0"/>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191" w:type="dxa"/>
            <w:tcBorders/>
            <w:vAlign w:val="center"/>
          </w:tcPr>
          <w:p>
            <w:pPr>
              <w:pStyle w:val="TableContents"/>
              <w:bidi w:val="0"/>
              <w:spacing w:before="0" w:after="0"/>
              <w:ind w:left="0" w:right="0" w:hanging="0"/>
              <w:jc w:val="center"/>
              <w:rPr/>
            </w:pPr>
            <w:r>
              <w:rPr/>
              <w:t> </w:t>
            </w:r>
          </w:p>
        </w:tc>
      </w:tr>
      <w:tr>
        <w:trPr/>
        <w:tc>
          <w:tcPr>
            <w:tcW w:w="3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years)</w:t>
            </w:r>
          </w:p>
        </w:tc>
        <w:tc>
          <w:tcPr>
            <w:tcW w:w="191" w:type="dxa"/>
            <w:tcBorders/>
            <w:vAlign w:val="center"/>
          </w:tcPr>
          <w:p>
            <w:pPr>
              <w:pStyle w:val="TableContents"/>
              <w:bidi w:val="0"/>
              <w:spacing w:before="0" w:after="0"/>
              <w:ind w:left="0" w:right="0" w:hanging="0"/>
              <w:jc w:val="center"/>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30, 2022</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w:t>
            </w:r>
          </w:p>
        </w:tc>
        <w:tc>
          <w:tcPr>
            <w:tcW w:w="34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right"/>
              <w:rPr/>
            </w:pPr>
            <w:r>
              <w:rPr/>
              <w:t> </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righ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Forfeited or expired</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29, 2023</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6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and expected to vest at December 29, 2023</w:t>
            </w:r>
          </w:p>
        </w:tc>
        <w:tc>
          <w:tcPr>
            <w:tcW w:w="346" w:type="dxa"/>
            <w:tcBorders/>
            <w:vAlign w:val="center"/>
          </w:tcPr>
          <w:p>
            <w:pPr>
              <w:pStyle w:val="TableContents"/>
              <w:bidi w:val="0"/>
              <w:spacing w:before="0" w:after="0"/>
              <w:ind w:left="0" w:right="0" w:hanging="0"/>
              <w:jc w:val="left"/>
              <w:rPr/>
            </w:pPr>
            <w:r>
              <w:rPr/>
              <w:t> </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91" w:type="dxa"/>
            <w:tcBorders/>
            <w:vAlign w:val="center"/>
          </w:tcPr>
          <w:p>
            <w:pPr>
              <w:pStyle w:val="TableContents"/>
              <w:bidi w:val="0"/>
              <w:spacing w:before="0" w:after="0"/>
              <w:ind w:left="0" w:right="0" w:hanging="0"/>
              <w:jc w:val="left"/>
              <w:rPr/>
            </w:pPr>
            <w:r>
              <w:rPr/>
              <w:t>​</w:t>
            </w:r>
          </w:p>
        </w:tc>
      </w:tr>
      <w:tr>
        <w:trPr/>
        <w:tc>
          <w:tcPr>
            <w:tcW w:w="36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Exercisable at December 29, 2023</w:t>
            </w:r>
          </w:p>
        </w:tc>
        <w:tc>
          <w:tcPr>
            <w:tcW w:w="346" w:type="dxa"/>
            <w:tcBorders/>
            <w:shd w:fill="CCEEFF" w:val="clear"/>
            <w:vAlign w:val="center"/>
          </w:tcPr>
          <w:p>
            <w:pPr>
              <w:pStyle w:val="TableContents"/>
              <w:bidi w:val="0"/>
              <w:spacing w:before="0" w:after="0"/>
              <w:ind w:left="0" w:right="0" w:hanging="0"/>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did not have any unvested options, nor changes in nonvested options, during the fiscal years 2025, 2024,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1586" w:name="Tc_Xgnunw6rF0aS0OyoH_2mrg_15_4"/>
      <w:bookmarkStart w:id="1587" w:name="Tc_esj6Cv41O0-Sa8ntpPl4nw_15_0"/>
      <w:bookmarkStart w:id="1588" w:name="Tc_jSrHSSYA3UWo5k6dHVNMTQ_14_5"/>
      <w:bookmarkStart w:id="1589" w:name="Tc_LxLsPvep1EWEekMWH_Cn7A_14_2"/>
      <w:bookmarkStart w:id="1590" w:name="Tc_t090jNgtbkSpvdQ4jrx73g_14_0"/>
      <w:bookmarkStart w:id="1591" w:name="Tc_y-mRrV8U-0SHviDYf387AA_13_5"/>
      <w:bookmarkStart w:id="1592" w:name="Tc_7F2axewApEiao-2ctnP97A_13_2"/>
      <w:bookmarkStart w:id="1593" w:name="Tc_Jksd9_ufG0uABT4F_UQLeQ_13_0"/>
      <w:bookmarkStart w:id="1594" w:name="Tc_EYuUu1K_i0G34eN1YF0iag_12_0"/>
      <w:bookmarkStart w:id="1595" w:name="Tc_ZHCoDiRvPkCgPbZ6jF1fdg_11_5"/>
      <w:bookmarkStart w:id="1596" w:name="Tc_r6Fln8n4wEqT5QM0Gbdzvw_11_4"/>
      <w:bookmarkStart w:id="1597" w:name="Tc_kARrWa01oEWBk-t1NRTRVw_11_2"/>
      <w:bookmarkStart w:id="1598" w:name="Tc_zb9SILSkoUCo-SIiIgcwcw_11_0"/>
      <w:bookmarkStart w:id="1599" w:name="Tc_7Tt_v6OoV0217pYmKNBryg_9_4"/>
      <w:bookmarkStart w:id="1600" w:name="Tc_A0K86HuGwkioPLOTHZjxig_9_0"/>
      <w:bookmarkStart w:id="1601" w:name="Tc_UkAVr8bbJkyIoE3Ajkydxw_8_5"/>
      <w:bookmarkStart w:id="1602" w:name="Tc_Cl_jLbMtF0-BJKy5M-uOjA_8_2"/>
      <w:bookmarkStart w:id="1603" w:name="Tc_RRyg15NXmEeGjlIlgr1Omw_8_0"/>
      <w:bookmarkStart w:id="1604" w:name="Tc_EQ11EUEbc0Ct-y85EFfYfQ_7_0"/>
      <w:bookmarkStart w:id="1605" w:name="Tc_4oqfndzKC0O975yEAs9S_Q_6_0"/>
      <w:bookmarkStart w:id="1606" w:name="Tc__dk3Tl0FJEm5i8D5ehACuA_5_4"/>
      <w:bookmarkStart w:id="1607" w:name="Tc_5HxBfPbWrUaH0lyr98dsjQ_5_0"/>
      <w:bookmarkStart w:id="1608" w:name="Tc_bIgfjROBc02gArbE7gDmIg_4_2"/>
      <w:bookmarkStart w:id="1609" w:name="Tc_7XsSGuykvEyMjMiUQKoHDg_3_4"/>
      <w:bookmarkStart w:id="1610" w:name="Tc_jou5kYXTmkWXSS3UUNZWDg_3_2"/>
      <w:bookmarkStart w:id="1611" w:name="Tc_-isOAhDPH0-LhlMVxD-KQA_2_4"/>
      <w:bookmarkStart w:id="1612" w:name="Tc_XFUloEEea0GvHkwVsU92CA_2_2"/>
      <w:bookmarkStart w:id="1613" w:name="_fd4a5d1a_a464_4887_ac33_f84a13b17c5a"/>
      <w:bookmarkStart w:id="1614" w:name="Tc_kMPizj1sokKhlaamcSsp2A_21_4"/>
      <w:bookmarkStart w:id="1615" w:name="Tc_dBruXrKC9kygLl5VDWtyqQ_21_0"/>
      <w:bookmarkStart w:id="1616" w:name="Tc_zZGFu0-bGkO3We9i4aCznA_20_0"/>
      <w:bookmarkStart w:id="1617" w:name="Tc_R3tiWgeU3kquwo05gCmcsQ_19_0"/>
      <w:bookmarkStart w:id="1618" w:name="Tc_d3PvQx0U_EWRrVjJY1gXdg_18_0"/>
      <w:bookmarkStart w:id="1619" w:name="Tc_Ph9WfdN-AUCVqXoR0Uxyhw_17_4"/>
      <w:bookmarkStart w:id="1620" w:name="Tc_k4WznwoC5keHwOZ0_y8tng_17_0"/>
      <w:bookmarkStart w:id="1621" w:name="Tc__whjb4lRcUiyQkfiWXh2xA_15_4"/>
      <w:bookmarkStart w:id="1622" w:name="Tc_26fT5yZlm0GhT63UrmSviw_15_0"/>
      <w:bookmarkStart w:id="1623" w:name="Tc_0TBUNhNGVU61hITbzon7DQ_14_5"/>
      <w:bookmarkStart w:id="1624" w:name="Tc_a7BrQRzgS0KLbdY9Nh3o0A_14_2"/>
      <w:bookmarkStart w:id="1625" w:name="Tc_bfhxepRrdkaHwzTlzWH-FA_14_0"/>
      <w:bookmarkStart w:id="1626" w:name="Tc_G8VOKe9Vq0KCB49FjOd1KQ_13_0"/>
      <w:bookmarkStart w:id="1627" w:name="Tc_2s0DFYzoCUCAKZ6r3Czg4Q_12_0"/>
      <w:bookmarkStart w:id="1628" w:name="Tc_GN1v9YLrRkijcoAKsa3glw_11_4"/>
      <w:bookmarkStart w:id="1629" w:name="Tc_lVICtjP5PkiRwtKPFps21A_11_0"/>
      <w:bookmarkStart w:id="1630" w:name="Tc_xluHtM47OEuNpJEvIhcStA_9_4"/>
      <w:bookmarkStart w:id="1631" w:name="Tc_4XAA45z_WkOBw7Rq_sftvg_9_0"/>
      <w:bookmarkStart w:id="1632" w:name="Tc_qHR_-Kwa60CzpA10y1w6gA_8_0"/>
      <w:bookmarkStart w:id="1633" w:name="Tc_-zpDfTPP7UGaoAbRNO_UUQ_7_0"/>
      <w:bookmarkStart w:id="1634" w:name="Tc_gVePTypnGEGi1ACRDNJufg_6_0"/>
      <w:bookmarkStart w:id="1635" w:name="Tc_7SfmB--ql0qIGZy8Gtbd8A_5_4"/>
      <w:bookmarkStart w:id="1636" w:name="Tc_u2QW8IV7AUyLco2Nb86fdg_5_0"/>
      <w:bookmarkStart w:id="1637" w:name="Tc_TLjHhZWvUEWQOVQq9fRxUA_4_2"/>
      <w:bookmarkStart w:id="1638" w:name="Tc_9MvvVrvCf0azda5BVGvAPA_3_4"/>
      <w:bookmarkStart w:id="1639" w:name="Tc_ALDr7m9EF0CQiun_ZLilog_3_2"/>
      <w:bookmarkStart w:id="1640" w:name="Tc_ppCjif6sikubGeqCv75yLA_2_4"/>
      <w:bookmarkStart w:id="1641" w:name="Tc_4w19Vb5CyE2KzljDT7ojcQ_2_2"/>
      <w:bookmarkStart w:id="1642" w:name="_2a99b8b2_2025_4aff_8ffb_ffd44b6e34bf"/>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r>
        <w:rPr>
          <w:rFonts w:ascii="Times New Roman;Times;serif" w:hAnsi="Times New Roman;Times;serif"/>
          <w:i/>
          <w:sz w:val="20"/>
        </w:rPr>
        <w:t>Summary of Time-Based Restricted Stock Activity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time-based restricted stock is comprised of RSAs and RSUs.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summary of RSAs activity under the 2008 Plan as of January 2, 2026 is presented below:</w:t>
      </w:r>
    </w:p>
    <w:p>
      <w:pPr>
        <w:pStyle w:val="TextBody"/>
        <w:bidi w:val="0"/>
        <w:spacing w:before="0" w:after="0"/>
        <w:ind w:left="0" w:right="0" w:hanging="0"/>
        <w:jc w:val="left"/>
        <w:rPr/>
      </w:pPr>
      <w:r>
        <w:rPr/>
        <w:t>​</w:t>
      </w:r>
    </w:p>
    <w:tbl>
      <w:tblPr>
        <w:tblW w:w="7035" w:type="dxa"/>
        <w:jc w:val="left"/>
        <w:tblInd w:w="0" w:type="dxa"/>
        <w:tblLayout w:type="fixed"/>
        <w:tblCellMar>
          <w:top w:w="0" w:type="dxa"/>
          <w:left w:w="0" w:type="dxa"/>
          <w:bottom w:w="0" w:type="dxa"/>
          <w:right w:w="0" w:type="dxa"/>
        </w:tblCellMar>
      </w:tblPr>
      <w:tblGrid>
        <w:gridCol w:w="2551"/>
        <w:gridCol w:w="346"/>
        <w:gridCol w:w="1831"/>
        <w:gridCol w:w="346"/>
        <w:gridCol w:w="476"/>
        <w:gridCol w:w="1294"/>
        <w:gridCol w:w="19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619885" cy="175260"/>
                      <wp:effectExtent l="0" t="0" r="0" b="0"/>
                      <wp:wrapNone/>
                      <wp:docPr id="394" name="Frame393"/>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162685" cy="175260"/>
                      <wp:effectExtent l="0" t="0" r="0" b="0"/>
                      <wp:wrapNone/>
                      <wp:docPr id="396" name="Frame39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302260" cy="175260"/>
                      <wp:effectExtent l="0" t="0" r="0" b="0"/>
                      <wp:wrapNone/>
                      <wp:docPr id="398" name="Frame397"/>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821690" cy="175260"/>
                      <wp:effectExtent l="0" t="0" r="0" b="0"/>
                      <wp:wrapNone/>
                      <wp:docPr id="399" name="Frame398"/>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21285" cy="175260"/>
                      <wp:effectExtent l="0" t="0" r="0" b="0"/>
                      <wp:wrapNone/>
                      <wp:docPr id="400" name="Frame39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70"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Time-Based</w:t>
            </w:r>
          </w:p>
        </w:tc>
        <w:tc>
          <w:tcPr>
            <w:tcW w:w="346" w:type="dxa"/>
            <w:tcBorders/>
            <w:vAlign w:val="center"/>
          </w:tcPr>
          <w:p>
            <w:pPr>
              <w:pStyle w:val="TableContents"/>
              <w:bidi w:val="0"/>
              <w:spacing w:before="0" w:after="0"/>
              <w:ind w:left="0" w:right="0" w:hanging="0"/>
              <w:jc w:val="center"/>
              <w:rPr/>
            </w:pPr>
            <w:r>
              <w:rPr/>
              <w:t>​</w:t>
            </w:r>
          </w:p>
        </w:tc>
        <w:tc>
          <w:tcPr>
            <w:tcW w:w="17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Award</w:t>
            </w:r>
          </w:p>
        </w:tc>
        <w:tc>
          <w:tcPr>
            <w:tcW w:w="346" w:type="dxa"/>
            <w:tcBorders/>
            <w:vAlign w:val="center"/>
          </w:tcPr>
          <w:p>
            <w:pPr>
              <w:pStyle w:val="TableContents"/>
              <w:bidi w:val="0"/>
              <w:spacing w:before="0" w:after="0"/>
              <w:ind w:left="0" w:right="0" w:hanging="0"/>
              <w:jc w:val="center"/>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c>
          <w:tcPr>
            <w:tcW w:w="1294"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23.60 </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63.96</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Vested </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January 2, 2026</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29, 2023</w:t>
            </w:r>
          </w:p>
        </w:tc>
        <w:tc>
          <w:tcPr>
            <w:tcW w:w="346"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20.44 </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Vested </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30, 2022</w:t>
            </w:r>
          </w:p>
        </w:tc>
        <w:tc>
          <w:tcPr>
            <w:tcW w:w="346"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34.07 </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Vested </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29, 2023</w:t>
            </w:r>
          </w:p>
        </w:tc>
        <w:tc>
          <w:tcPr>
            <w:tcW w:w="346" w:type="dxa"/>
            <w:tcBorders/>
            <w:shd w:fill="CCEEFF" w:val="clear"/>
            <w:vAlign w:val="center"/>
          </w:tcPr>
          <w:p>
            <w:pPr>
              <w:pStyle w:val="TableContents"/>
              <w:bidi w:val="0"/>
              <w:spacing w:before="0" w:after="0"/>
              <w:ind w:left="0" w:right="0" w:hanging="0"/>
              <w:jc w:val="left"/>
              <w:rPr/>
            </w:pPr>
            <w:r>
              <w:rPr/>
              <w:t>​</w:t>
            </w:r>
          </w:p>
        </w:tc>
        <w:tc>
          <w:tcPr>
            <w:tcW w:w="1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RSUs activity under the 2008 Plan as of January 2, 2026 is presented below </w:t>
      </w:r>
      <w:r>
        <w:rPr>
          <w:rFonts w:ascii="Times New Roman;Times;serif" w:hAnsi="Times New Roman;Times;serif"/>
          <w:sz w:val="15"/>
        </w:rPr>
        <w:t>(1)</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6855" w:type="dxa"/>
        <w:jc w:val="left"/>
        <w:tblInd w:w="0" w:type="dxa"/>
        <w:tblLayout w:type="fixed"/>
        <w:tblCellMar>
          <w:top w:w="0" w:type="dxa"/>
          <w:left w:w="0" w:type="dxa"/>
          <w:bottom w:w="0" w:type="dxa"/>
          <w:right w:w="0" w:type="dxa"/>
        </w:tblCellMar>
      </w:tblPr>
      <w:tblGrid>
        <w:gridCol w:w="2551"/>
        <w:gridCol w:w="346"/>
        <w:gridCol w:w="1651"/>
        <w:gridCol w:w="346"/>
        <w:gridCol w:w="476"/>
        <w:gridCol w:w="1294"/>
        <w:gridCol w:w="19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619885" cy="175260"/>
                      <wp:effectExtent l="0" t="0" r="0" b="0"/>
                      <wp:wrapNone/>
                      <wp:docPr id="401" name="Frame400"/>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19710" cy="175260"/>
                      <wp:effectExtent l="0" t="0" r="0" b="0"/>
                      <wp:wrapNone/>
                      <wp:docPr id="402"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048385" cy="175260"/>
                      <wp:effectExtent l="0" t="0" r="0" b="0"/>
                      <wp:wrapNone/>
                      <wp:docPr id="403" name="Frame402"/>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02260" cy="175260"/>
                      <wp:effectExtent l="0" t="0" r="0" b="0"/>
                      <wp:wrapNone/>
                      <wp:docPr id="405" name="Frame404"/>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821690" cy="175260"/>
                      <wp:effectExtent l="0" t="0" r="0" b="0"/>
                      <wp:wrapNone/>
                      <wp:docPr id="406" name="Frame405"/>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21285" cy="175260"/>
                      <wp:effectExtent l="0" t="0" r="0" b="0"/>
                      <wp:wrapNone/>
                      <wp:docPr id="407" name="Frame40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70" w:type="dxa"/>
            <w:gridSpan w:val="2"/>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Time-Based</w:t>
            </w:r>
          </w:p>
        </w:tc>
        <w:tc>
          <w:tcPr>
            <w:tcW w:w="346" w:type="dxa"/>
            <w:tcBorders/>
            <w:vAlign w:val="center"/>
          </w:tcPr>
          <w:p>
            <w:pPr>
              <w:pStyle w:val="TableContents"/>
              <w:bidi w:val="0"/>
              <w:spacing w:before="0" w:after="0"/>
              <w:ind w:left="0" w:right="0" w:hanging="0"/>
              <w:jc w:val="center"/>
              <w:rPr/>
            </w:pPr>
            <w:r>
              <w:rPr/>
              <w:t>​</w:t>
            </w:r>
          </w:p>
        </w:tc>
        <w:tc>
          <w:tcPr>
            <w:tcW w:w="17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Unit</w:t>
            </w:r>
          </w:p>
        </w:tc>
        <w:tc>
          <w:tcPr>
            <w:tcW w:w="346" w:type="dxa"/>
            <w:tcBorders/>
            <w:vAlign w:val="center"/>
          </w:tcPr>
          <w:p>
            <w:pPr>
              <w:pStyle w:val="TableContents"/>
              <w:bidi w:val="0"/>
              <w:spacing w:before="0" w:after="0"/>
              <w:ind w:left="0" w:right="0" w:hanging="0"/>
              <w:jc w:val="center"/>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c>
          <w:tcPr>
            <w:tcW w:w="191" w:type="dxa"/>
            <w:tcBorders/>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center"/>
              <w:rPr/>
            </w:pPr>
            <w:r>
              <w:rPr/>
              <w:t>​</w:t>
            </w:r>
          </w:p>
        </w:tc>
        <w:tc>
          <w:tcPr>
            <w:tcW w:w="476" w:type="dxa"/>
            <w:tcBorders/>
            <w:vAlign w:val="center"/>
          </w:tcPr>
          <w:p>
            <w:pPr>
              <w:pStyle w:val="TableContents"/>
              <w:bidi w:val="0"/>
              <w:spacing w:before="0" w:after="0"/>
              <w:ind w:left="0" w:right="0" w:hanging="0"/>
              <w:jc w:val="center"/>
              <w:rPr/>
            </w:pPr>
            <w:r>
              <w:rPr/>
              <w:t>​</w:t>
            </w:r>
          </w:p>
        </w:tc>
        <w:tc>
          <w:tcPr>
            <w:tcW w:w="1294"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center"/>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41.53</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Vested </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January 2, 2026</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29, 2023</w:t>
            </w:r>
          </w:p>
        </w:tc>
        <w:tc>
          <w:tcPr>
            <w:tcW w:w="346" w:type="dxa"/>
            <w:tcBorders/>
            <w:shd w:fill="CCEEFF" w:val="clear"/>
            <w:vAlign w:val="center"/>
          </w:tcPr>
          <w:p>
            <w:pPr>
              <w:pStyle w:val="TableContents"/>
              <w:bidi w:val="0"/>
              <w:spacing w:before="0" w:after="0"/>
              <w:ind w:left="0" w:right="0" w:hanging="0"/>
              <w:jc w:val="center"/>
              <w:rPr/>
            </w:pPr>
            <w:r>
              <w:rPr/>
              <w:t>​</w:t>
            </w:r>
          </w:p>
        </w:tc>
        <w:tc>
          <w:tcPr>
            <w:tcW w:w="1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Vested </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tbl>
      <w:tblPr>
        <w:tblW w:w="6231" w:type="dxa"/>
        <w:jc w:val="left"/>
        <w:tblInd w:w="0" w:type="dxa"/>
        <w:tblLayout w:type="fixed"/>
        <w:tblCellMar>
          <w:top w:w="28" w:type="dxa"/>
          <w:left w:w="28" w:type="dxa"/>
          <w:bottom w:w="28" w:type="dxa"/>
          <w:right w:w="28" w:type="dxa"/>
        </w:tblCellMar>
      </w:tblPr>
      <w:tblGrid>
        <w:gridCol w:w="124"/>
        <w:gridCol w:w="316"/>
        <w:gridCol w:w="579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5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16"/>
              </w:rPr>
            </w:pPr>
            <w:r>
              <w:rPr>
                <w:rFonts w:ascii="Times New Roman;Times;serif" w:hAnsi="Times New Roman;Times;serif"/>
                <w:b w:val="false"/>
                <w:i/>
                <w:sz w:val="16"/>
              </w:rPr>
              <w:t>The Company did not grant, nor have any RSU activity, prior to fiscal year 2024.</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360"/>
        <w:jc w:val="left"/>
        <w:rPr>
          <w:rFonts w:ascii="Times New Roman;Times;serif" w:hAnsi="Times New Roman;Times;serif"/>
          <w:i/>
          <w:sz w:val="20"/>
        </w:rPr>
      </w:pPr>
      <w:bookmarkStart w:id="1643" w:name="Tc_THYlInJZak-riQbpUPhPOg_20_4"/>
      <w:bookmarkStart w:id="1644" w:name="Tc_asxI_Gtbe0Kchun1upTO5A_20_0"/>
      <w:bookmarkStart w:id="1645" w:name="Tc_BBEnBOVTx0a3-t2CDnZK4g_19_0"/>
      <w:bookmarkStart w:id="1646" w:name="Tc_7bRoUcavLEiMC7rDpEOnAQ_18_0"/>
      <w:bookmarkStart w:id="1647" w:name="Tc_aNJBVjZSwU6nPhgWqPr7tw_17_0"/>
      <w:bookmarkStart w:id="1648" w:name="Tc_cQ7pWELBAkSIZV2jLYRm0Q_16_4"/>
      <w:bookmarkStart w:id="1649" w:name="Tc_mbZZipqXskysmAM1I19_Mw_16_0"/>
      <w:bookmarkStart w:id="1650" w:name="Tc_VcD6NgaYjkCs0Q4l1XXlYQ_14_4"/>
      <w:bookmarkStart w:id="1651" w:name="Tc_z-K0fnnP_USr9UwRTYKwOg_14_0"/>
      <w:bookmarkStart w:id="1652" w:name="Tc_E7B0afQcM0mx6mnQZw77Uw_13_5"/>
      <w:bookmarkStart w:id="1653" w:name="Tc_itg3AkwKKUOkgoYFJB1Nmw_13_2"/>
      <w:bookmarkStart w:id="1654" w:name="Tc_MqWOYqjJAE2_HzBGdItMQw_13_0"/>
      <w:bookmarkStart w:id="1655" w:name="Tc_h-b5QFUSK0yOnSBrSU3P_Q_12_0"/>
      <w:bookmarkStart w:id="1656" w:name="Tc_0_jOKDQAhUWw67KFESf0wA_11_0"/>
      <w:bookmarkStart w:id="1657" w:name="Tc_mijURqDIAU6ndP7xK2OdgQ_10_4"/>
      <w:bookmarkStart w:id="1658" w:name="Tc_dwClye2xH0ONtZDUlIXEvw_10_0"/>
      <w:bookmarkStart w:id="1659" w:name="Tc_6aawOFn__0u9TAXEBbM0-w_8_4"/>
      <w:bookmarkStart w:id="1660" w:name="Tc_oO3hQc6uVEmsqwBtHR1F2g_8_0"/>
      <w:bookmarkStart w:id="1661" w:name="Tc_Y_91GO7kq06f7zPMDDBn0g_7_5"/>
      <w:bookmarkStart w:id="1662" w:name="Tc_Jl8mk0f2OEGlPSTiZyth0g_7_2"/>
      <w:bookmarkStart w:id="1663" w:name="Tc_Swe9FZlAU0-_8G0E1JjFkA_7_0"/>
      <w:bookmarkStart w:id="1664" w:name="Tc_NOyb8HMAYkuBR2APyFjz6g_6_0"/>
      <w:bookmarkStart w:id="1665" w:name="Tc_OJrxNTySt0SPPXcIRoNdfQ_5_0"/>
      <w:bookmarkStart w:id="1666" w:name="Tc_oLxfHx7cEk-YFLfqPsL1eA_4_4"/>
      <w:bookmarkStart w:id="1667" w:name="Tc_jY43SjgSbki6PyubR9QLBw_4_0"/>
      <w:bookmarkStart w:id="1668" w:name="Tc_5hmRNmghiU6XPuoCPNDKmg_3_2"/>
      <w:bookmarkStart w:id="1669" w:name="Tc_1wvMey_kmE-vdeHe2nu_Ig_2_4"/>
      <w:bookmarkStart w:id="1670" w:name="Tc_xhHZOF9nv0-3oyP5vCmnpg_2_2"/>
      <w:bookmarkStart w:id="1671" w:name="Tc_wMcQVGAIyUacmZM3uD0EIw_1_4"/>
      <w:bookmarkStart w:id="1672" w:name="Tc_a_-tHH4bskebQfGMLltqLg_1_2"/>
      <w:bookmarkStart w:id="1673" w:name="_b5e10849_989e_4c25_9a9b_4156230b4194"/>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r>
        <w:rPr>
          <w:rFonts w:ascii="Times New Roman;Times;serif" w:hAnsi="Times New Roman;Times;serif"/>
          <w:i/>
          <w:sz w:val="20"/>
        </w:rPr>
        <w:t>Summary of Performance-Based Restricted Stock Unit Activity</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A summary of performance-based restricted stock unit activity under the 2008 Plan as of January 2, 2026 is presented below:</w:t>
      </w:r>
    </w:p>
    <w:p>
      <w:pPr>
        <w:pStyle w:val="TextBody"/>
        <w:bidi w:val="0"/>
        <w:spacing w:before="0" w:after="0"/>
        <w:ind w:left="0" w:right="0" w:hanging="0"/>
        <w:jc w:val="left"/>
        <w:rPr/>
      </w:pPr>
      <w:r>
        <w:rPr/>
        <w:t>​</w:t>
      </w:r>
    </w:p>
    <w:tbl>
      <w:tblPr>
        <w:tblW w:w="6710" w:type="dxa"/>
        <w:jc w:val="left"/>
        <w:tblInd w:w="0" w:type="dxa"/>
        <w:tblLayout w:type="fixed"/>
        <w:tblCellMar>
          <w:top w:w="0" w:type="dxa"/>
          <w:left w:w="0" w:type="dxa"/>
          <w:bottom w:w="0" w:type="dxa"/>
          <w:right w:w="0" w:type="dxa"/>
        </w:tblCellMar>
      </w:tblPr>
      <w:tblGrid>
        <w:gridCol w:w="2551"/>
        <w:gridCol w:w="346"/>
        <w:gridCol w:w="1651"/>
        <w:gridCol w:w="346"/>
        <w:gridCol w:w="431"/>
        <w:gridCol w:w="1385"/>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619885" cy="175260"/>
                      <wp:effectExtent l="0" t="0" r="0" b="0"/>
                      <wp:wrapNone/>
                      <wp:docPr id="408" name="Frame407"/>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048385" cy="175260"/>
                      <wp:effectExtent l="0" t="0" r="0" b="0"/>
                      <wp:wrapNone/>
                      <wp:docPr id="410" name="Frame409"/>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73685" cy="175260"/>
                      <wp:effectExtent l="0" t="0" r="0" b="0"/>
                      <wp:wrapNone/>
                      <wp:docPr id="412" name="Frame411"/>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879475" cy="175260"/>
                      <wp:effectExtent l="0" t="0" r="0" b="0"/>
                      <wp:wrapNone/>
                      <wp:docPr id="413" name="Frame412"/>
                      <a:graphic xmlns:a="http://schemas.openxmlformats.org/drawingml/2006/main">
                        <a:graphicData uri="http://schemas.microsoft.com/office/word/2010/wordprocessingShape">
                          <wps:wsp>
                            <wps:cNvSpPr txBox="1"/>
                            <wps:spPr>
                              <a:xfrm>
                                <a:off x="0" y="0"/>
                                <a:ext cx="879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Performance-Based</w:t>
            </w:r>
          </w:p>
        </w:tc>
        <w:tc>
          <w:tcPr>
            <w:tcW w:w="346" w:type="dxa"/>
            <w:tcBorders/>
            <w:vAlign w:val="center"/>
          </w:tcPr>
          <w:p>
            <w:pPr>
              <w:pStyle w:val="TableContents"/>
              <w:bidi w:val="0"/>
              <w:spacing w:before="0" w:after="0"/>
              <w:ind w:left="0" w:right="0" w:hanging="0"/>
              <w:jc w:val="left"/>
              <w:rPr/>
            </w:pPr>
            <w:r>
              <w:rPr/>
              <w:t>​</w:t>
            </w:r>
          </w:p>
        </w:tc>
        <w:tc>
          <w:tcPr>
            <w:tcW w:w="18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Unit</w:t>
            </w:r>
          </w:p>
        </w:tc>
        <w:tc>
          <w:tcPr>
            <w:tcW w:w="346" w:type="dxa"/>
            <w:tcBorders/>
            <w:vAlign w:val="center"/>
          </w:tcPr>
          <w:p>
            <w:pPr>
              <w:pStyle w:val="TableContents"/>
              <w:bidi w:val="0"/>
              <w:spacing w:before="0" w:after="0"/>
              <w:ind w:left="0" w:right="0" w:hanging="0"/>
              <w:jc w:val="left"/>
              <w:rPr/>
            </w:pPr>
            <w:r>
              <w:rPr/>
              <w:t>  ​ ​ ​</w:t>
            </w:r>
          </w:p>
        </w:tc>
        <w:tc>
          <w:tcPr>
            <w:tcW w:w="18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lef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Released</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January 2, 2026</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29, 2023</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Released</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27, 2024</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w:t>
            </w:r>
          </w:p>
        </w:tc>
      </w:tr>
      <w:tr>
        <w:trPr/>
        <w:tc>
          <w:tcPr>
            <w:tcW w:w="25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pPr>
            <w:r>
              <w:rPr/>
              <w:t>​</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30, 2022</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Awarded</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Released</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Forfeited </w:t>
            </w:r>
          </w:p>
        </w:tc>
        <w:tc>
          <w:tcPr>
            <w:tcW w:w="346" w:type="dxa"/>
            <w:tcBorders/>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3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December 29, 2023</w:t>
            </w:r>
          </w:p>
        </w:tc>
        <w:tc>
          <w:tcPr>
            <w:tcW w:w="346" w:type="dxa"/>
            <w:tcBorders/>
            <w:shd w:fill="CCEEFF" w:val="clear"/>
            <w:vAlign w:val="center"/>
          </w:tcPr>
          <w:p>
            <w:pPr>
              <w:pStyle w:val="TableContents"/>
              <w:bidi w:val="0"/>
              <w:spacing w:before="0" w:after="0"/>
              <w:ind w:left="0" w:right="0" w:hanging="0"/>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22.88</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Fair Value Valuation Assumptions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Stock Option Grants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each option is calculated using the Black-Scholes option valuation model that uses assumptions of expected volatility, expected dividends, expected term in years, and a risk-free rate. Expected volatility is based upon historical volatility of “guideline companies” since the length of time the Company’s shares have been publicly traded is equal to the contractual term of the options. The expected term of the option, taking into account both the contractual term of the option and the effects of employees’ expected exercise and expected post-vesting termination behavior is estimated based upon the simplified method. Under this approach, the expected term is presumed to be the mid-point between the vesting date and the end of the contractual term. The risk-free rate for periods within the contractual life of the option is based on the U.S. Treasury yield curve in effect at the time of grant.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options were granted during fiscal years 2025, 2024, or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i/>
          <w:sz w:val="20"/>
        </w:rPr>
      </w:pPr>
      <w:bookmarkStart w:id="1674" w:name="Tc_VTNElGAUyUG2zNtAUuIpOg_6_10"/>
      <w:bookmarkStart w:id="1675" w:name="Tc_OprrY6XooUq-V-5RssLWEQ_6_6"/>
      <w:bookmarkStart w:id="1676" w:name="Tc_kXVK7nhl9UqTOUNUQoM3aQ_6_2"/>
      <w:bookmarkStart w:id="1677" w:name="Tc_E9Fi4D6bLEylbH_pN7e70Q_6_0"/>
      <w:bookmarkStart w:id="1678" w:name="Tc_o9bRr3LKeE6hauF8-DoTew_5_12"/>
      <w:bookmarkStart w:id="1679" w:name="Tc_mCEbVwkVwEypWnkNY0J2Wg_5_8"/>
      <w:bookmarkStart w:id="1680" w:name="Tc_NqELOE1cjU2qS9tEhG7BiQ_5_4"/>
      <w:bookmarkStart w:id="1681" w:name="Tc_HLFOsYr7JESNb4k_8w3-xQ_5_0"/>
      <w:bookmarkStart w:id="1682" w:name="Tc_CLrpc2E3HkSl_1go5x3mBA_4_12"/>
      <w:bookmarkStart w:id="1683" w:name="Tc_6HR-3T_BckGP2e6z6fgung_4_8"/>
      <w:bookmarkStart w:id="1684" w:name="Tc_sKoa-WIRoUON2IRvtBUJ0A_4_4"/>
      <w:bookmarkStart w:id="1685" w:name="Tc_dLxVO1i_7k2C9mFM6uJO9A_4_0"/>
      <w:bookmarkStart w:id="1686" w:name="Tc_fQMzP2X8Sk27EtW3I-TdAA_3_12"/>
      <w:bookmarkStart w:id="1687" w:name="Tc_X6nBJNQCBkSv4YwRK_fesg_3_8"/>
      <w:bookmarkStart w:id="1688" w:name="Tc_aEGNO8UxSEKIsu7xAb5nJg_3_4"/>
      <w:bookmarkStart w:id="1689" w:name="Tc_ci-_etjz0UCR2kDHRg9JrQ_3_0"/>
      <w:bookmarkStart w:id="1690" w:name="Tc_lmWVnYo6EUSWHnfsmzOD8g_2_0"/>
      <w:bookmarkStart w:id="1691" w:name="Tc_K6FVnsKKfkuDTFiEClduPQ_1_10"/>
      <w:bookmarkStart w:id="1692" w:name="Tc_GbvuSIWCaUy_pnfWTtddzA_1_6"/>
      <w:bookmarkStart w:id="1693" w:name="Tc_hEtJTAuWd0OKy-osHK23HQ_1_2"/>
      <w:bookmarkStart w:id="1694" w:name="_a07f4601_e4d6_4f75_ba13_c1d0773f4ebc"/>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r>
        <w:rPr>
          <w:rFonts w:ascii="Times New Roman;Times;serif" w:hAnsi="Times New Roman;Times;serif"/>
          <w:i/>
          <w:sz w:val="20"/>
        </w:rPr>
        <w:t>RSA, RSU and PBRSU Grants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time-based RSAs and RSUs are valued on the closing price of the Company’s common stock on the date of grant and </w:t>
      </w:r>
      <w:r>
        <w:rPr>
          <w:rFonts w:ascii="Times New Roman;Times;serif" w:hAnsi="Times New Roman;Times;serif"/>
          <w:b w:val="false"/>
          <w:i w:val="false"/>
          <w:caps w:val="false"/>
          <w:smallCaps w:val="false"/>
          <w:sz w:val="20"/>
        </w:rPr>
        <w:t>vest</w:t>
      </w:r>
      <w:r>
        <w:rPr>
          <w:rFonts w:ascii="Times New Roman;Times;serif" w:hAnsi="Times New Roman;Times;serif"/>
          <w:sz w:val="20"/>
        </w:rPr>
        <w:t xml:space="preserve"> over a three-year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performance-based restricted stock unit awards are valued on the closing price of the Company’s common stock on the date of grant and vest over a performance period. Under the Company’s PBRSU design, 50% of each award will vest based on the Company’s Adjusted EBITDA performance over a three-year performance period, and the remaining 50% of each award will vest based upon the Company’s adjusted diluted earnings per share performance over a three-year performance period, respectively. At the end of the full three-year vesting period for the grant, the number of PBRSUs that are earned based on the achievement of Adjusted EBITDA and Adjusted Diluted EPS is then multiplied by a percentage based on the Company’s Relative Total Shareholder Return for the three-year period.</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ESPP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ESPP purchase rights issued is calculated using the Black-Scholes valuation model that uses the assumptions noted in the following table. Purchase right under the ESPP are generally granted on either January 1 or July 1 of each year. The assumptions are as follows:</w:t>
      </w:r>
    </w:p>
    <w:p>
      <w:pPr>
        <w:pStyle w:val="TextBody"/>
        <w:bidi w:val="0"/>
        <w:spacing w:before="0" w:after="0"/>
        <w:ind w:left="0" w:right="0" w:hanging="0"/>
        <w:jc w:val="left"/>
        <w:rPr/>
      </w:pPr>
      <w:r>
        <w:rPr/>
        <w:t>​</w:t>
      </w:r>
    </w:p>
    <w:tbl>
      <w:tblPr>
        <w:tblW w:w="6559" w:type="dxa"/>
        <w:jc w:val="left"/>
        <w:tblInd w:w="0" w:type="dxa"/>
        <w:tblLayout w:type="fixed"/>
        <w:tblCellMar>
          <w:top w:w="0" w:type="dxa"/>
          <w:left w:w="0" w:type="dxa"/>
          <w:bottom w:w="0" w:type="dxa"/>
          <w:right w:w="0" w:type="dxa"/>
        </w:tblCellMar>
      </w:tblPr>
      <w:tblGrid>
        <w:gridCol w:w="3106"/>
        <w:gridCol w:w="346"/>
        <w:gridCol w:w="196"/>
        <w:gridCol w:w="511"/>
        <w:gridCol w:w="241"/>
        <w:gridCol w:w="109"/>
        <w:gridCol w:w="196"/>
        <w:gridCol w:w="511"/>
        <w:gridCol w:w="241"/>
        <w:gridCol w:w="109"/>
        <w:gridCol w:w="196"/>
        <w:gridCol w:w="511"/>
        <w:gridCol w:w="28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972310" cy="175260"/>
                      <wp:effectExtent l="0" t="0" r="0" b="0"/>
                      <wp:wrapNone/>
                      <wp:docPr id="414" name="Frame413"/>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24460" cy="175260"/>
                      <wp:effectExtent l="0" t="0" r="0" b="0"/>
                      <wp:wrapNone/>
                      <wp:docPr id="416" name="Frame4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24485" cy="175260"/>
                      <wp:effectExtent l="0" t="0" r="0" b="0"/>
                      <wp:wrapNone/>
                      <wp:docPr id="417" name="Frame41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53035" cy="175260"/>
                      <wp:effectExtent l="0" t="0" r="0" b="0"/>
                      <wp:wrapNone/>
                      <wp:docPr id="418" name="Frame41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24460" cy="175260"/>
                      <wp:effectExtent l="0" t="0" r="0" b="0"/>
                      <wp:wrapNone/>
                      <wp:docPr id="420" name="Frame4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24485" cy="175260"/>
                      <wp:effectExtent l="0" t="0" r="0" b="0"/>
                      <wp:wrapNone/>
                      <wp:docPr id="421" name="Frame42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53035" cy="175260"/>
                      <wp:effectExtent l="0" t="0" r="0" b="0"/>
                      <wp:wrapNone/>
                      <wp:docPr id="422" name="Frame42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24460" cy="175260"/>
                      <wp:effectExtent l="0" t="0" r="0" b="0"/>
                      <wp:wrapNone/>
                      <wp:docPr id="424" name="Frame4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24485" cy="175260"/>
                      <wp:effectExtent l="0" t="0" r="0" b="0"/>
                      <wp:wrapNone/>
                      <wp:docPr id="425" name="Frame42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81610" cy="175260"/>
                      <wp:effectExtent l="0" t="0" r="0" b="0"/>
                      <wp:wrapNone/>
                      <wp:docPr id="426" name="Frame42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86" w:type="dxa"/>
            <w:tcBorders/>
            <w:vAlign w:val="center"/>
          </w:tcPr>
          <w:p>
            <w:pPr>
              <w:pStyle w:val="TableContents"/>
              <w:bidi w:val="0"/>
              <w:spacing w:before="0" w:after="0"/>
              <w:ind w:left="0" w:right="0" w:hanging="0"/>
              <w:jc w:val="center"/>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Weighted-average expected term (in years)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Risk-Free interest Rate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Price 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yield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52.14</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25.22</w:t>
            </w:r>
          </w:p>
        </w:tc>
        <w:tc>
          <w:tcPr>
            <w:tcW w:w="2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18.50</w:t>
            </w:r>
          </w:p>
        </w:tc>
        <w:tc>
          <w:tcPr>
            <w:tcW w:w="28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1695" w:name="Tc_RC6LRaps5kWtfi4mfnB87g_17_7"/>
      <w:bookmarkStart w:id="1696" w:name="Tc_FFpD6uZWrk2uIV611849dQ_17_2"/>
      <w:bookmarkStart w:id="1697" w:name="Tc_-T3W4O-ky0azzZ2QGR5msQ_17_0"/>
      <w:bookmarkStart w:id="1698" w:name="Tc_9EcEpbb82UeVc_v-IOT8Mg_16_7"/>
      <w:bookmarkStart w:id="1699" w:name="Tc_DLix508UWkSxPVf-WqS1xQ_16_0"/>
      <w:bookmarkStart w:id="1700" w:name="Tc_NGajxe95cEWPdiyB2lj9ww_15_7"/>
      <w:bookmarkStart w:id="1701" w:name="Tc_pcsL4QBPWE2lissf76965Q_15_0"/>
      <w:bookmarkStart w:id="1702" w:name="Tc_FOGaa65POkix5AT8aBA7mw_14_7"/>
      <w:bookmarkStart w:id="1703" w:name="Tc_QhiVGyfi40yzAAtInuiWwQ_14_0"/>
      <w:bookmarkStart w:id="1704" w:name="Tc_BO4W3F2jxkGuxvb97V1dkw_13_0"/>
      <w:bookmarkStart w:id="1705" w:name="Tc_Hi6ayLYpX0av2u-RswzvQw_12_7"/>
      <w:bookmarkStart w:id="1706" w:name="Tc_vJJkk43lOEyT1ZkZCGE88w_12_0"/>
      <w:bookmarkStart w:id="1707" w:name="Tc_o01pPyHfjU2aOvfMVltl2w_11_7"/>
      <w:bookmarkStart w:id="1708" w:name="Tc_bSQfE0sNaUuWhfS8joGC6w_11_0"/>
      <w:bookmarkStart w:id="1709" w:name="Tc_3nST6kkq10KT_sudyd0x0g_10_7"/>
      <w:bookmarkStart w:id="1710" w:name="Tc_LwQofNotRU2K6ILfH7hEBA_10_0"/>
      <w:bookmarkStart w:id="1711" w:name="Tc_5_rcPuK0-EyeGyUsBvNUtg_9_0"/>
      <w:bookmarkStart w:id="1712" w:name="Tc_5-ZnDDDUSEGocyAJuWnXiA_8_7"/>
      <w:bookmarkStart w:id="1713" w:name="Tc_--yocRbRi0atxLdQjXkWug_8_0"/>
      <w:bookmarkStart w:id="1714" w:name="Tc_-bhVn3_ORU2q8yBD24bDOw_7_7"/>
      <w:bookmarkStart w:id="1715" w:name="Tc_uC1OZ0Nkd0OR6Kel6X4dVg_7_0"/>
      <w:bookmarkStart w:id="1716" w:name="Tc__-05ajD4ik2sJumBFOqPag_6_0"/>
      <w:bookmarkStart w:id="1717" w:name="Tc_LHidIz8jtUih26ZXezzRcQ_5_7"/>
      <w:bookmarkStart w:id="1718" w:name="Tc_E5AvFJp7h0mP0kyd2lpQ_A_5_0"/>
      <w:bookmarkStart w:id="1719" w:name="Tc_rwq8MjIf50m8lCSsVK-Qaw_4_7"/>
      <w:bookmarkStart w:id="1720" w:name="Tc_wNRKPne4AUGxT3-9wWIFkw_4_2"/>
      <w:bookmarkStart w:id="1721" w:name="Tc_awv0D4NvDUmeqZnQeEV2xg_4_0"/>
      <w:bookmarkStart w:id="1722" w:name="Tc_cGBSYcPQzESJFFWXpcC0aQ_3_6"/>
      <w:bookmarkStart w:id="1723" w:name="Tc_Cfg1zzI5BUmHXBxXvPE-0Q_3_3"/>
      <w:bookmarkStart w:id="1724" w:name="Tc_GKCrpZP0BESU7n3NqDhREw_2_2"/>
      <w:bookmarkStart w:id="1725" w:name="Tc_VwyNZY9qfkq3tat-zvJG9g_1_2"/>
      <w:bookmarkStart w:id="1726" w:name="_b298001b_5e5e_4964_8a1d_3662a847100d"/>
      <w:bookmarkStart w:id="1727" w:name="Tc_iI1AVDZc_ESWM81lYvCWcQ_9_8"/>
      <w:bookmarkStart w:id="1728" w:name="Tc_44bub_LfuUuOoWr7ufGnKA_9_5"/>
      <w:bookmarkStart w:id="1729" w:name="Tc_ddmUkPslckuD-ZLLtSuXVw_9_2"/>
      <w:bookmarkStart w:id="1730" w:name="Tc_WPJgLFXW302pZs3KRrpLyQ_8_0"/>
      <w:bookmarkStart w:id="1731" w:name="Tc_AAR2c7UqdEqKg5bVp5jUSA_7_0"/>
      <w:bookmarkStart w:id="1732" w:name="Tc_2OMIm_hkVUmLxyf1pG8feA_6_9"/>
      <w:bookmarkStart w:id="1733" w:name="Tc_O6MAxXtebEOjWfjjFdES8w_6_0"/>
      <w:bookmarkStart w:id="1734" w:name="Tc_r-_oOOHlgEq8NHNp3nsj_Q_5_0"/>
      <w:bookmarkStart w:id="1735" w:name="Tc_Jd0u6h3VTk-m577QcL6QtA_4_8"/>
      <w:bookmarkStart w:id="1736" w:name="Tc_Uclgr-633UCP1osIEtVl3g_4_5"/>
      <w:bookmarkStart w:id="1737" w:name="Tc_-gu-3kPn0UmsFksvOOnQyw_4_2"/>
      <w:bookmarkStart w:id="1738" w:name="Tc_0rpKQ9jzDES6aI82i4RBWQ_4_0"/>
      <w:bookmarkStart w:id="1739" w:name="Tc_m893PfEvnE-gOw3evpjXGw_3_2"/>
      <w:bookmarkStart w:id="1740" w:name="Tc_rk4m8IXcd0uSLYXmD06b6Q_2_8"/>
      <w:bookmarkStart w:id="1741" w:name="Tc_D9S6XGKUwUKDfiguDu8MMQ_2_5"/>
      <w:bookmarkStart w:id="1742" w:name="Tc_hQDK9cBV7UCbgGOSbFBOQg_2_2"/>
      <w:bookmarkStart w:id="1743" w:name="Tc_oPfXxQTzHEGRh9YWF__l1Q_1_2"/>
      <w:bookmarkStart w:id="1744" w:name="_cde11900_3948_4e2b_9d4c_86414b8eba11"/>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r>
        <w:rPr>
          <w:rFonts w:ascii="Times New Roman;Times;serif" w:hAnsi="Times New Roman;Times;serif"/>
          <w:b/>
          <w:sz w:val="20"/>
        </w:rPr>
        <w:t>11.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January 2, 2026, the Company adopted ASU 2023-09, “Income Taxes (Topic 740): Improvements to Income Tax Disclosures”. ASU 2023-09 amends the rules on income tax disclosures to require entities to disclose specific categories in the rate reconciliation, the income or loss from continuing operations before income tax expense or benefit (separated between domestic and foreign) and income tax expense or benefit from continuing operations (separated by federal, state, and foreign). ASU 2023-09 further requires entities to disclose their income tax payments to international, federal, state, and local jurisdictions, among other changes.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permitted by ASU 2023-09, the Company adopted this standard on a </w:t>
      </w:r>
      <w:r>
        <w:rPr>
          <w:rFonts w:ascii="Times New Roman;Times;serif" w:hAnsi="Times New Roman;Times;serif"/>
          <w:b w:val="false"/>
          <w:i w:val="false"/>
          <w:caps w:val="false"/>
          <w:smallCaps w:val="false"/>
          <w:sz w:val="20"/>
        </w:rPr>
        <w:t>prospective</w:t>
      </w:r>
      <w:r>
        <w:rPr>
          <w:rFonts w:ascii="Times New Roman;Times;serif" w:hAnsi="Times New Roman;Times;serif"/>
          <w:sz w:val="20"/>
        </w:rPr>
        <w:t xml:space="preserve"> basis starting with its fiscal year 2025 annual reporting period.</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provision for income taxes is comprised of </w:t>
      </w:r>
      <w:r>
        <w:rPr>
          <w:rFonts w:ascii="Times New Roman;Times;serif" w:hAnsi="Times New Roman;Times;serif"/>
          <w:sz w:val="15"/>
        </w:rPr>
        <w:t>(1)</w:t>
      </w:r>
      <w:r>
        <w:rPr>
          <w:rFonts w:ascii="Times New Roman;Times;serif" w:hAnsi="Times New Roman;Times;serif"/>
          <w:sz w:val="20"/>
        </w:rPr>
        <w:t>:</w:t>
      </w:r>
    </w:p>
    <w:p>
      <w:pPr>
        <w:pStyle w:val="TextBody"/>
        <w:bidi w:val="0"/>
        <w:spacing w:before="0" w:after="0"/>
        <w:ind w:left="0" w:right="0" w:hanging="0"/>
        <w:jc w:val="left"/>
        <w:rPr/>
      </w:pPr>
      <w:r>
        <w:rPr/>
        <w:t>​</w:t>
      </w:r>
    </w:p>
    <w:tbl>
      <w:tblPr>
        <w:tblW w:w="5676" w:type="dxa"/>
        <w:jc w:val="left"/>
        <w:tblInd w:w="0" w:type="dxa"/>
        <w:tblLayout w:type="fixed"/>
        <w:tblCellMar>
          <w:top w:w="0" w:type="dxa"/>
          <w:left w:w="0" w:type="dxa"/>
          <w:bottom w:w="0" w:type="dxa"/>
          <w:right w:w="0" w:type="dxa"/>
        </w:tblCellMar>
      </w:tblPr>
      <w:tblGrid>
        <w:gridCol w:w="1876"/>
        <w:gridCol w:w="346"/>
        <w:gridCol w:w="211"/>
        <w:gridCol w:w="796"/>
        <w:gridCol w:w="346"/>
        <w:gridCol w:w="211"/>
        <w:gridCol w:w="571"/>
        <w:gridCol w:w="346"/>
        <w:gridCol w:w="211"/>
        <w:gridCol w:w="571"/>
        <w:gridCol w:w="19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191260" cy="175260"/>
                      <wp:effectExtent l="0" t="0" r="0" b="0"/>
                      <wp:wrapNone/>
                      <wp:docPr id="427" name="Frame426"/>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05460" cy="175260"/>
                      <wp:effectExtent l="0" t="0" r="0" b="0"/>
                      <wp:wrapNone/>
                      <wp:docPr id="430" name="Frame4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62585" cy="175260"/>
                      <wp:effectExtent l="0" t="0" r="0" b="0"/>
                      <wp:wrapNone/>
                      <wp:docPr id="433" name="Frame4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19710" cy="175260"/>
                      <wp:effectExtent l="0" t="0" r="0" b="0"/>
                      <wp:wrapNone/>
                      <wp:docPr id="434"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62585" cy="175260"/>
                      <wp:effectExtent l="0" t="0" r="0" b="0"/>
                      <wp:wrapNone/>
                      <wp:docPr id="436" name="Frame4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21285" cy="175260"/>
                      <wp:effectExtent l="0" t="0" r="0" b="0"/>
                      <wp:wrapNone/>
                      <wp:docPr id="437" name="Frame43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191" w:type="dxa"/>
            <w:tcBorders/>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5676"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3"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91" w:type="dxa"/>
            <w:tcBorders/>
            <w:vAlign w:val="center"/>
          </w:tcPr>
          <w:p>
            <w:pPr>
              <w:pStyle w:val="TableContents"/>
              <w:bidi w:val="0"/>
              <w:spacing w:before="0" w:after="0"/>
              <w:ind w:left="0" w:right="0" w:hanging="0"/>
              <w:jc w:val="center"/>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federal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state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191"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foreign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federal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191" w:type="dxa"/>
            <w:tcBorders/>
            <w:vAlign w:val="center"/>
          </w:tcPr>
          <w:p>
            <w:pPr>
              <w:pStyle w:val="TableContents"/>
              <w:bidi w:val="0"/>
              <w:spacing w:before="0" w:after="0"/>
              <w:ind w:left="0" w:right="0" w:hanging="0"/>
              <w:jc w:val="left"/>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state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191" w:type="dxa"/>
            <w:tcBorders/>
            <w:vAlign w:val="center"/>
          </w:tcPr>
          <w:p>
            <w:pPr>
              <w:pStyle w:val="TableContents"/>
              <w:bidi w:val="0"/>
              <w:spacing w:before="0" w:after="0"/>
              <w:ind w:left="0" w:right="0" w:hanging="0"/>
              <w:jc w:val="left"/>
              <w:rPr/>
            </w:pPr>
            <w:r>
              <w:rPr/>
              <w:t>​</w:t>
            </w:r>
          </w:p>
        </w:tc>
      </w:tr>
    </w:tbl>
    <w:tbl>
      <w:tblPr>
        <w:tblW w:w="7791" w:type="dxa"/>
        <w:jc w:val="left"/>
        <w:tblInd w:w="0" w:type="dxa"/>
        <w:tblLayout w:type="fixed"/>
        <w:tblCellMar>
          <w:top w:w="28" w:type="dxa"/>
          <w:left w:w="28" w:type="dxa"/>
          <w:bottom w:w="28" w:type="dxa"/>
          <w:right w:w="28" w:type="dxa"/>
        </w:tblCellMar>
      </w:tblPr>
      <w:tblGrid>
        <w:gridCol w:w="124"/>
        <w:gridCol w:w="31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from the Company’s foreign operations was immaterial for fiscal years 2025, 2024, and 2023.</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reconciles to the amounts computed by applying the statutory federal tax rate of 21% for fiscal years 2025, 2024, and 2023 to the Company’s income before income taxes. The sources and tax effects of the differences for fiscal years 2025, 2024 and 2023 are as follows:</w:t>
      </w:r>
    </w:p>
    <w:p>
      <w:pPr>
        <w:pStyle w:val="TextBody"/>
        <w:bidi w:val="0"/>
        <w:spacing w:before="0" w:after="0"/>
        <w:ind w:left="0" w:right="0" w:hanging="0"/>
        <w:jc w:val="left"/>
        <w:rPr/>
      </w:pPr>
      <w:r>
        <w:rPr/>
        <w:t>​</w:t>
      </w:r>
    </w:p>
    <w:tbl>
      <w:tblPr>
        <w:tblW w:w="8181" w:type="dxa"/>
        <w:jc w:val="left"/>
        <w:tblInd w:w="0" w:type="dxa"/>
        <w:tblLayout w:type="fixed"/>
        <w:tblCellMar>
          <w:top w:w="0" w:type="dxa"/>
          <w:left w:w="0" w:type="dxa"/>
          <w:bottom w:w="0" w:type="dxa"/>
          <w:right w:w="0" w:type="dxa"/>
        </w:tblCellMar>
      </w:tblPr>
      <w:tblGrid>
        <w:gridCol w:w="5236"/>
        <w:gridCol w:w="346"/>
        <w:gridCol w:w="211"/>
        <w:gridCol w:w="1111"/>
        <w:gridCol w:w="109"/>
        <w:gridCol w:w="146"/>
        <w:gridCol w:w="631"/>
        <w:gridCol w:w="391"/>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324860" cy="175260"/>
                      <wp:effectExtent l="0" t="0" r="0" b="0"/>
                      <wp:wrapNone/>
                      <wp:docPr id="438" name="Frame437"/>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19710" cy="175260"/>
                      <wp:effectExtent l="0" t="0" r="0" b="0"/>
                      <wp:wrapNone/>
                      <wp:docPr id="439"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705485" cy="175260"/>
                      <wp:effectExtent l="0" t="0" r="0" b="0"/>
                      <wp:wrapNone/>
                      <wp:docPr id="441" name="Frame44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9215" cy="175260"/>
                      <wp:effectExtent l="0" t="0" r="0" b="0"/>
                      <wp:wrapNone/>
                      <wp:docPr id="442" name="Frame4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92710" cy="175260"/>
                      <wp:effectExtent l="0" t="0" r="0" b="0"/>
                      <wp:wrapNone/>
                      <wp:docPr id="443" name="Frame4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00685" cy="175260"/>
                      <wp:effectExtent l="0" t="0" r="0" b="0"/>
                      <wp:wrapNone/>
                      <wp:docPr id="444" name="Frame4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48285" cy="175260"/>
                      <wp:effectExtent l="0" t="0" r="0" b="0"/>
                      <wp:wrapNone/>
                      <wp:docPr id="445" name="Frame44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2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91" w:type="dxa"/>
            <w:tcBorders/>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5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Percent</w:t>
            </w:r>
          </w:p>
        </w:tc>
        <w:tc>
          <w:tcPr>
            <w:tcW w:w="39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8,398</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21.0 </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State and local income taxes, net of federal income tax effect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tax credit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 tax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Nontaxable and nondeductible items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3.3 </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(2,610)</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 nondeductible items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 </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efficiency building deduction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(18,509)</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0.2 </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0.1 </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(12,563)</w:t>
            </w:r>
          </w:p>
        </w:tc>
        <w:tc>
          <w:tcPr>
            <w:tcW w:w="109"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7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state and local jurisdiction that contribute to the majority (greater than 50%) of the tax effect in this category include California, New York State, and New York City.</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pPr>
      <w:bookmarkStart w:id="1745" w:name="Tc_8QUcP9rJjU2WZtJcCyvPow_24_5"/>
      <w:bookmarkStart w:id="1746" w:name="Tc_bnZLS47XdEWlmuakKnt6NA_24_2"/>
      <w:bookmarkStart w:id="1747" w:name="Tc_Us1JaK0E60-tL54hN54wWg_24_0"/>
      <w:bookmarkStart w:id="1748" w:name="Tc_f8afNVHhIEKaXC3cRGH50A_23_0"/>
      <w:bookmarkStart w:id="1749" w:name="Tc_RAsCoJ1ZQUCzuSUROCi5qQ_22_3"/>
      <w:bookmarkStart w:id="1750" w:name="Tc_lvKU848vEkqRvavp4PCb2w_22_0"/>
      <w:bookmarkStart w:id="1751" w:name="Tc__hR7YWI4q0i_VfngrmokSQ_21_6"/>
      <w:bookmarkStart w:id="1752" w:name="Tc_fdG71-Bs-0mp5TUojraWhg_21_0"/>
      <w:bookmarkStart w:id="1753" w:name="Tc_V3IldfYRv0S90_zudujEpw_20_0"/>
      <w:bookmarkStart w:id="1754" w:name="Tc_tKkOXH4unU2IRbstYK-cVQ_19_0"/>
      <w:bookmarkStart w:id="1755" w:name="Tc_Avj8WhOJHUC79w-0b5_zAQ_18_0"/>
      <w:bookmarkStart w:id="1756" w:name="Tc_g5Mkqax4tkC1Lud_M7CGxw_17_5"/>
      <w:bookmarkStart w:id="1757" w:name="Tc_iG3Xp0N4MEiBVyrwtJjeZg_17_2"/>
      <w:bookmarkStart w:id="1758" w:name="Tc_gEqll_FpJEWT_32rybH1pg_17_0"/>
      <w:bookmarkStart w:id="1759" w:name="Tc_O5j8zszTjEGzLO72z1MlKA_16_0"/>
      <w:bookmarkStart w:id="1760" w:name="Tc_lMOgq5r4kU2miF3CG8vFXw_15_5"/>
      <w:bookmarkStart w:id="1761" w:name="Tc_ZbV6DwTAW0WeHxbb8fcJWw_15_2"/>
      <w:bookmarkStart w:id="1762" w:name="Tc_ZDeDW6JOakC9BkKokaqXiA_15_0"/>
      <w:bookmarkStart w:id="1763" w:name="Tc_fs8UuCFMY0WEaOHmALIZaA_14_0"/>
      <w:bookmarkStart w:id="1764" w:name="Tc_lpwomf_ZQ0m2YrQU4lHuzQ_13_0"/>
      <w:bookmarkStart w:id="1765" w:name="Tc_AFB5jHdnZ0KA1lpmokPv0w_12_0"/>
      <w:bookmarkStart w:id="1766" w:name="Tc_43zMOP0d8Eic6yIZq6jXrQ_11_6"/>
      <w:bookmarkStart w:id="1767" w:name="Tc_nejiGEiCwUC_qv_E1FqT9g_11_0"/>
      <w:bookmarkStart w:id="1768" w:name="Tc_k93GJETkD0mEDPIU5Nuw2w_10_0"/>
      <w:bookmarkStart w:id="1769" w:name="Tc_A_UW0FDtGU647SXcqCRkoA_9_0"/>
      <w:bookmarkStart w:id="1770" w:name="Tc_Q77zZlyewEGhBdFcnInh_Q_8_0"/>
      <w:bookmarkStart w:id="1771" w:name="Tc_ChHTsTiFskqC6JCsxZ-MaQ_7_0"/>
      <w:bookmarkStart w:id="1772" w:name="Tc_5AJzZS_ZXkuxvdodVxeF3Q_6_0"/>
      <w:bookmarkStart w:id="1773" w:name="Tc_AveW1W4hyEqyrqSDLeTu8w_5_5"/>
      <w:bookmarkStart w:id="1774" w:name="Tc_eyu4E0uSCESHWh565SPTEA_5_2"/>
      <w:bookmarkStart w:id="1775" w:name="Tc_ThuKdz4yrEySVt9rwgBx5w_5_0"/>
      <w:bookmarkStart w:id="1776" w:name="Tc_Od--stnex0yVANwVOpxPoQ_4_0"/>
      <w:bookmarkStart w:id="1777" w:name="Tc_jIP5AQgPi0qC4s-zhHLBHA_3_2"/>
      <w:bookmarkStart w:id="1778" w:name="Tc_yde61fwf7UO5TDPDIjd1ow_2_5"/>
      <w:bookmarkStart w:id="1779" w:name="Tc_60aoe8mmGUqtV8KZOQWb0g_2_2"/>
      <w:bookmarkStart w:id="1780" w:name="Tc_KwXuZx8JNEyvde_AltGHwQ_1_5"/>
      <w:bookmarkStart w:id="1781" w:name="Tc_CCDL7asZD0mh3y7v8Y3T0w_1_2"/>
      <w:bookmarkStart w:id="1782" w:name="_bc24b5e6_f561_4c42_93b8_cdac3a96b4e5"/>
      <w:bookmarkStart w:id="1783" w:name="Tc_081o-oceE0yofQ5sIR5EQg_14_6"/>
      <w:bookmarkStart w:id="1784" w:name="Tc_1gbL-D-rJEyQ8omqXbzlsg_14_3"/>
      <w:bookmarkStart w:id="1785" w:name="Tc_pmDSCqJcUk-J2VYCcUrBOA_14_0"/>
      <w:bookmarkStart w:id="1786" w:name="Tc_xYYu5cGwq0anm9nWUwPnGg_13_4"/>
      <w:bookmarkStart w:id="1787" w:name="Tc_5LfL4tU9gEOCOJt7_0drTg_13_1"/>
      <w:bookmarkStart w:id="1788" w:name="Tc_d34EiuqNWUC4DQTEr3RsHw_13_0"/>
      <w:bookmarkStart w:id="1789" w:name="Tc_tW7kuyU7wEepu5w5ok3I0Q_12_0"/>
      <w:bookmarkStart w:id="1790" w:name="Tc_sKIgjsH2V0eYoW04QXdUxQ_11_5"/>
      <w:bookmarkStart w:id="1791" w:name="Tc_RfcQ9eDXk0SSP_-b-E_hBg_11_0"/>
      <w:bookmarkStart w:id="1792" w:name="Tc_6QPnXew_40GzvhqLgjz1JA_10_0"/>
      <w:bookmarkStart w:id="1793" w:name="Tc_UxupGUNP2kuwBxGvT3t4xg_9_0"/>
      <w:bookmarkStart w:id="1794" w:name="Tc_rNy9QekWH0arvnnja00s0g_8_0"/>
      <w:bookmarkStart w:id="1795" w:name="Tc_sho39xwSTEi7ZPV8HPmoFg_7_0"/>
      <w:bookmarkStart w:id="1796" w:name="Tc_AxhK7uHH2kOPjU9l4w4vJQ_6_0"/>
      <w:bookmarkStart w:id="1797" w:name="Tc_CTZQRlyoH0m8zxPDuHQUjw_5_0"/>
      <w:bookmarkStart w:id="1798" w:name="Tc_te4tNY43NkWrFfJyVmXH6A_4_4"/>
      <w:bookmarkStart w:id="1799" w:name="Tc_d5HohpUq9kOoResmTLK3UQ_4_1"/>
      <w:bookmarkStart w:id="1800" w:name="Tc_OdEO1tq_D0yyjqhDgvPRJA_4_0"/>
      <w:bookmarkStart w:id="1801" w:name="Tc_SVM1Wof0lU6gpVKdPvOn-Q_3_1"/>
      <w:bookmarkStart w:id="1802" w:name="Tc_Zj8PUDxmV0el_XC15iW-zQ_2_4"/>
      <w:bookmarkStart w:id="1803" w:name="Tc_VlfiPcKb-kyEHGo853t4EQ_2_1"/>
      <w:bookmarkStart w:id="1804" w:name="Tc_Ghlg_sgcfkO1-1GJGGODCw_1_1"/>
      <w:bookmarkStart w:id="1805" w:name="_18acf8a9_e4ed_4fb4_8747_0bdd5899061f"/>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r>
        <w:rPr/>
        <w:t>​</w:t>
      </w:r>
    </w:p>
    <w:tbl>
      <w:tblPr>
        <w:tblW w:w="7972" w:type="dxa"/>
        <w:jc w:val="left"/>
        <w:tblInd w:w="0" w:type="dxa"/>
        <w:tblLayout w:type="fixed"/>
        <w:tblCellMar>
          <w:top w:w="0" w:type="dxa"/>
          <w:left w:w="0" w:type="dxa"/>
          <w:bottom w:w="0" w:type="dxa"/>
          <w:right w:w="0" w:type="dxa"/>
        </w:tblCellMar>
      </w:tblPr>
      <w:tblGrid>
        <w:gridCol w:w="5626"/>
        <w:gridCol w:w="211"/>
        <w:gridCol w:w="691"/>
        <w:gridCol w:w="346"/>
        <w:gridCol w:w="211"/>
        <w:gridCol w:w="571"/>
        <w:gridCol w:w="316"/>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572510" cy="175260"/>
                      <wp:effectExtent l="0" t="0" r="0" b="0"/>
                      <wp:wrapNone/>
                      <wp:docPr id="446" name="Frame445"/>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7"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38785" cy="175260"/>
                      <wp:effectExtent l="0" t="0" r="0" b="0"/>
                      <wp:wrapNone/>
                      <wp:docPr id="448" name="Frame4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62585" cy="175260"/>
                      <wp:effectExtent l="0" t="0" r="0" b="0"/>
                      <wp:wrapNone/>
                      <wp:docPr id="451" name="Frame4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0660" cy="175260"/>
                      <wp:effectExtent l="0" t="0" r="0" b="0"/>
                      <wp:wrapNone/>
                      <wp:docPr id="452" name="Frame45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0"/>
              <w:ind w:left="0" w:right="0" w:hanging="0"/>
              <w:jc w:val="left"/>
              <w:rPr>
                <w:color w:val="0563C1"/>
              </w:rPr>
            </w:pPr>
            <w:r>
              <w:rPr>
                <w:color w:val="0563C1"/>
              </w:rPr>
              <w:t>​</w:t>
            </w:r>
          </w:p>
        </w:tc>
        <w:tc>
          <w:tcPr>
            <w:tcW w:w="2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c>
          <w:tcPr>
            <w:tcW w:w="316" w:type="dxa"/>
            <w:tcBorders/>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center"/>
              <w:rPr/>
            </w:pPr>
            <w:r>
              <w:rPr/>
              <w:t> </w:t>
            </w:r>
          </w:p>
        </w:tc>
      </w:tr>
      <w:tr>
        <w:trPr/>
        <w:tc>
          <w:tcPr>
            <w:tcW w:w="797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626" w:type="dxa"/>
            <w:tcBorders/>
            <w:vAlign w:val="center"/>
          </w:tcPr>
          <w:p>
            <w:pPr>
              <w:pStyle w:val="TableContents"/>
              <w:bidi w:val="0"/>
              <w:spacing w:before="0" w:after="0"/>
              <w:ind w:left="0" w:right="0" w:hanging="0"/>
              <w:jc w:val="left"/>
              <w:rPr/>
            </w:pPr>
            <w:r>
              <w:rPr/>
              <w:t>​</w:t>
            </w:r>
          </w:p>
        </w:tc>
        <w:tc>
          <w:tcPr>
            <w:tcW w:w="2030"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c>
          <w:tcPr>
            <w:tcW w:w="316" w:type="dxa"/>
            <w:tcBorders/>
            <w:vAlign w:val="center"/>
          </w:tcPr>
          <w:p>
            <w:pPr>
              <w:pStyle w:val="TableContents"/>
              <w:bidi w:val="0"/>
              <w:spacing w:before="0" w:after="0"/>
              <w:ind w:left="0" w:right="0" w:hanging="0"/>
              <w:jc w:val="center"/>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Computed “expected” federal income tax expense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 differences</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16"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Nondeductible executive compensation</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and disqualifying dispositions</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16"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Energy efficient building deduction</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and deferred state income tax expense, net of federal benefit</w:t>
            </w:r>
          </w:p>
        </w:tc>
        <w:tc>
          <w:tcPr>
            <w:tcW w:w="211"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16"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tax credit</w:t>
            </w:r>
          </w:p>
        </w:tc>
        <w:tc>
          <w:tcPr>
            <w:tcW w:w="211"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w:t>
            </w:r>
          </w:p>
        </w:tc>
        <w:tc>
          <w:tcPr>
            <w:tcW w:w="316"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effective tax rate includes the impact of discrete items such as the excess tax benefit on stock compensation deductions. Stock compensation deductions are recognized in the period in which stock awards vest, or exercise, and are calculated as the difference between the recorded stock compensation expense and the amount realized at the vesting or exercise date. In addition, the Company’s effective tax rate includes estimates related to deductions related to energy-efficiency building deduction under Section 179D. These estimates are calculated based on the most readily available information including building-specific data, estimated project completion dates, estimated deduction rates, and related tax law guidance. Changes related to estimates are recognized in the period in which they occur.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tax effects of temporary differences that give rise to significant portions of the net deferred tax assets and liabilities are as follows:</w:t>
      </w:r>
    </w:p>
    <w:p>
      <w:pPr>
        <w:pStyle w:val="TextBody"/>
        <w:bidi w:val="0"/>
        <w:spacing w:before="0" w:after="0"/>
        <w:ind w:left="0" w:right="0" w:hanging="0"/>
        <w:jc w:val="left"/>
        <w:rPr/>
      </w:pPr>
      <w:r>
        <w:rPr/>
        <w:t>​</w:t>
      </w:r>
    </w:p>
    <w:tbl>
      <w:tblPr>
        <w:tblW w:w="6065" w:type="dxa"/>
        <w:jc w:val="left"/>
        <w:tblInd w:w="0" w:type="dxa"/>
        <w:tblLayout w:type="fixed"/>
        <w:tblCellMar>
          <w:top w:w="0" w:type="dxa"/>
          <w:left w:w="0" w:type="dxa"/>
          <w:bottom w:w="0" w:type="dxa"/>
          <w:right w:w="0" w:type="dxa"/>
        </w:tblCellMar>
      </w:tblPr>
      <w:tblGrid>
        <w:gridCol w:w="3226"/>
        <w:gridCol w:w="346"/>
        <w:gridCol w:w="211"/>
        <w:gridCol w:w="796"/>
        <w:gridCol w:w="346"/>
        <w:gridCol w:w="228"/>
        <w:gridCol w:w="912"/>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048510" cy="175260"/>
                      <wp:effectExtent l="0" t="0" r="0" b="0"/>
                      <wp:wrapNone/>
                      <wp:docPr id="453" name="Frame452"/>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710" cy="175260"/>
                      <wp:effectExtent l="0" t="0" r="0" b="0"/>
                      <wp:wrapNone/>
                      <wp:docPr id="454"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5"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05460" cy="175260"/>
                      <wp:effectExtent l="0" t="0" r="0" b="0"/>
                      <wp:wrapNone/>
                      <wp:docPr id="456" name="Frame4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44780" cy="175260"/>
                      <wp:effectExtent l="0" t="0" r="0" b="0"/>
                      <wp:wrapNone/>
                      <wp:docPr id="458" name="Frame45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579120" cy="175260"/>
                      <wp:effectExtent l="0" t="0" r="0" b="0"/>
                      <wp:wrapNone/>
                      <wp:docPr id="459" name="Frame458"/>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6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93"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 and state net operating losses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11,451</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4,269</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carryforwards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business interest limitation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29,536</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41,089</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28,430</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(2,813)</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(5,475)</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(4,432)</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(14,459)</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(15,084)</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13,346</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806" w:name="Tc_zb4vd-5Zzkic16ldJlWE-w_13_2"/>
      <w:bookmarkStart w:id="1807" w:name="Tc_wjQCKW9NQke4gXJK0l_gYA_13_0"/>
      <w:bookmarkStart w:id="1808" w:name="Tc_v3-vHxt5Yk6oMBlbckM0BQ_11_0"/>
      <w:bookmarkStart w:id="1809" w:name="Tc_hGJt9_wRCEKFL1CzdLNOOg_10_0"/>
      <w:bookmarkStart w:id="1810" w:name="Tc__WjMJ8RhW0eflQp4MZ_VCw_9_0"/>
      <w:bookmarkStart w:id="1811" w:name="Tc_xUwB1P2uEk2s5VbqysiXew_8_0"/>
      <w:bookmarkStart w:id="1812" w:name="Tc_jpe3Rf7zIEa1djM6PsXrQw_7_0"/>
      <w:bookmarkStart w:id="1813" w:name="Tc_Kn5bqESBHkSScG-2enCUkQ_6_0"/>
      <w:bookmarkStart w:id="1814" w:name="Tc_wyUqfPLu606E9DHmAT-fvw_4_2"/>
      <w:bookmarkStart w:id="1815" w:name="Tc_qILnQOYJ20i__xqDaJkkFw_4_0"/>
      <w:bookmarkStart w:id="1816" w:name="Tc_cMFan5Hur0GK0s2urHi_Eg_3_2"/>
      <w:bookmarkStart w:id="1817" w:name="Tc_b5zmV4WIgUmqnsCN3WkJZg_2_2"/>
      <w:bookmarkStart w:id="1818" w:name="Tc_amI2H2NZ8E-zlG-aH9X3Dw_1_2"/>
      <w:bookmarkStart w:id="1819" w:name="_2500676e_065c_4061_893f_96c8a45e9c43"/>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r>
        <w:rPr>
          <w:rFonts w:ascii="Times New Roman;Times;serif" w:hAnsi="Times New Roman;Times;serif"/>
          <w:sz w:val="20"/>
        </w:rPr>
        <w:t>As of January 2, 2026, the Company had federal and state operating loss carryovers of $67.0 million and $78.6 million, respectively. As of January 2, 2026, the Company had a federal tax credit carryforward of $4.2 million, and an immaterial amount of state tax credit carryforward. The federal net operating losses begin to expire in 2028. The majority of the state net operating loss carryovers will begin to expire in 2031.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each fiscal year, management assesses the available positive and negative evidence to estimate if sufficient future taxable income will be generated to utilize existing deferred tax assets. During fiscal year 2025, no change was made to the tax valuation allowance as the available positive and negative evidence did not warrant for any changes. During fiscal year 2024, $0.1 million of the valuation allowance was released due to expected future utilization of deferred tax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January 2, 2026 and December 27, 2024, the Company’s liabilities related to uncertain tax positions were immaterial to the consolidated financial statements. The Company may be subject to examination by the Internal Revenue Service (“IRS”) for calendar </w:t>
      </w:r>
      <w:r>
        <w:rPr>
          <w:rFonts w:ascii="Times New Roman;Times;serif" w:hAnsi="Times New Roman;Times;serif"/>
          <w:b w:val="false"/>
          <w:i w:val="false"/>
          <w:caps w:val="false"/>
          <w:smallCaps w:val="false"/>
          <w:sz w:val="20"/>
        </w:rPr>
        <w:t>years 2022 through 2025</w:t>
      </w:r>
      <w:r>
        <w:rPr>
          <w:rFonts w:ascii="Times New Roman;Times;serif" w:hAnsi="Times New Roman;Times;serif"/>
          <w:sz w:val="20"/>
        </w:rPr>
        <w:t xml:space="preserve">. The Company may also be subject to examination on certain state and local jurisdictions for the </w:t>
      </w:r>
      <w:r>
        <w:rPr>
          <w:rFonts w:ascii="Times New Roman;Times;serif" w:hAnsi="Times New Roman;Times;serif"/>
          <w:b w:val="false"/>
          <w:i w:val="false"/>
          <w:caps w:val="false"/>
          <w:smallCaps w:val="false"/>
          <w:sz w:val="20"/>
        </w:rPr>
        <w:t>years 2021 through 2025</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policy is to recognize interest and penalties related to unrecognized tax benefits in income tax expense. As of January 2, 2026 and December 27, 2024, the Company did not have any unrecognized tax benefits. In addition, during the fiscal year 2025, the Company did not have any additions or reductions of unrecognized tax benefits.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4, 2025, the One Big Beautiful Bill Act (“OBBBA”) was signed into law. The legislation did not have a material impact on the Company's income tax expense for the year ended December 31, 2025. In addition, OBBA did not have a material impact to the Company's effective income tax rate for 2025. The OBBBA makes permanent some key tax provisions for tax year 2026, primarily the repeal of the energy-efficiency building deduction under Section 179D for property for which construction begins after June 30, 2026. </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cash paid for income taxes, net of refunds, during the year was as follows:</w:t>
      </w:r>
    </w:p>
    <w:p>
      <w:pPr>
        <w:pStyle w:val="TextBody"/>
        <w:bidi w:val="0"/>
        <w:spacing w:before="0" w:after="0"/>
        <w:ind w:left="0" w:right="0" w:hanging="0"/>
        <w:jc w:val="left"/>
        <w:rPr/>
      </w:pPr>
      <w:r>
        <w:rPr/>
        <w:t>​</w:t>
      </w:r>
    </w:p>
    <w:tbl>
      <w:tblPr>
        <w:tblW w:w="2882" w:type="dxa"/>
        <w:jc w:val="left"/>
        <w:tblInd w:w="0" w:type="dxa"/>
        <w:tblLayout w:type="fixed"/>
        <w:tblCellMar>
          <w:top w:w="0" w:type="dxa"/>
          <w:left w:w="0" w:type="dxa"/>
          <w:bottom w:w="0" w:type="dxa"/>
          <w:right w:w="0" w:type="dxa"/>
        </w:tblCellMar>
      </w:tblPr>
      <w:tblGrid>
        <w:gridCol w:w="1381"/>
        <w:gridCol w:w="346"/>
        <w:gridCol w:w="249"/>
        <w:gridCol w:w="906"/>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876935" cy="175260"/>
                      <wp:effectExtent l="0" t="0" r="0" b="0"/>
                      <wp:wrapNone/>
                      <wp:docPr id="460" name="Frame459"/>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58115" cy="175260"/>
                      <wp:effectExtent l="0" t="0" r="0" b="0"/>
                      <wp:wrapNone/>
                      <wp:docPr id="462" name="Frame46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75310" cy="175260"/>
                      <wp:effectExtent l="0" t="0" r="0" b="0"/>
                      <wp:wrapNone/>
                      <wp:docPr id="463" name="Frame462"/>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1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r>
      <w:tr>
        <w:trPr/>
        <w:tc>
          <w:tcPr>
            <w:tcW w:w="1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and Local</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left"/>
              <w:rPr/>
            </w:pPr>
            <w:r>
              <w:rPr/>
              <w:t>​</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California </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New York </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City</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left"/>
              <w:rPr/>
            </w:pPr>
            <w:r>
              <w:rPr/>
              <w:t>​</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2"/>
              </w:rPr>
            </w:pPr>
            <w:r>
              <w:rPr>
                <w:rFonts w:ascii="Times New Roman;Times;serif" w:hAnsi="Times New Roman;Times;serif"/>
                <w:sz w:val="22"/>
              </w:rPr>
              <w:t>2,338</w:t>
            </w:r>
          </w:p>
        </w:tc>
      </w:tr>
    </w:tbl>
    <w:p>
      <w:pPr>
        <w:pStyle w:val="TextBody"/>
        <w:bidi w:val="0"/>
        <w:spacing w:before="0" w:after="0"/>
        <w:ind w:left="0" w:right="0" w:hanging="0"/>
        <w:jc w:val="left"/>
        <w:rPr/>
      </w:pPr>
      <w:r>
        <w:rPr/>
        <w:t> </w:t>
      </w:r>
    </w:p>
    <w:p>
      <w:pPr>
        <w:pStyle w:val="TextBody"/>
        <w:bidi w:val="0"/>
        <w:spacing w:before="0" w:after="24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bookmarkStart w:id="1820" w:name="Tc_HpXgs0EmskK-vfGt3dYOJA_10_8"/>
      <w:bookmarkStart w:id="1821" w:name="Tc_jSo-AXSM6kacwiiCwlecZg_10_5"/>
      <w:bookmarkStart w:id="1822" w:name="Tc_IdkiaIYH5EmcH962BUKlhQ_10_2"/>
      <w:bookmarkStart w:id="1823" w:name="Tc_cWunKGP9CECpzlmv8in46g_10_0"/>
      <w:bookmarkStart w:id="1824" w:name="Tc_SqjD5Wf5zk69lQdxVquTvA_9_8"/>
      <w:bookmarkStart w:id="1825" w:name="Tc_tTgOW0Tn40GQIeYvttaosg_9_5"/>
      <w:bookmarkStart w:id="1826" w:name="Tc_jToMUilP-Ey8YRkShdvxIg_9_2"/>
      <w:bookmarkStart w:id="1827" w:name="Tc_Mb9FwA53NkiwBX8gkiNEhQ_9_0"/>
      <w:bookmarkStart w:id="1828" w:name="Tc_hqdVtiwbXEuMusN7_djnOw_8_0"/>
      <w:bookmarkStart w:id="1829" w:name="Tc_9baq2R9-gU6kWo-R7lze8A_7_0"/>
      <w:bookmarkStart w:id="1830" w:name="Tc_v_62UhjIlkGORZUm_XDL_g_6_0"/>
      <w:bookmarkStart w:id="1831" w:name="Tc__GaOdvv0q06-fHXSIOtmQw_5_0"/>
      <w:bookmarkStart w:id="1832" w:name="Tc_BBQukrO240COqi9Xdxx4Mg_4_8"/>
      <w:bookmarkStart w:id="1833" w:name="Tc_cR03M85liU2aFDu73klbPw_4_5"/>
      <w:bookmarkStart w:id="1834" w:name="Tc_V_ZVXb6lrUq9wBjIM1bDnA_4_2"/>
      <w:bookmarkStart w:id="1835" w:name="Tc_vNI4M_vuQEWyX0WgW-1bKg_4_0"/>
      <w:bookmarkStart w:id="1836" w:name="Tc_4hbmgXAhYECr6vWgoKO0ag_3_2"/>
      <w:bookmarkStart w:id="1837" w:name="Tc__vj9Ka0OUUaOdF-JcmlKEw_2_8"/>
      <w:bookmarkStart w:id="1838" w:name="Tc_6voGW7dTiki2ThYFvCIXow_2_5"/>
      <w:bookmarkStart w:id="1839" w:name="Tc_YLSf-rhM10qYDJgyzhEDtA_2_2"/>
      <w:bookmarkStart w:id="1840" w:name="Tc_r6_dKSDIC0K1D6BMnadmvQ_1_2"/>
      <w:bookmarkStart w:id="1841" w:name="_a579fbe4_7719_41e2_a436_255d75b614d0"/>
      <w:bookmarkStart w:id="1842" w:name="_a04e72d0_4edf_48aa_bba0_53a710ddefa6"/>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r>
        <w:rPr>
          <w:rFonts w:ascii="Times New Roman;Times;serif" w:hAnsi="Times New Roman;Times;serif"/>
          <w:b/>
          <w:sz w:val="20"/>
        </w:rPr>
        <w:t>12. EARNINGS PER SHARE (“EPS”)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Basic EPS is computed by dividing net income available to common stockholders by the weighted-average number of common shares outstanding. Diluted EPS is computed by dividing net income by the weighted-average number of common shares outstanding and dilutive potential common shares for the period. Potential common shares include the weighted-average dilutive effects of outstanding stock options and restricted stock awards using the treasury stock method.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number of weighted-average common shares outstanding used to compute basic and diluted EPS:</w:t>
      </w:r>
    </w:p>
    <w:p>
      <w:pPr>
        <w:pStyle w:val="TextBody"/>
        <w:bidi w:val="0"/>
        <w:spacing w:before="0" w:after="0"/>
        <w:ind w:left="0" w:right="0" w:hanging="0"/>
        <w:jc w:val="left"/>
        <w:rPr/>
      </w:pPr>
      <w:r>
        <w:rPr/>
        <w:t>​</w:t>
      </w:r>
    </w:p>
    <w:tbl>
      <w:tblPr>
        <w:tblW w:w="8368" w:type="dxa"/>
        <w:jc w:val="left"/>
        <w:tblInd w:w="0" w:type="dxa"/>
        <w:tblLayout w:type="fixed"/>
        <w:tblCellMar>
          <w:top w:w="0" w:type="dxa"/>
          <w:left w:w="0" w:type="dxa"/>
          <w:bottom w:w="0" w:type="dxa"/>
          <w:right w:w="0" w:type="dxa"/>
        </w:tblCellMar>
      </w:tblPr>
      <w:tblGrid>
        <w:gridCol w:w="4861"/>
        <w:gridCol w:w="109"/>
        <w:gridCol w:w="211"/>
        <w:gridCol w:w="676"/>
        <w:gridCol w:w="346"/>
        <w:gridCol w:w="211"/>
        <w:gridCol w:w="676"/>
        <w:gridCol w:w="346"/>
        <w:gridCol w:w="211"/>
        <w:gridCol w:w="721"/>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3086735" cy="175260"/>
                      <wp:effectExtent l="0" t="0" r="0" b="0"/>
                      <wp:wrapNone/>
                      <wp:docPr id="464" name="Frame463"/>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9215" cy="175260"/>
                      <wp:effectExtent l="0" t="0" r="0" b="0"/>
                      <wp:wrapNone/>
                      <wp:docPr id="465" name="Frame4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29260" cy="175260"/>
                      <wp:effectExtent l="0" t="0" r="0" b="0"/>
                      <wp:wrapNone/>
                      <wp:docPr id="467" name="Frame4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33985" cy="175260"/>
                      <wp:effectExtent l="0" t="0" r="0" b="0"/>
                      <wp:wrapNone/>
                      <wp:docPr id="469" name="Frame4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29260" cy="175260"/>
                      <wp:effectExtent l="0" t="0" r="0" b="0"/>
                      <wp:wrapNone/>
                      <wp:docPr id="470" name="Frame4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33985" cy="175260"/>
                      <wp:effectExtent l="0" t="0" r="0" b="0"/>
                      <wp:wrapNone/>
                      <wp:docPr id="472" name="Frame4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57835" cy="175260"/>
                      <wp:effectExtent l="0" t="0" r="0" b="0"/>
                      <wp:wrapNone/>
                      <wp:docPr id="473" name="Frame4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39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4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36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8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398" w:type="dxa"/>
            <w:gridSpan w:val="8"/>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13,394</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 awards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13,606</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r>
      <w:tr>
        <w:trPr/>
        <w:tc>
          <w:tcPr>
            <w:tcW w:w="4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0.80</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shd w:fill="FFFFFF" w:val="clear"/>
        </w:rPr>
      </w:pPr>
      <w:r>
        <w:rPr>
          <w:shd w:fill="FFFFFF" w:val="clea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fiscal years 2025, 2024, and 2023, the Company excluded 4,000, 71,000 and 363,000 common shares subject to outstanding equity awards, respectively, from the calculation of diluted shares because their impact would have been anti-dilutive.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240"/>
        <w:ind w:left="0" w:right="0" w:hanging="0"/>
        <w:jc w:val="left"/>
        <w:rPr>
          <w:rFonts w:ascii="Times New Roman;Times;serif" w:hAnsi="Times New Roman;Times;serif"/>
          <w:b/>
          <w:sz w:val="20"/>
        </w:rPr>
      </w:pPr>
      <w:bookmarkStart w:id="1843" w:name="Tc_VshX5FTMGUGte_i-ezbMwQ_7_2"/>
      <w:bookmarkStart w:id="1844" w:name="Tc_VdyftuBVqESHPoWJE3umOg_7_0"/>
      <w:bookmarkStart w:id="1845" w:name="Tc_MWCbFQpZYkinVURnWQHNBQ_6_0"/>
      <w:bookmarkStart w:id="1846" w:name="Tc_LJCZlsTOVkiPB5jTStX0UA_5_0"/>
      <w:bookmarkStart w:id="1847" w:name="Tc_3DLC-MDSYUappfG1LTV3KA_4_3"/>
      <w:bookmarkStart w:id="1848" w:name="Tc_F_xop5URaESg5Z37Bc8EmA_4_0"/>
      <w:bookmarkStart w:id="1849" w:name="Tc_pKOxqp_8RUOAetfRiDcJAQ_3_2"/>
      <w:bookmarkStart w:id="1850" w:name="Tc_83LTEDi2t0OGNZLwMLFfSQ_3_0"/>
      <w:bookmarkStart w:id="1851" w:name="Tc_pkvJeVnP5Um2icxY13xYQA_2_2"/>
      <w:bookmarkStart w:id="1852" w:name="Tc_45Sxyq4NlUOPYWLs4dJfnA_1_2"/>
      <w:bookmarkStart w:id="1853" w:name="_6f0d1082_cf75_404e_8213_c5d47bd94742"/>
      <w:bookmarkEnd w:id="1843"/>
      <w:bookmarkEnd w:id="1844"/>
      <w:bookmarkEnd w:id="1845"/>
      <w:bookmarkEnd w:id="1846"/>
      <w:bookmarkEnd w:id="1847"/>
      <w:bookmarkEnd w:id="1848"/>
      <w:bookmarkEnd w:id="1849"/>
      <w:bookmarkEnd w:id="1850"/>
      <w:bookmarkEnd w:id="1851"/>
      <w:bookmarkEnd w:id="1852"/>
      <w:bookmarkEnd w:id="1853"/>
      <w:r>
        <w:rPr>
          <w:rFonts w:ascii="Times New Roman;Times;serif" w:hAnsi="Times New Roman;Times;serif"/>
          <w:b/>
          <w:sz w:val="20"/>
        </w:rPr>
        <w:t>13. BUSINESS COMBINATIONS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Acquisition of Alternative Power Generation, Inc.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March 3, 2025</w:t>
      </w:r>
      <w:r>
        <w:rPr>
          <w:rFonts w:ascii="Times New Roman;Times;serif" w:hAnsi="Times New Roman;Times;serif"/>
          <w:sz w:val="24"/>
        </w:rPr>
        <w:t> </w:t>
      </w:r>
      <w:r>
        <w:rPr>
          <w:rFonts w:ascii="Times New Roman;Times;serif" w:hAnsi="Times New Roman;Times;serif"/>
          <w:sz w:val="20"/>
        </w:rPr>
        <w:t>(the “APG Closing Date”), the Company acquired all of the capital stock of Alternative Power Generation, Inc.</w:t>
      </w:r>
      <w:r>
        <w:rPr>
          <w:rFonts w:ascii="Times New Roman;Times;serif" w:hAnsi="Times New Roman;Times;serif"/>
          <w:sz w:val="24"/>
        </w:rPr>
        <w:t> </w:t>
      </w:r>
      <w:r>
        <w:rPr>
          <w:rFonts w:ascii="Times New Roman;Times;serif" w:hAnsi="Times New Roman;Times;serif"/>
          <w:sz w:val="20"/>
        </w:rPr>
        <w:t>(“APG”). APG provides innovative, progressive, and customized electric power solutions for EV charging, solar, AI data centers, microgrids, battery energy storage systems (“BESS”), and substations. APG offers consulting, design, engineering, procurement, and construction management. APG’s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w:t>
      </w:r>
      <w:r>
        <w:rPr>
          <w:rFonts w:ascii="Times New Roman;Times;serif" w:hAnsi="Times New Roman;Times;serif"/>
          <w:b w:val="false"/>
          <w:i w:val="false"/>
          <w:caps w:val="false"/>
          <w:smallCaps w:val="false"/>
          <w:sz w:val="20"/>
        </w:rPr>
        <w:t>Energy</w:t>
      </w:r>
      <w:r>
        <w:rPr>
          <w:rFonts w:ascii="Times New Roman;Times;serif" w:hAnsi="Times New Roman;Times;serif"/>
          <w:sz w:val="24"/>
        </w:rPr>
        <w:t xml:space="preserve"> </w:t>
      </w:r>
      <w:r>
        <w:rPr>
          <w:rFonts w:ascii="Times New Roman;Times;serif" w:hAnsi="Times New Roman;Times;serif"/>
          <w:sz w:val="20"/>
        </w:rPr>
        <w:t>segment beginning in the first quarter of fiscal year 2025.</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 agreed to pay up to $43.5</w:t>
      </w:r>
      <w:r>
        <w:rPr>
          <w:rFonts w:ascii="Times New Roman;Times;serif" w:hAnsi="Times New Roman;Times;serif"/>
          <w:sz w:val="24"/>
        </w:rPr>
        <w:t> </w:t>
      </w:r>
      <w:r>
        <w:rPr>
          <w:rFonts w:ascii="Times New Roman;Times;serif" w:hAnsi="Times New Roman;Times;serif"/>
          <w:sz w:val="20"/>
        </w:rPr>
        <w:t>million for the purchase of all the capital stock of APG, which purchase price consists of (i) $19.5</w:t>
      </w:r>
      <w:r>
        <w:rPr>
          <w:rFonts w:ascii="Times New Roman;Times;serif" w:hAnsi="Times New Roman;Times;serif"/>
          <w:sz w:val="24"/>
        </w:rPr>
        <w:t> </w:t>
      </w:r>
      <w:r>
        <w:rPr>
          <w:rFonts w:ascii="Times New Roman;Times;serif" w:hAnsi="Times New Roman;Times;serif"/>
          <w:sz w:val="20"/>
        </w:rPr>
        <w:t>million in cash paid on the APG Closing Date (subject to holdbacks and adjustments), (ii) $6.0</w:t>
      </w:r>
      <w:r>
        <w:rPr>
          <w:rFonts w:ascii="Times New Roman;Times;serif" w:hAnsi="Times New Roman;Times;serif"/>
          <w:sz w:val="24"/>
        </w:rPr>
        <w:t> </w:t>
      </w:r>
      <w:r>
        <w:rPr>
          <w:rFonts w:ascii="Times New Roman;Times;serif" w:hAnsi="Times New Roman;Times;serif"/>
          <w:sz w:val="20"/>
        </w:rPr>
        <w:t>million in shares of the Company’s common stock, based on the closing average price per share of the Company’s common stock for the twenty</w:t>
      </w:r>
      <w:r>
        <w:rPr>
          <w:rFonts w:ascii="Times New Roman;Times;serif" w:hAnsi="Times New Roman;Times;serif"/>
          <w:sz w:val="24"/>
        </w:rPr>
        <w:t> </w:t>
      </w:r>
      <w:r>
        <w:rPr>
          <w:rFonts w:ascii="Times New Roman;Times;serif" w:hAnsi="Times New Roman;Times;serif"/>
          <w:sz w:val="20"/>
        </w:rPr>
        <w:t>trading days preceding the APG Closing Date, and (iii) up to $18.0</w:t>
      </w:r>
      <w:r>
        <w:rPr>
          <w:rFonts w:ascii="Times New Roman;Times;serif" w:hAnsi="Times New Roman;Times;serif"/>
          <w:sz w:val="24"/>
        </w:rPr>
        <w:t> </w:t>
      </w:r>
      <w:r>
        <w:rPr>
          <w:rFonts w:ascii="Times New Roman;Times;serif" w:hAnsi="Times New Roman;Times;serif"/>
          <w:sz w:val="20"/>
        </w:rPr>
        <w:t>million in cash if APG exceeds certain financial targets during the three years</w:t>
      </w:r>
      <w:r>
        <w:rPr>
          <w:rFonts w:ascii="Times New Roman;Times;serif" w:hAnsi="Times New Roman;Times;serif"/>
          <w:sz w:val="24"/>
        </w:rPr>
        <w:t> </w:t>
      </w:r>
      <w:r>
        <w:rPr>
          <w:rFonts w:ascii="Times New Roman;Times;serif" w:hAnsi="Times New Roman;Times;serif"/>
          <w:sz w:val="20"/>
        </w:rPr>
        <w:t>after the APG Closing Date. The Company used cash on hand and restricted common stock to fund the initial purchase price on the APG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APG’s assembled workforce. The Company estimates that the entire goodwill balance resulting from the acquisition of APG will be tax deductible.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engaged a third-party independent valuation specialist to assist in management’s determination of fair values of tangible and intangible assets acquired and liabilities assumed, including the determination of the fair value of the contingent consideration liability. The Company’s third-party independent valuation specialist determined the fair value of the contingent consideration liability utilizing a Monte Carlo valuation model, which involves a simulation of future revenues during the earn out-period using management’s best estimates, or a probability-weighted discounted cash flow analysis.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Consideration for the acquisition of APG includes the following:</w:t>
      </w:r>
    </w:p>
    <w:p>
      <w:pPr>
        <w:pStyle w:val="TextBody"/>
        <w:bidi w:val="0"/>
        <w:spacing w:before="0" w:after="0"/>
        <w:ind w:left="0" w:right="0" w:hanging="0"/>
        <w:jc w:val="left"/>
        <w:rPr/>
      </w:pPr>
      <w:r>
        <w:rPr/>
        <w:t>​</w:t>
      </w:r>
    </w:p>
    <w:tbl>
      <w:tblPr>
        <w:tblW w:w="5642" w:type="dxa"/>
        <w:jc w:val="left"/>
        <w:tblInd w:w="0" w:type="dxa"/>
        <w:tblLayout w:type="fixed"/>
        <w:tblCellMar>
          <w:top w:w="0" w:type="dxa"/>
          <w:left w:w="0" w:type="dxa"/>
          <w:bottom w:w="0" w:type="dxa"/>
          <w:right w:w="0" w:type="dxa"/>
        </w:tblCellMar>
      </w:tblPr>
      <w:tblGrid>
        <w:gridCol w:w="4141"/>
        <w:gridCol w:w="346"/>
        <w:gridCol w:w="243"/>
        <w:gridCol w:w="912"/>
      </w:tblGrid>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54305" cy="175260"/>
                      <wp:effectExtent l="0" t="0" r="0" b="0"/>
                      <wp:wrapNone/>
                      <wp:docPr id="475" name="Frame47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579120" cy="175260"/>
                      <wp:effectExtent l="0" t="0" r="0" b="0"/>
                      <wp:wrapNone/>
                      <wp:docPr id="476" name="Frame475"/>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APG</w:t>
            </w:r>
          </w:p>
        </w:tc>
      </w:tr>
      <w:tr>
        <w:trPr/>
        <w:tc>
          <w:tcPr>
            <w:tcW w:w="4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working capital adjustments and holdbacks</w:t>
            </w:r>
          </w:p>
        </w:tc>
        <w:tc>
          <w:tcPr>
            <w:tcW w:w="34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5,557</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4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12,150</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4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36,829</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854" w:name="Tc_Hm4_uDHZCkmMGCfYF1TAow_11_2"/>
      <w:bookmarkStart w:id="1855" w:name="Tc_I50Z9Ys2F06WuTV8414IXA_11_0"/>
      <w:bookmarkStart w:id="1856" w:name="Tc_vPjGamCqmkaLQf1Lh4vyXw_10_0"/>
      <w:bookmarkStart w:id="1857" w:name="Tc_MfRTKPCGlUW-ArMg26WgWw_9_0"/>
      <w:bookmarkStart w:id="1858" w:name="Tc_7FTS4jxvgUKnEbrOAUCHRQ_8_0"/>
      <w:bookmarkStart w:id="1859" w:name="Tc_a1g7Vwtr4Ea23k6Lw5VeRg_7_0"/>
      <w:bookmarkStart w:id="1860" w:name="Tc_YJfaL-IVrEum_qCas_cpIg_6_0"/>
      <w:bookmarkStart w:id="1861" w:name="Tc_ZOtYhCkt9E-BB1NDlsQe1g_5_0"/>
      <w:bookmarkStart w:id="1862" w:name="Tc_cYWq5yfjAUWueoTZB9E0tQ_4_0"/>
      <w:bookmarkStart w:id="1863" w:name="Tc_PneJAFtP2Eu65lUnMRHtMw_3_2"/>
      <w:bookmarkStart w:id="1864" w:name="Tc_GavZTlldwkqxKeQA9JpfMw_3_0"/>
      <w:bookmarkStart w:id="1865" w:name="Tc_NNpSqGF4yUm_JT0omyeVMg_2_2"/>
      <w:bookmarkStart w:id="1866" w:name="Tc_N2ev2EBlf0mSt_Yf1kRRkw_1_2"/>
      <w:bookmarkStart w:id="1867" w:name="_9cf147fd_6f83_4007_bdd0_b8a78cee2652"/>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r>
        <w:rPr>
          <w:rFonts w:ascii="Times New Roman;Times;serif" w:hAnsi="Times New Roman;Times;serif"/>
          <w:sz w:val="20"/>
        </w:rPr>
        <w:t>The following table summarizes the amounts for the acquired assets recorded at their estimated fair value as of the acquisition date:</w:t>
      </w:r>
    </w:p>
    <w:p>
      <w:pPr>
        <w:pStyle w:val="TextBody"/>
        <w:bidi w:val="0"/>
        <w:spacing w:before="0" w:after="0"/>
        <w:ind w:left="0" w:right="0" w:hanging="0"/>
        <w:jc w:val="left"/>
        <w:rPr/>
      </w:pPr>
      <w:r>
        <w:rPr/>
        <w:t>​</w:t>
      </w:r>
    </w:p>
    <w:tbl>
      <w:tblPr>
        <w:tblW w:w="3752" w:type="dxa"/>
        <w:jc w:val="left"/>
        <w:tblInd w:w="0" w:type="dxa"/>
        <w:tblLayout w:type="fixed"/>
        <w:tblCellMar>
          <w:top w:w="0" w:type="dxa"/>
          <w:left w:w="0" w:type="dxa"/>
          <w:bottom w:w="0" w:type="dxa"/>
          <w:right w:w="0" w:type="dxa"/>
        </w:tblCellMar>
      </w:tblPr>
      <w:tblGrid>
        <w:gridCol w:w="2251"/>
        <w:gridCol w:w="346"/>
        <w:gridCol w:w="231"/>
        <w:gridCol w:w="924"/>
      </w:tblGrid>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46685" cy="175260"/>
                      <wp:effectExtent l="0" t="0" r="0" b="0"/>
                      <wp:wrapNone/>
                      <wp:docPr id="478" name="Frame47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586740" cy="175260"/>
                      <wp:effectExtent l="0" t="0" r="0" b="0"/>
                      <wp:wrapNone/>
                      <wp:docPr id="479" name="Frame478"/>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APG</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55" w:type="dxa"/>
            <w:gridSpan w:val="2"/>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10,606</w:t>
            </w:r>
          </w:p>
        </w:tc>
      </w:tr>
      <w:tr>
        <w:trPr/>
        <w:tc>
          <w:tcPr>
            <w:tcW w:w="225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Non-current assets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(12,549)</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lease liability</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31,613</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36,829</w:t>
            </w:r>
          </w:p>
        </w:tc>
      </w:tr>
    </w:tbl>
    <w:p>
      <w:pPr>
        <w:pStyle w:val="TextBody"/>
        <w:bidi w:val="0"/>
        <w:spacing w:before="0" w:after="0"/>
        <w:ind w:left="0" w:right="0" w:firstLine="720"/>
        <w:jc w:val="left"/>
        <w:rPr/>
      </w:pPr>
      <w:r>
        <w:rPr/>
        <w:t>​</w:t>
      </w:r>
    </w:p>
    <w:tbl>
      <w:tblPr>
        <w:tblW w:w="7341" w:type="dxa"/>
        <w:jc w:val="left"/>
        <w:tblInd w:w="0" w:type="dxa"/>
        <w:tblLayout w:type="fixed"/>
        <w:tblCellMar>
          <w:top w:w="28" w:type="dxa"/>
          <w:left w:w="28" w:type="dxa"/>
          <w:bottom w:w="28" w:type="dxa"/>
          <w:right w:w="28" w:type="dxa"/>
        </w:tblCellMar>
      </w:tblPr>
      <w:tblGrid>
        <w:gridCol w:w="124"/>
        <w:gridCol w:w="271"/>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Excluded from non-current assets are backlog, customer relationships, tradename, and goodwill.</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During the fiscal year 2025, the Company made adjustments, primarily related to other working capital adjustments and holdbacks, to the consideration paid for APG which resulted in an adjustment to the purchase price allocation of APG. The adjustments resulted in an increase of $6.9 million in the net carrying value of backlog and goodwill, and an aggregate decrease of $5.3 million in the net carrying value of customer relationships, and tradename. The change in the fair value of intangible assets resulted in a decrease in the amortization expense of $1.7 million to the consolidated financial statements for the fiscal year ended January 2,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fiscal year 2025, the acquisition related costs associated with APG were not material. During the fiscal year 2025, the acquisition of APG contributed $27.3 million in revenue and contributed $1.3 million in income (loss) from operations.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Other 2025 Acquisitions</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i/>
          <w:sz w:val="20"/>
        </w:rPr>
        <w:t>Acquisition of Compass Municipal Advisors, LLC</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January 2, 2026, (the “Compass Closing Date”), the Company acquired all the equity of Compass Municipal Advisors, LLC. (“Compass”). Compass is a full service municipal advisory firm providing a broad range of financial services to municipalities across the Southeast. Compass’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Company’s </w:t>
      </w:r>
      <w:r>
        <w:rPr>
          <w:rFonts w:ascii="Times New Roman;Times;serif" w:hAnsi="Times New Roman;Times;serif"/>
          <w:b w:val="false"/>
          <w:i w:val="false"/>
          <w:caps w:val="false"/>
          <w:smallCaps w:val="false"/>
          <w:sz w:val="20"/>
        </w:rPr>
        <w:t>Engineering and Consulting</w:t>
      </w:r>
      <w:r>
        <w:rPr>
          <w:rFonts w:ascii="Times New Roman;Times;serif" w:hAnsi="Times New Roman;Times;serif"/>
          <w:sz w:val="24"/>
        </w:rPr>
        <w:t xml:space="preserve"> </w:t>
      </w:r>
      <w:r>
        <w:rPr>
          <w:rFonts w:ascii="Times New Roman;Times;serif" w:hAnsi="Times New Roman;Times;serif"/>
          <w:sz w:val="20"/>
        </w:rPr>
        <w:t>segment beginning in the last day of the Company’s fourth quarter of fiscal year 2025.</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The Company agreed to pay (i) $3.5</w:t>
      </w:r>
      <w:r>
        <w:rPr>
          <w:rFonts w:ascii="Times New Roman;Times;serif" w:hAnsi="Times New Roman;Times;serif"/>
          <w:sz w:val="24"/>
        </w:rPr>
        <w:t> </w:t>
      </w:r>
      <w:r>
        <w:rPr>
          <w:rFonts w:ascii="Times New Roman;Times;serif" w:hAnsi="Times New Roman;Times;serif"/>
          <w:sz w:val="20"/>
        </w:rPr>
        <w:t>million in cash on the Compass Closing Date (subject to holdbacks and adjustments) and (ii) up to $1.0</w:t>
      </w:r>
      <w:r>
        <w:rPr>
          <w:rFonts w:ascii="Times New Roman;Times;serif" w:hAnsi="Times New Roman;Times;serif"/>
          <w:sz w:val="24"/>
        </w:rPr>
        <w:t> </w:t>
      </w:r>
      <w:r>
        <w:rPr>
          <w:rFonts w:ascii="Times New Roman;Times;serif" w:hAnsi="Times New Roman;Times;serif"/>
          <w:sz w:val="20"/>
        </w:rPr>
        <w:t>million in cash if Compass exceeds certain financial targets during the one year</w:t>
      </w:r>
      <w:r>
        <w:rPr>
          <w:rFonts w:ascii="Times New Roman;Times;serif" w:hAnsi="Times New Roman;Times;serif"/>
          <w:sz w:val="24"/>
        </w:rPr>
        <w:t> </w:t>
      </w:r>
      <w:r>
        <w:rPr>
          <w:rFonts w:ascii="Times New Roman;Times;serif" w:hAnsi="Times New Roman;Times;serif"/>
          <w:sz w:val="20"/>
        </w:rPr>
        <w:t>after the Compass Closing Date; for a potential maximum purchase price of $4.5</w:t>
      </w:r>
      <w:r>
        <w:rPr>
          <w:rFonts w:ascii="Times New Roman;Times;serif" w:hAnsi="Times New Roman;Times;serif"/>
          <w:sz w:val="24"/>
        </w:rPr>
        <w:t> </w:t>
      </w:r>
      <w:r>
        <w:rPr>
          <w:rFonts w:ascii="Times New Roman;Times;serif" w:hAnsi="Times New Roman;Times;serif"/>
          <w:sz w:val="20"/>
        </w:rPr>
        <w:t>million. The Company used cash on hand to fund the initial purchase price on the Compass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Compass’ assembled workforce. The Company estimates that the entire goodwill balance resulting from the acquisition will be tax deductible.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January 2, 2026, the preliminary consideration is comprised of $3.4 million in cash, $0.6 million in other working capital adjustments and holdbacks, and $0.9 million in contingent consideration. The preliminary fair value of the contingent consideration liability was estimated by discounting to present value the contingent payments expected to be made. The Company applied a discount rate derived from previous valuation studies performed by a third-party valuation firm for the Company’s historical acquisitions with similar characteristics. The preliminary estimate of the fair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values for intangible assets were calculated utilizing a weighted average allocation derived from previous valuation studies performed by a third-party valuation firm for the Company’s historical acquisitions with similar characteristics.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January 2, 2026, the purchase price allocation is preliminary and subject to change within the measurement period (not to exceed twelve months following the Compass Closing Date) and is primarily comprised of $2.0 million in customer relationships, and $2.0 million in goodwill. The areas of the purchase price allocation that are not yet finalized relate primarily to contingent consideration valuation, intangible assets, and goodwill.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expects to continue to obtain information for the purpose of determining the fair value of the assets acquired on the Compass Closing Date throughout the remainder of the measurement period. Accordingly, adjustments may be made as additional information is obtained about the facts and circumstances that existed as of the valuation date. In addition, the Company expects to engage a third-party independent valuation specialist to assist in management’s determination of fair values of intangible assets acquired. Any adjustments will be recorded in the period in which they are identified.</w:t>
      </w:r>
    </w:p>
    <w:p>
      <w:pPr>
        <w:pStyle w:val="TextBody"/>
        <w:bidi w:val="0"/>
        <w:spacing w:before="0" w:after="0"/>
        <w:ind w:left="0" w:right="0" w:hanging="0"/>
        <w:jc w:val="left"/>
        <w:rPr/>
      </w:pPr>
      <w:r>
        <w:rPr/>
        <w:t> </w:t>
      </w:r>
    </w:p>
    <w:p>
      <w:pPr>
        <w:pStyle w:val="TextBody"/>
        <w:bidi w:val="0"/>
        <w:spacing w:before="0" w:after="200"/>
        <w:ind w:left="0" w:right="0" w:hanging="0"/>
        <w:jc w:val="left"/>
        <w:rPr/>
      </w:pPr>
      <w:r>
        <w:rPr>
          <w:caps w:val="false"/>
          <w:smallCaps w:val="false"/>
        </w:rPr>
        <w:t> </w:t>
      </w:r>
      <w:r>
        <w:rPr>
          <w:rFonts w:ascii="Times New Roman;Times;serif" w:hAnsi="Times New Roman;Times;serif"/>
          <w:sz w:val="20"/>
        </w:rPr>
        <w:t>During the fiscal year 2025, the Company did not make any adjustments to the consideration paid for Compass, and as a result, there were no adjustments to the purchase price allocation for the fiscal year ended January 2, 2026. For the fiscal year 2025, there were no</w:t>
      </w:r>
      <w:r>
        <w:rPr>
          <w:rFonts w:ascii="Times New Roman;Times;serif" w:hAnsi="Times New Roman;Times;serif"/>
          <w:sz w:val="2"/>
        </w:rPr>
        <w:t xml:space="preserve"> </w:t>
      </w:r>
      <w:r>
        <w:rPr>
          <w:rFonts w:ascii="Times New Roman;Times;serif" w:hAnsi="Times New Roman;Times;serif"/>
          <w:sz w:val="20"/>
        </w:rPr>
        <w:t>acquisition related costs associated with Compass. During fiscal year 2025, Compass’ contributions to revenue and net income were not material to the Company’s consolidated financial statements.</w:t>
      </w:r>
    </w:p>
    <w:p>
      <w:pPr>
        <w:pStyle w:val="TextBody"/>
        <w:pBdr/>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Acquisition of Alpha Inspections, Inc.</w:t>
      </w:r>
    </w:p>
    <w:p>
      <w:pPr>
        <w:pStyle w:val="TextBody"/>
        <w:shd w:fill="FFFFFF" w:val="clear"/>
        <w:bidi w:val="0"/>
        <w:spacing w:before="0" w:after="240"/>
        <w:ind w:left="0" w:right="0" w:firstLine="720"/>
        <w:jc w:val="left"/>
        <w:rPr>
          <w:rFonts w:ascii="Times New Roman;Times;serif" w:hAnsi="Times New Roman;Times;serif"/>
          <w:sz w:val="24"/>
        </w:rPr>
      </w:pPr>
      <w:r>
        <w:rPr>
          <w:rFonts w:ascii="Times New Roman;Times;serif" w:hAnsi="Times New Roman;Times;serif"/>
          <w:sz w:val="20"/>
        </w:rPr>
        <w:t>On January 31, 2025</w:t>
      </w:r>
      <w:r>
        <w:rPr>
          <w:rFonts w:ascii="Times New Roman;Times;serif" w:hAnsi="Times New Roman;Times;serif"/>
          <w:sz w:val="24"/>
        </w:rPr>
        <w:t> </w:t>
      </w:r>
      <w:r>
        <w:rPr>
          <w:rFonts w:ascii="Times New Roman;Times;serif" w:hAnsi="Times New Roman;Times;serif"/>
          <w:sz w:val="20"/>
        </w:rPr>
        <w:t>(the “Alpha Closing Date”), the Company acquired all of the capital stock of Alpha Inspections, Inc.</w:t>
      </w:r>
      <w:r>
        <w:rPr>
          <w:rFonts w:ascii="Times New Roman;Times;serif" w:hAnsi="Times New Roman;Times;serif"/>
          <w:sz w:val="24"/>
        </w:rPr>
        <w:t> </w:t>
      </w:r>
      <w:r>
        <w:rPr>
          <w:rFonts w:ascii="Times New Roman;Times;serif" w:hAnsi="Times New Roman;Times;serif"/>
          <w:sz w:val="20"/>
        </w:rPr>
        <w:t>(“Alpha”). Alpha is a company that provides an array of municipal services including building inspections, and plan reviews. Alpha’s financial information is included</w:t>
      </w:r>
      <w:r>
        <w:rPr>
          <w:rFonts w:ascii="Times New Roman;Times;serif" w:hAnsi="Times New Roman;Times;serif"/>
          <w:sz w:val="24"/>
        </w:rPr>
        <w:t xml:space="preserve"> </w:t>
      </w:r>
      <w:r>
        <w:rPr>
          <w:rFonts w:ascii="Times New Roman;Times;serif" w:hAnsi="Times New Roman;Times;serif"/>
          <w:sz w:val="20"/>
        </w:rPr>
        <w:t xml:space="preserve">within the </w:t>
      </w:r>
      <w:r>
        <w:rPr>
          <w:rFonts w:ascii="Times New Roman;Times;serif" w:hAnsi="Times New Roman;Times;serif"/>
          <w:b w:val="false"/>
          <w:i w:val="false"/>
          <w:caps w:val="false"/>
          <w:smallCaps w:val="false"/>
          <w:sz w:val="20"/>
        </w:rPr>
        <w:t>Engineering and Consulting</w:t>
      </w:r>
      <w:r>
        <w:rPr>
          <w:rFonts w:ascii="Times New Roman;Times;serif" w:hAnsi="Times New Roman;Times;serif"/>
          <w:sz w:val="24"/>
        </w:rPr>
        <w:t xml:space="preserve"> </w:t>
      </w:r>
      <w:r>
        <w:rPr>
          <w:rFonts w:ascii="Times New Roman;Times;serif" w:hAnsi="Times New Roman;Times;serif"/>
          <w:sz w:val="20"/>
        </w:rPr>
        <w:t>segment beginning in the first quarter of fiscal year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agreed to pay $12.0 million to be paid in cash on the Alpha Closing Date (subject to holdbacks and adjustments). The Company used cash on hand to fund the purchase price on the Alpha Closing Date.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acquisition was accounted for as a business combination in accordance with ASC 805. Under ASC 805, the Company recorded the acquired assets and assumed liabilities at their estimated fair value with the excess allocated to goodwill. Goodwill represents the value the Company expects to achieve through the operational synergies, the expansion into new markets and Alpha’s assembled workforce. The Company estimates that the entire goodwill balance resulting from the acquisition of Alpha will be tax deductible.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engaged a third-party independent valuation specialist to assist in management’s determination of fair values of tangible and intangible assets acquired and liabilities assumed. The finalized purchase price allocation is primarily comprised of $6.0 million in customer relationships and $4.9 million in goodwill.</w:t>
      </w:r>
    </w:p>
    <w:p>
      <w:pPr>
        <w:pStyle w:val="TextBody"/>
        <w:bidi w:val="0"/>
        <w:spacing w:before="0" w:after="200"/>
        <w:ind w:left="0" w:right="0" w:hanging="0"/>
        <w:jc w:val="left"/>
        <w:rPr/>
      </w:pPr>
      <w:r>
        <w:rPr>
          <w:caps w:val="false"/>
          <w:smallCaps w:val="false"/>
        </w:rPr>
        <w:t>  </w:t>
      </w:r>
      <w:r>
        <w:rPr>
          <w:rFonts w:ascii="Times New Roman;Times;serif" w:hAnsi="Times New Roman;Times;serif"/>
          <w:sz w:val="20"/>
        </w:rPr>
        <w:t>During the fiscal year 2025, the Company made adjustments, primarily related to other working capital adjustments and holdbacks, to the consideration paid for Alpha, which resulted in an adjustment to the purchase price allocation of Alpha. The adjustments resulted in an aggregate increase of $3.6</w:t>
      </w:r>
      <w:r>
        <w:rPr>
          <w:rFonts w:ascii="Times New Roman;Times;serif" w:hAnsi="Times New Roman;Times;serif"/>
          <w:sz w:val="2"/>
        </w:rPr>
        <w:t> </w:t>
      </w:r>
      <w:r>
        <w:rPr>
          <w:rFonts w:ascii="Times New Roman;Times;serif" w:hAnsi="Times New Roman;Times;serif"/>
          <w:sz w:val="20"/>
        </w:rPr>
        <w:t>million in the net carrying value of customer relationships and non-current assets, and an aggregate decrease of $3.5</w:t>
      </w:r>
      <w:r>
        <w:rPr>
          <w:rFonts w:ascii="Times New Roman;Times;serif" w:hAnsi="Times New Roman;Times;serif"/>
          <w:sz w:val="2"/>
        </w:rPr>
        <w:t xml:space="preserve"> </w:t>
      </w:r>
      <w:r>
        <w:rPr>
          <w:rFonts w:ascii="Times New Roman;Times;serif" w:hAnsi="Times New Roman;Times;serif"/>
          <w:sz w:val="20"/>
        </w:rPr>
        <w:t>million in the net carrying value of backlog, tradename, liabilities, and goodwill. The change in the fair value of intangible assets resulted in a decrease of $0.1</w:t>
      </w:r>
      <w:r>
        <w:rPr>
          <w:rFonts w:ascii="Times New Roman;Times;serif" w:hAnsi="Times New Roman;Times;serif"/>
          <w:sz w:val="2"/>
        </w:rPr>
        <w:t xml:space="preserve"> </w:t>
      </w:r>
      <w:r>
        <w:rPr>
          <w:rFonts w:ascii="Times New Roman;Times;serif" w:hAnsi="Times New Roman;Times;serif"/>
          <w:sz w:val="20"/>
        </w:rPr>
        <w:t>million in the amortization expense for the fiscal year ended January 2, 2026.</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fiscal year 2025, the acquisition related costs associated with Alpha included in other general and administrative expenses in the consolidated statements of comprehensive income were not material. During fiscal year 2025, Alpha’s contributions to revenue and net income were not material to the Company’s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firstLine="720"/>
        <w:jc w:val="left"/>
        <w:rPr>
          <w:rFonts w:ascii="Times New Roman;Times;serif" w:hAnsi="Times New Roman;Times;serif"/>
          <w:sz w:val="20"/>
        </w:rPr>
      </w:pPr>
      <w:bookmarkStart w:id="1868" w:name="Tc_PlISV8VMbU27YGT21xIO8A_16_0"/>
      <w:bookmarkStart w:id="1869" w:name="Tc_YUAC9uxWn0WnfdWhOhhF_Q_15_0"/>
      <w:bookmarkStart w:id="1870" w:name="Tc_BhcpHsuUAESqYAIQ54_coQ_14_0"/>
      <w:bookmarkStart w:id="1871" w:name="Tc_3r0VvpbmK0KJQMPwMkOJsA_12_5"/>
      <w:bookmarkStart w:id="1872" w:name="Tc__MBCt8qZnUi_p8n4gppcTA_12_2"/>
      <w:bookmarkStart w:id="1873" w:name="Tc_zRia6T_oIUK4RcshIHGEVg_12_0"/>
      <w:bookmarkStart w:id="1874" w:name="Tc_4O-IQjtrhUuu6bjW7Sg2fg_11_5"/>
      <w:bookmarkStart w:id="1875" w:name="Tc_a5rJ7a7ozEqQ9G7t5_2A6w_11_2"/>
      <w:bookmarkStart w:id="1876" w:name="Tc_Icx1pK6tiEK3bMrwk7g6hQ_11_0"/>
      <w:bookmarkStart w:id="1877" w:name="Tc_IftD7HOfEkC2o_l0q8_26Q_10_0"/>
      <w:bookmarkStart w:id="1878" w:name="Tc_5DfwnmW9gU-Il4svmCMWBw_8_5"/>
      <w:bookmarkStart w:id="1879" w:name="Tc_GEXQwArulkamlhYLTYojMg_8_2"/>
      <w:bookmarkStart w:id="1880" w:name="Tc_-J6KpF-ldUCPpfJtSbcdOw_8_0"/>
      <w:bookmarkStart w:id="1881" w:name="Tc_U-LRgAbE1ESxJdb_ciMFBQ_7_5"/>
      <w:bookmarkStart w:id="1882" w:name="Tc_Nlqi5wnOV0GBlnVkjSpzyQ_7_2"/>
      <w:bookmarkStart w:id="1883" w:name="Tc_WFrsFyt_aEK52TgVxsRKOQ_7_0"/>
      <w:bookmarkStart w:id="1884" w:name="Tc_wM7ST6a4n0qdMRGzhhGR3Q_5_5"/>
      <w:bookmarkStart w:id="1885" w:name="Tc_DNbnN8WezUaVrL9_3m2-Xw_5_2"/>
      <w:bookmarkStart w:id="1886" w:name="Tc_YLwJkb82k0-9jYqeFwDQ3w_5_0"/>
      <w:bookmarkStart w:id="1887" w:name="Tc_Sc6oGvWqYkKfTvvBZHr9bA_4_2"/>
      <w:bookmarkStart w:id="1888" w:name="Tc_4txipnqmUES0ga40aKCgEw_3_2"/>
      <w:bookmarkStart w:id="1889" w:name="Tc_79ByBgJ1f0GSs_7iB-A-jg_2_5"/>
      <w:bookmarkStart w:id="1890" w:name="Tc_YdGPkjgZI02mf6JLSyhzeQ_2_2"/>
      <w:bookmarkStart w:id="1891" w:name="Tc_ezlJ7fyT6Ea6T1g1cwkeKA_1_2"/>
      <w:bookmarkStart w:id="1892" w:name="_882e2a3b_f5a3_490b_a426_f2308cd6774b"/>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r>
        <w:rPr>
          <w:rFonts w:ascii="Times New Roman;Times;serif" w:hAnsi="Times New Roman;Times;serif"/>
          <w:sz w:val="20"/>
        </w:rPr>
        <w:t>The following unaudited pro forma financial information for the fiscal years ended January 2, 2026 and December 27, 2024, assumes that the acquisitions of all the outstanding shares of Compass, APG, and Alpha, occurred on the first day of the year prior to the year of acquisition:</w:t>
      </w:r>
    </w:p>
    <w:p>
      <w:pPr>
        <w:pStyle w:val="TextBody"/>
        <w:bidi w:val="0"/>
        <w:spacing w:before="0" w:after="0"/>
        <w:ind w:left="0" w:right="0" w:hanging="0"/>
        <w:jc w:val="left"/>
        <w:rPr/>
      </w:pPr>
      <w:r>
        <w:rPr/>
        <w:t>​</w:t>
      </w:r>
    </w:p>
    <w:tbl>
      <w:tblPr>
        <w:tblW w:w="6465" w:type="dxa"/>
        <w:jc w:val="left"/>
        <w:tblInd w:w="0" w:type="dxa"/>
        <w:tblLayout w:type="fixed"/>
        <w:tblCellMar>
          <w:top w:w="0" w:type="dxa"/>
          <w:left w:w="0" w:type="dxa"/>
          <w:bottom w:w="0" w:type="dxa"/>
          <w:right w:w="0" w:type="dxa"/>
        </w:tblCellMar>
      </w:tblPr>
      <w:tblGrid>
        <w:gridCol w:w="3391"/>
        <w:gridCol w:w="346"/>
        <w:gridCol w:w="242"/>
        <w:gridCol w:w="898"/>
        <w:gridCol w:w="397"/>
        <w:gridCol w:w="242"/>
        <w:gridCol w:w="949"/>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53285" cy="175260"/>
                      <wp:effectExtent l="0" t="0" r="0" b="0"/>
                      <wp:wrapNone/>
                      <wp:docPr id="480" name="Frame479"/>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9710" cy="175260"/>
                      <wp:effectExtent l="0" t="0" r="0" b="0"/>
                      <wp:wrapNone/>
                      <wp:docPr id="481"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53670" cy="175260"/>
                      <wp:effectExtent l="0" t="0" r="0" b="0"/>
                      <wp:wrapNone/>
                      <wp:docPr id="482" name="Frame48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570230" cy="175260"/>
                      <wp:effectExtent l="0" t="0" r="0" b="0"/>
                      <wp:wrapNone/>
                      <wp:docPr id="483" name="Frame48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52095" cy="175260"/>
                      <wp:effectExtent l="0" t="0" r="0" b="0"/>
                      <wp:wrapNone/>
                      <wp:docPr id="484" name="Frame483"/>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53670" cy="175260"/>
                      <wp:effectExtent l="0" t="0" r="0" b="0"/>
                      <wp:wrapNone/>
                      <wp:docPr id="485" name="Frame48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02615" cy="175260"/>
                      <wp:effectExtent l="0" t="0" r="0" b="0"/>
                      <wp:wrapNone/>
                      <wp:docPr id="486" name="Frame485"/>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Year</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28"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data)</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28" w:type="dxa"/>
            <w:gridSpan w:val="5"/>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(Unaudited)</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690,448</w:t>
            </w:r>
          </w:p>
        </w:tc>
        <w:tc>
          <w:tcPr>
            <w:tcW w:w="397"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611,284</w:t>
            </w:r>
          </w:p>
        </w:tc>
      </w:tr>
      <w:tr>
        <w:trPr/>
        <w:tc>
          <w:tcPr>
            <w:tcW w:w="33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income (loss) from operations </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44,911</w:t>
            </w:r>
          </w:p>
        </w:tc>
        <w:tc>
          <w:tcPr>
            <w:tcW w:w="397"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38,924</w:t>
            </w:r>
          </w:p>
        </w:tc>
      </w:tr>
      <w:tr>
        <w:trPr/>
        <w:tc>
          <w:tcPr>
            <w:tcW w:w="33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net income (loss)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53,561</w:t>
            </w:r>
          </w:p>
        </w:tc>
        <w:tc>
          <w:tcPr>
            <w:tcW w:w="397"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29,031</w:t>
            </w:r>
          </w:p>
        </w:tc>
      </w:tr>
      <w:tr>
        <w:trPr/>
        <w:tc>
          <w:tcPr>
            <w:tcW w:w="33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per share:</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949"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97"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97"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33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right"/>
              <w:rPr/>
            </w:pPr>
            <w:r>
              <w:rPr/>
              <w:t>​</w:t>
            </w:r>
          </w:p>
        </w:tc>
        <w:tc>
          <w:tcPr>
            <w:tcW w:w="898"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right"/>
              <w:rPr/>
            </w:pPr>
            <w:r>
              <w:rPr/>
              <w:t>​</w:t>
            </w:r>
          </w:p>
        </w:tc>
        <w:tc>
          <w:tcPr>
            <w:tcW w:w="949" w:type="dxa"/>
            <w:tcBorders/>
            <w:vAlign w:val="center"/>
          </w:tcPr>
          <w:p>
            <w:pPr>
              <w:pStyle w:val="TableContents"/>
              <w:bidi w:val="0"/>
              <w:spacing w:before="0" w:after="0"/>
              <w:ind w:left="0" w:right="0" w:hanging="0"/>
              <w:jc w:val="righ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14,461</w:t>
            </w:r>
          </w:p>
        </w:tc>
        <w:tc>
          <w:tcPr>
            <w:tcW w:w="397"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13,818</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righ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15,071</w:t>
            </w:r>
          </w:p>
        </w:tc>
        <w:tc>
          <w:tcPr>
            <w:tcW w:w="397"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right"/>
              <w:rPr/>
            </w:pPr>
            <w:r>
              <w:rPr/>
              <w:t>​</w:t>
            </w:r>
          </w:p>
        </w:tc>
        <w:tc>
          <w:tcPr>
            <w:tcW w:w="949"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14,245</w:t>
            </w:r>
          </w:p>
        </w:tc>
      </w:tr>
    </w:tbl>
    <w:tbl>
      <w:tblPr>
        <w:tblW w:w="8016" w:type="dxa"/>
        <w:jc w:val="left"/>
        <w:tblInd w:w="0" w:type="dxa"/>
        <w:tblLayout w:type="fixed"/>
        <w:tblCellMar>
          <w:top w:w="28" w:type="dxa"/>
          <w:left w:w="28" w:type="dxa"/>
          <w:bottom w:w="28" w:type="dxa"/>
          <w:right w:w="28" w:type="dxa"/>
        </w:tblCellMar>
      </w:tblPr>
      <w:tblGrid>
        <w:gridCol w:w="124"/>
        <w:gridCol w:w="271"/>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Adjustments to pro forma net income include income from operations, amortization and interest expenses.</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pro forma supplemental information does not purport to be indicative of what the Company’s operating results would have been had these acquisitions occurred on the first day of the year prior to the year of acquisition and may not be indicative of future operating results.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fiscal year 2025, the acquisitions of Compass, APG, Alpha, contributed $30.4 million in revenue, and contributed $3.4 million in income (loss) from operations.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240"/>
        <w:ind w:left="0" w:right="0" w:hanging="0"/>
        <w:jc w:val="left"/>
        <w:rPr>
          <w:rFonts w:ascii="Times New Roman;Times;serif" w:hAnsi="Times New Roman;Times;serif"/>
          <w:b/>
          <w:sz w:val="20"/>
        </w:rPr>
      </w:pPr>
      <w:r>
        <w:rPr>
          <w:rFonts w:ascii="Times New Roman;Times;serif" w:hAnsi="Times New Roman;Times;serif"/>
          <w:b/>
          <w:sz w:val="20"/>
        </w:rPr>
        <w:t>14. CONTINGENCIES</w:t>
      </w:r>
    </w:p>
    <w:p>
      <w:pPr>
        <w:pStyle w:val="TextBody"/>
        <w:pBdr/>
        <w:bidi w:val="0"/>
        <w:spacing w:lineRule="atLeast" w:line="220" w:before="0" w:after="24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claims and lawsuits from time to time, including those alleging professional errors or omissions that arise in the ordinary course of business against firms that operate in the engineering and consulting professions. The Company carries professional liability insurance, subject to certain deductibles and policy limits, for such claims as they arise and may from time to time establish reserves for litigation that is considered probable of a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accounting standards regarding loss contingencies, the Company accrues an undiscounted liability for those contingencies where the incurrence of a loss is probable and the amount can be reasonably estimated, and discloses the amount accrued and an estimate of any reasonably possible loss in excess of the amount accrued, if such disclosure is necessary for the Company’s financial statements not to be misleading. The Company does not accrue liabilities when the likelihood that the liability has been incurred is probable but the amount cannot be reasonably estimated, or when the liability is believed to be only reasonably possible or remote.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Because litigation outcomes are inherently unpredictable, the Company’s evaluation of legal proceedings often involves a series of complex assessments by management about future events and can rely heavily on estimates and assumptions. If the assessments indicate that loss contingencies that could be material to any one of the Company’s financial statements are not probable, but are reasonably possible, or are probable, but cannot be estimated, then the Company will disclose the nature of the loss contingencies, together with an estimate of the possible loss or a statement that such loss is not reasonably estimable. While the consequences of certain unresolved proceedings are not presently determinable, and a reasonable estimate of the probable and reasonably possible loss or range of loss in excess of amounts accrued for such proceedings cannot be made, an adverse outcome from such proceedings could have a material adverse effect on the Company’s earnings in any given reporting period. However, in the opinion of the Company’s management, after consulting with legal counsel, and taking into account insurance coverage, the ultimate liability related to current outstanding claims and lawsuits is not expected to have a material adverse effect on the Company’s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lineRule="atLeast" w:line="220" w:before="0" w:after="240"/>
        <w:ind w:left="0" w:right="0" w:hanging="0"/>
        <w:jc w:val="left"/>
        <w:rPr>
          <w:rFonts w:ascii="Times New Roman;Times;serif" w:hAnsi="Times New Roman;Times;serif"/>
          <w:b/>
          <w:sz w:val="20"/>
        </w:rPr>
      </w:pPr>
      <w:bookmarkStart w:id="1893" w:name="Tc_aR0_hK4lxkOUKq7NCKRFJQ_14_0"/>
      <w:bookmarkStart w:id="1894" w:name="Tc_inhUdNgDUkmeD-bUh7L2rg_13_0"/>
      <w:bookmarkStart w:id="1895" w:name="Tc_AdlAR1YblEext9Ap6iy8yA_12_0"/>
      <w:bookmarkStart w:id="1896" w:name="Tc_MJeyg6as5E-KvPP5r7gHvA_11_11"/>
      <w:bookmarkStart w:id="1897" w:name="Tc_zg8R1ZLE3kCr6QQJOJjShQ_11_8"/>
      <w:bookmarkStart w:id="1898" w:name="Tc_GbFNEoW420KsOgw8tpy2gQ_11_5"/>
      <w:bookmarkStart w:id="1899" w:name="Tc_2CShWZjw9UaJOoym1Kgk-w_11_2"/>
      <w:bookmarkStart w:id="1900" w:name="Tc_Ydj4BEXwqkOCEtewZzeWLw_11_0"/>
      <w:bookmarkStart w:id="1901" w:name="Tc_DxbVIgtihEePaNGIbwiK8Q_10_11"/>
      <w:bookmarkStart w:id="1902" w:name="Tc_PNm7ClFhykiAejSByvsP6Q_10_8"/>
      <w:bookmarkStart w:id="1903" w:name="Tc_HxPdYM01mkaoj_GFY72kBA_10_5"/>
      <w:bookmarkStart w:id="1904" w:name="Tc_XxEnugxI-UGtjSSsRCwPEQ_10_2"/>
      <w:bookmarkStart w:id="1905" w:name="Tc_APwE_FtHSUS7ePYhEXTTJA_10_0"/>
      <w:bookmarkStart w:id="1906" w:name="Tc_S2aERbekm0ub3teDOgHqvQ_9_0"/>
      <w:bookmarkStart w:id="1907" w:name="Tc_wwYoiZy9m02LAbq4YIN9fw_8_0"/>
      <w:bookmarkStart w:id="1908" w:name="Tc_QQBY2aXmdkWgvRCF0c0R7A_7_0"/>
      <w:bookmarkStart w:id="1909" w:name="Tc_7AUpbzqHmUyp_zOAd6mRwg_6_0"/>
      <w:bookmarkStart w:id="1910" w:name="Tc_Rko6k2kT7U-MnXcL_yRo5w_5_11"/>
      <w:bookmarkStart w:id="1911" w:name="Tc_zL00naHss0Oh1fXeaellyQ_5_8"/>
      <w:bookmarkStart w:id="1912" w:name="Tc_fPacgyhDXUOeThwUnczbTQ_5_5"/>
      <w:bookmarkStart w:id="1913" w:name="Tc_klFhNtAAkEu_EVb-HOG6rg_5_2"/>
      <w:bookmarkStart w:id="1914" w:name="Tc_3Pq2j85toU2sZKiFw9vlZQ_5_0"/>
      <w:bookmarkStart w:id="1915" w:name="Tc_XXb0PP3sbEK9jQOtdDqj4w_4_2"/>
      <w:bookmarkStart w:id="1916" w:name="Tc_yB2bZfvCvkWRXZdAcj1CmA_3_11"/>
      <w:bookmarkStart w:id="1917" w:name="Tc_aVYhBrh2B0GwShM4iEv3LQ_3_8"/>
      <w:bookmarkStart w:id="1918" w:name="Tc_-SDnqQZPZkOq-3urlXbZgg_3_5"/>
      <w:bookmarkStart w:id="1919" w:name="Tc_3BUeo9eM40aYYd58iqanHg_3_2"/>
      <w:bookmarkStart w:id="1920" w:name="Tc_I4OQd9pZCEuizm7HmKymcA_2_11"/>
      <w:bookmarkStart w:id="1921" w:name="Tc_G9ogDgdhJkSgVSn3OvDpbg_2_8"/>
      <w:bookmarkStart w:id="1922" w:name="Tc_6VmQApvQ4EqWbXzqgg4_ng_2_5"/>
      <w:bookmarkStart w:id="1923" w:name="Tc_P3IYNOONSU2YFs2BUbI58Q_2_2"/>
      <w:bookmarkStart w:id="1924" w:name="Tc_UFsUuiSgaEeLewUu0lOa0w_1_2"/>
      <w:bookmarkStart w:id="1925" w:name="_a01734c1_22d9_4700_80c7_517169088f2c"/>
      <w:bookmarkStart w:id="1926" w:name="Tc_58XLSKvkGkOMiaEtr4c_yQ_14_0"/>
      <w:bookmarkStart w:id="1927" w:name="Tc_WbATM0__HU6N3uH1R6pqLA_13_0"/>
      <w:bookmarkStart w:id="1928" w:name="Tc_BQOIlRW7BE-1k9hDqT1ntw_12_0"/>
      <w:bookmarkStart w:id="1929" w:name="Tc_fvak8jhNwkWVXJ-XUlLQSg_11_11"/>
      <w:bookmarkStart w:id="1930" w:name="Tc_T50j2tUxyESoAm7vATlusQ_11_8"/>
      <w:bookmarkStart w:id="1931" w:name="Tc_Oc5eYSLB30Ogj7IhXQTZug_11_5"/>
      <w:bookmarkStart w:id="1932" w:name="Tc_rWhb3F6sokuuKbwWW-xrZQ_11_2"/>
      <w:bookmarkStart w:id="1933" w:name="Tc_5ONCygnOfU-NGGgZIPoV4g_11_0"/>
      <w:bookmarkStart w:id="1934" w:name="Tc_r0I6l53waESuMJM7mbC88A_10_11"/>
      <w:bookmarkStart w:id="1935" w:name="Tc_4Em_r-MycUeQF3jLOz0bOw_10_8"/>
      <w:bookmarkStart w:id="1936" w:name="Tc_CvcMzWTq2EOy_lMu7tSdwA_10_5"/>
      <w:bookmarkStart w:id="1937" w:name="Tc_BTlseDBUDEuxok3dpOyAFg_10_2"/>
      <w:bookmarkStart w:id="1938" w:name="Tc_SpcE3Z6nf0yDZ59zfCLcRA_10_0"/>
      <w:bookmarkStart w:id="1939" w:name="Tc_83PgU9n6Q0-zCDaxlAEryQ_9_0"/>
      <w:bookmarkStart w:id="1940" w:name="Tc_5Cnh_cCRpEKDTC-_Eh5Okw_8_0"/>
      <w:bookmarkStart w:id="1941" w:name="Tc_8sNuj2L0G0e_y41G8eCP2A_7_0"/>
      <w:bookmarkStart w:id="1942" w:name="Tc_w25qdNgzqUCuSA2PJIOBfg_6_0"/>
      <w:bookmarkStart w:id="1943" w:name="Tc_v8YLeKvFv0SZk0Qw0JwBtg_5_11"/>
      <w:bookmarkStart w:id="1944" w:name="Tc_vGTomA_FG0qdSbMKwU-rZw_5_8"/>
      <w:bookmarkStart w:id="1945" w:name="Tc_0FP2AGzmg06so0D-W1UwKA_5_5"/>
      <w:bookmarkStart w:id="1946" w:name="Tc_lXKle2P7y0CP6wJQn9iruA_5_2"/>
      <w:bookmarkStart w:id="1947" w:name="Tc_HLchWl7LbUeGiC_utnOK2Q_5_0"/>
      <w:bookmarkStart w:id="1948" w:name="Tc_1UoN7qfVfk6YrOLHP1rIEA_4_2"/>
      <w:bookmarkStart w:id="1949" w:name="Tc_l5pB4xKW90a49L2g_HUkaA_3_11"/>
      <w:bookmarkStart w:id="1950" w:name="Tc_6-gg5eEbqUOLg7atu5NZIQ_3_8"/>
      <w:bookmarkStart w:id="1951" w:name="Tc_rpwXbR1Dk0e8ERc_Vzoohg_3_5"/>
      <w:bookmarkStart w:id="1952" w:name="Tc_hQ-m0n7XgkK3aDSAgQx31A_3_2"/>
      <w:bookmarkStart w:id="1953" w:name="Tc_oNkYePyUQkGjJE0GDguuLg_2_11"/>
      <w:bookmarkStart w:id="1954" w:name="Tc_-hpXW8LmG0GuWJS-y_1RgQ_2_8"/>
      <w:bookmarkStart w:id="1955" w:name="Tc_Uys3hm-9AE24eY1Nu1j0fg_2_5"/>
      <w:bookmarkStart w:id="1956" w:name="Tc_E-p5OwWl7E2ODAYWggLbPQ_2_2"/>
      <w:bookmarkStart w:id="1957" w:name="Tc_fKCkQ4mhpk61QDDAdH1lgg_1_2"/>
      <w:bookmarkStart w:id="1958" w:name="_cf15dee5_1489_48df_b0cb_4af25d54ce75"/>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r>
        <w:rPr>
          <w:rFonts w:ascii="Times New Roman;Times;serif" w:hAnsi="Times New Roman;Times;serif"/>
          <w:b/>
          <w:sz w:val="20"/>
        </w:rPr>
        <w:t>15. QUARTERLY FINANCIAL INFORMATION (UNAUDITED)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tables below reflect selected quarterly information for the fiscal years ended January 2, 2026 and December 27, 2024.</w:t>
      </w:r>
    </w:p>
    <w:p>
      <w:pPr>
        <w:pStyle w:val="TextBody"/>
        <w:bidi w:val="0"/>
        <w:spacing w:before="0" w:after="0"/>
        <w:ind w:left="0" w:right="0" w:hanging="0"/>
        <w:jc w:val="left"/>
        <w:rPr/>
      </w:pPr>
      <w:r>
        <w:rPr/>
        <w:t>​</w:t>
      </w:r>
    </w:p>
    <w:tbl>
      <w:tblPr>
        <w:tblW w:w="8769" w:type="dxa"/>
        <w:jc w:val="left"/>
        <w:tblInd w:w="0" w:type="dxa"/>
        <w:tblLayout w:type="fixed"/>
        <w:tblCellMar>
          <w:top w:w="0" w:type="dxa"/>
          <w:left w:w="0" w:type="dxa"/>
          <w:bottom w:w="0" w:type="dxa"/>
          <w:right w:w="0" w:type="dxa"/>
        </w:tblCellMar>
      </w:tblPr>
      <w:tblGrid>
        <w:gridCol w:w="3226"/>
        <w:gridCol w:w="346"/>
        <w:gridCol w:w="211"/>
        <w:gridCol w:w="781"/>
        <w:gridCol w:w="346"/>
        <w:gridCol w:w="211"/>
        <w:gridCol w:w="781"/>
        <w:gridCol w:w="346"/>
        <w:gridCol w:w="211"/>
        <w:gridCol w:w="781"/>
        <w:gridCol w:w="346"/>
        <w:gridCol w:w="211"/>
        <w:gridCol w:w="781"/>
        <w:gridCol w:w="19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48510" cy="175260"/>
                      <wp:effectExtent l="0" t="0" r="0" b="0"/>
                      <wp:wrapNone/>
                      <wp:docPr id="487" name="Frame486"/>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9710" cy="175260"/>
                      <wp:effectExtent l="0" t="0" r="0" b="0"/>
                      <wp:wrapNone/>
                      <wp:docPr id="488" name="Frame4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33985" cy="175260"/>
                      <wp:effectExtent l="0" t="0" r="0" b="0"/>
                      <wp:wrapNone/>
                      <wp:docPr id="489"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495935" cy="175260"/>
                      <wp:effectExtent l="0" t="0" r="0" b="0"/>
                      <wp:wrapNone/>
                      <wp:docPr id="490" name="Frame4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95935" cy="175260"/>
                      <wp:effectExtent l="0" t="0" r="0" b="0"/>
                      <wp:wrapNone/>
                      <wp:docPr id="493" name="Frame4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19710" cy="175260"/>
                      <wp:effectExtent l="0" t="0" r="0" b="0"/>
                      <wp:wrapNone/>
                      <wp:docPr id="494" name="Frame4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33985" cy="175260"/>
                      <wp:effectExtent l="0" t="0" r="0" b="0"/>
                      <wp:wrapNone/>
                      <wp:docPr id="495"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95935" cy="175260"/>
                      <wp:effectExtent l="0" t="0" r="0" b="0"/>
                      <wp:wrapNone/>
                      <wp:docPr id="496" name="Frame4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219710" cy="175260"/>
                      <wp:effectExtent l="0" t="0" r="0" b="0"/>
                      <wp:wrapNone/>
                      <wp:docPr id="497" name="Frame4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495935" cy="175260"/>
                      <wp:effectExtent l="0" t="0" r="0" b="0"/>
                      <wp:wrapNone/>
                      <wp:docPr id="499" name="Frame4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21285" cy="175260"/>
                      <wp:effectExtent l="0" t="0" r="0" b="0"/>
                      <wp:wrapNone/>
                      <wp:docPr id="500" name="Frame49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0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April 4,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July 4,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October 3,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January 2, </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1" w:type="dxa"/>
            <w:tcBorders/>
            <w:vAlign w:val="center"/>
          </w:tcPr>
          <w:p>
            <w:pPr>
              <w:pStyle w:val="TableContents"/>
              <w:bidi w:val="0"/>
              <w:spacing w:before="0" w:after="0"/>
              <w:ind w:left="0" w:right="0" w:hanging="0"/>
              <w:jc w:val="center"/>
              <w:rPr/>
            </w:pPr>
            <w:r>
              <w:rPr/>
              <w:t> </w:t>
            </w:r>
          </w:p>
        </w:tc>
      </w:tr>
      <w:tr>
        <w:trPr/>
        <w:tc>
          <w:tcPr>
            <w:tcW w:w="876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006"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c>
          <w:tcPr>
            <w:tcW w:w="191" w:type="dxa"/>
            <w:tcBorders/>
            <w:vAlign w:val="center"/>
          </w:tcPr>
          <w:p>
            <w:pPr>
              <w:pStyle w:val="TableContents"/>
              <w:bidi w:val="0"/>
              <w:spacing w:before="0" w:after="0"/>
              <w:ind w:left="0" w:right="0" w:hanging="0"/>
              <w:jc w:val="center"/>
              <w:rPr/>
            </w:pPr>
            <w:r>
              <w:rPr/>
              <w:t>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10,433</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18,713</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0.33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0.94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1.28 </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0.32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1.03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0.90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1.23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 </w:t>
      </w:r>
    </w:p>
    <w:tbl>
      <w:tblPr>
        <w:tblW w:w="8964" w:type="dxa"/>
        <w:jc w:val="left"/>
        <w:tblInd w:w="0" w:type="dxa"/>
        <w:tblLayout w:type="fixed"/>
        <w:tblCellMar>
          <w:top w:w="0" w:type="dxa"/>
          <w:left w:w="0" w:type="dxa"/>
          <w:bottom w:w="0" w:type="dxa"/>
          <w:right w:w="0" w:type="dxa"/>
        </w:tblCellMar>
      </w:tblPr>
      <w:tblGrid>
        <w:gridCol w:w="3226"/>
        <w:gridCol w:w="346"/>
        <w:gridCol w:w="211"/>
        <w:gridCol w:w="781"/>
        <w:gridCol w:w="346"/>
        <w:gridCol w:w="211"/>
        <w:gridCol w:w="781"/>
        <w:gridCol w:w="346"/>
        <w:gridCol w:w="252"/>
        <w:gridCol w:w="933"/>
        <w:gridCol w:w="346"/>
        <w:gridCol w:w="241"/>
        <w:gridCol w:w="944"/>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48510" cy="175260"/>
                      <wp:effectExtent l="0" t="0" r="0" b="0"/>
                      <wp:wrapNone/>
                      <wp:docPr id="501" name="Frame500"/>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19710" cy="175260"/>
                      <wp:effectExtent l="0" t="0" r="0" b="0"/>
                      <wp:wrapNone/>
                      <wp:docPr id="502" name="Frame5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95935" cy="175260"/>
                      <wp:effectExtent l="0" t="0" r="0" b="0"/>
                      <wp:wrapNone/>
                      <wp:docPr id="504" name="Frame5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95935" cy="175260"/>
                      <wp:effectExtent l="0" t="0" r="0" b="0"/>
                      <wp:wrapNone/>
                      <wp:docPr id="507" name="Frame5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19710" cy="175260"/>
                      <wp:effectExtent l="0" t="0" r="0" b="0"/>
                      <wp:wrapNone/>
                      <wp:docPr id="508" name="Frame5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60020" cy="175260"/>
                      <wp:effectExtent l="0" t="0" r="0" b="0"/>
                      <wp:wrapNone/>
                      <wp:docPr id="509" name="Frame50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92455" cy="175260"/>
                      <wp:effectExtent l="0" t="0" r="0" b="0"/>
                      <wp:wrapNone/>
                      <wp:docPr id="510" name="Frame50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53035" cy="175260"/>
                      <wp:effectExtent l="0" t="0" r="0" b="0"/>
                      <wp:wrapNone/>
                      <wp:docPr id="512" name="Frame511"/>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99440" cy="175260"/>
                      <wp:effectExtent l="0" t="0" r="0" b="0"/>
                      <wp:wrapNone/>
                      <wp:docPr id="513" name="Frame512"/>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9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Three Months Ended</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March 29, </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28, </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September 27, </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27, </w:t>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896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392" w:type="dxa"/>
            <w:gridSpan w:val="11"/>
            <w:tcBorders/>
            <w:vAlign w:val="center"/>
          </w:tcPr>
          <w:p>
            <w:pPr>
              <w:pStyle w:val="TableContents"/>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per share amounts)</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140,996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158,252</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144,061</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6,448</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8,674</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10,870</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7,346</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0.22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0.33 </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0.53 </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0.55 </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0.21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0.33 </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0.51 </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0.53 </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14,012</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14,074</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14,358</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14,509</w:t>
            </w:r>
          </w:p>
        </w:tc>
      </w:tr>
    </w:tbl>
    <w:p>
      <w:pPr>
        <w:pStyle w:val="TextBody"/>
        <w:bidi w:val="0"/>
        <w:spacing w:before="0" w:after="0"/>
        <w:ind w:left="0" w:right="0" w:hanging="0"/>
        <w:jc w:val="left"/>
        <w:rPr/>
      </w:pPr>
      <w:r>
        <w:rPr/>
        <w:t> </w:t>
      </w:r>
    </w:p>
    <w:p>
      <w:pPr>
        <w:pStyle w:val="TextBody"/>
        <w:bidi w:val="0"/>
        <w:spacing w:before="0" w:after="20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WILLDAN GROUP,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SUBSEQUENT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ASC Topic 855, Subsequent Events, the Company evaluates subsequent events up until the date the consolidated financial statements are issued. As of February 26, 2026, there were no subsequent events required to be reported.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1008"/>
        <w:jc w:val="left"/>
        <w:rPr>
          <w:rFonts w:ascii="Times New Roman;Times;serif" w:hAnsi="Times New Roman;Times;serif"/>
          <w:sz w:val="20"/>
        </w:rPr>
      </w:pPr>
      <w:bookmarkStart w:id="1959" w:name="ITEM9CHANGESINANDDISAGREEMENTS_162735"/>
      <w:bookmarkStart w:id="1960" w:name="_6ba8b206_3539_4ed5_92c6_f63335a27c0b"/>
      <w:bookmarkEnd w:id="1959"/>
      <w:bookmarkEnd w:id="1960"/>
      <w:r>
        <w:rPr>
          <w:rFonts w:ascii="Times New Roman;Times;serif" w:hAnsi="Times New Roman;Times;serif"/>
          <w:b/>
          <w:sz w:val="20"/>
        </w:rPr>
        <w:t>ITEM 9. CHANGES IN AND DISAGREEMENTS</w:t>
      </w:r>
      <w:r>
        <w:rPr>
          <w:rFonts w:ascii="Times New Roman;Times;serif" w:hAnsi="Times New Roman;Times;serif"/>
          <w:sz w:val="20"/>
        </w:rPr>
        <w:t xml:space="preserve"> </w:t>
      </w:r>
      <w:r>
        <w:rPr>
          <w:rFonts w:ascii="Times New Roman;Times;serif" w:hAnsi="Times New Roman;Times;serif"/>
          <w:b/>
          <w:sz w:val="20"/>
        </w:rPr>
        <w:t>WITH ACCOUNTANTS ON ACCOUNTING AND FINANCIAL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and/or disagreements with accountants on accounting and financial disclosure during the fiscal year ended January 2, 2026.</w:t>
      </w:r>
    </w:p>
    <w:p>
      <w:pPr>
        <w:pStyle w:val="TextBody"/>
        <w:bidi w:val="0"/>
        <w:spacing w:before="0" w:after="180"/>
        <w:ind w:left="0" w:right="0" w:hanging="0"/>
        <w:jc w:val="left"/>
        <w:rPr>
          <w:rFonts w:ascii="Times New Roman;Times;serif" w:hAnsi="Times New Roman;Times;serif"/>
          <w:b/>
          <w:sz w:val="20"/>
        </w:rPr>
      </w:pPr>
      <w:bookmarkStart w:id="1961" w:name="ITEM9ACONTROLSANDPROCEDURES_96505"/>
      <w:bookmarkStart w:id="1962" w:name="_413faf07_37b7_4493_a9e4_f0fa1f79df86"/>
      <w:bookmarkEnd w:id="1961"/>
      <w:bookmarkEnd w:id="1962"/>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We maintain disclosure controls and procedures defined in Rule 13a-15(e) and Rule 15d-15(e) under the Exchange Act, as controls and other procedures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or submit under the Securities Exchange Act is accumulated and communicated to our management, including our President and Chief Executive Officer, Michael A. Bieber, and our Chief Financial Officer, Creighton K. Early, as appropriate to allow timely decisions regarding required disclosure.</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preparation of this Annual Report, an evaluation was performed under the supervision and with the participation of our management, including our Chief Executive Officer and Chief Financial Officer, of the effectiveness of our disclosure controls and procedures as of January 2, 2026. Based on that evaluation, our Chief Executive Officer and Chief Financial Officer concluded that our disclosure controls and procedures were effective, at a reasonable assurance level, as of January 2, 2026. </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(as defined in Rule 13a-15(f) under the Securities Exchange Act of 1934, as amended).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is not intended to provide absolute assurance that a misstatement of our financial statements would be prevented or detected. Our management, with the participation of our Chief Executive Officer and Chief Financial Officer, assessed the effectiveness of our internal control over financial reporting as of January 2, 2026. In making this assessment, our management used the criteria set forth by the Committee of Sponsoring Organizations of the Treadway Commission (COSO) in Internal Control—Integrated Framework (2013 Framework). Our management concluded that, as of January 2, 2026, our internal control over financial reporting was effective based on these criteria. </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As discussed in Note 13, “</w:t>
      </w:r>
      <w:r>
        <w:rPr>
          <w:rFonts w:ascii="Times New Roman;Times;serif" w:hAnsi="Times New Roman;Times;serif"/>
          <w:i/>
          <w:sz w:val="20"/>
        </w:rPr>
        <w:t>Business Combinations</w:t>
      </w:r>
      <w:r>
        <w:rPr>
          <w:rFonts w:ascii="Times New Roman;Times;serif" w:hAnsi="Times New Roman;Times;serif"/>
          <w:sz w:val="20"/>
        </w:rPr>
        <w:t>”, to our consolidated financial statements, we acquired Alpha Inspections, Inc. (“Alpha”) on January 31, 2025, Alternative Power Generation, Inc. (“APG”) on March 3, 2025, and Compass Municipal Advisors, LLC (“Compass”), on January 2, 2026. As permitted by guidelines established by the SEC for newly acquired business, we excluded the acquisition from the scope of our assessment on internal controls over financial reporting for the fiscal year ended January 2, 2026. These acquisitions contributed $12.4 million of total assets and $13.0 million of total liabilities, respectively, to our consolidated balance sheet as of January 2, 2026, and $30.4 million to our consolidated revenues for the fiscal year ended January 2, 2026. We are in the process of integrating these businesses into our overall internal controls over financial reporting process and plan to include our assessment of the businesses’ internal control over financial reporting within one year of the applicable acquisition date.</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Crowe LLP, the independent registered public accounting firm that audited the fiscal year 2025 consolidated financial statements included in this Annual Report on Form 10-K, has issued an attestation report on the effectiveness of our internal control over financial reporting as of January 2, 2026, which is included 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Changes in Internal Controls</w:t>
      </w:r>
    </w:p>
    <w:p>
      <w:pPr>
        <w:pStyle w:val="TextBody"/>
        <w:bidi w:val="0"/>
        <w:spacing w:before="0" w:after="16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January 31, 2025, March 3, 2025, and January 2, 2026, we completed the acquisition of Alpha, APG, and Compass, respectively. Prior to their acquisition, Alpha, APG, and Compass were privately-held companies and were not subject to the Sarbanes-Oxley Act of 2002, the rules and regulations of the SEC, or other corporate governance requirements applicable to public reporting companies. As part of our ongoing integration activities, we are continuing to incorporate our controls and procedures into Alpha, APG, and Compass, and, if needed, to augment our company-wide controls to reflect the risks that may be inherent in the acquisitions of these privately-held companies.</w:t>
      </w:r>
    </w:p>
    <w:p>
      <w:pPr>
        <w:pStyle w:val="TextBody"/>
        <w:bidi w:val="0"/>
        <w:spacing w:before="0" w:after="16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Other than our integrations of Alpha, APG, and Compass, there have been no changes in our internal control over financial reporting during the quarter ended January 2, 2026 that have materially affected, or are reasonably likely to materially affect, our internal control over financial reporting.</w:t>
      </w:r>
    </w:p>
    <w:p>
      <w:pPr>
        <w:pStyle w:val="TextBody"/>
        <w:bidi w:val="0"/>
        <w:spacing w:before="0" w:after="0"/>
        <w:ind w:left="0" w:right="0" w:firstLine="720"/>
        <w:jc w:val="left"/>
        <w:rPr/>
      </w:pPr>
      <w:r>
        <w:rPr/>
        <w:t>​</w:t>
      </w:r>
    </w:p>
    <w:p>
      <w:pPr>
        <w:pStyle w:val="TextBody"/>
        <w:bidi w:val="0"/>
        <w:spacing w:before="0" w:after="160"/>
        <w:ind w:left="0" w:right="0" w:hanging="0"/>
        <w:jc w:val="left"/>
        <w:rPr>
          <w:rFonts w:ascii="Times New Roman;Times;serif" w:hAnsi="Times New Roman;Times;serif"/>
          <w:b/>
          <w:sz w:val="20"/>
        </w:rPr>
      </w:pPr>
      <w:bookmarkStart w:id="1963" w:name="ITEM_9B"/>
      <w:bookmarkStart w:id="1964" w:name="_1e642492_30f7_4b23_8687_0ce981c017a1"/>
      <w:bookmarkEnd w:id="1963"/>
      <w:bookmarkEnd w:id="1964"/>
      <w:r>
        <w:rPr>
          <w:rFonts w:ascii="Times New Roman;Times;serif" w:hAnsi="Times New Roman;Times;serif"/>
          <w:b/>
          <w:sz w:val="20"/>
        </w:rPr>
        <w:t>ITEM 9B. OTHER INFORMATION</w:t>
      </w:r>
    </w:p>
    <w:p>
      <w:pPr>
        <w:pStyle w:val="TextBody"/>
        <w:bidi w:val="0"/>
        <w:spacing w:before="0" w:after="160"/>
        <w:ind w:left="0" w:right="0" w:firstLine="720"/>
        <w:jc w:val="left"/>
        <w:rPr>
          <w:rFonts w:ascii="Times New Roman;Times;serif" w:hAnsi="Times New Roman;Times;serif"/>
          <w:sz w:val="24"/>
        </w:rPr>
      </w:pPr>
      <w:r>
        <w:rPr>
          <w:rFonts w:ascii="Times New Roman;Times;serif" w:hAnsi="Times New Roman;Times;serif"/>
          <w:sz w:val="20"/>
          <w:shd w:fill="FFFFFF" w:val="clear"/>
        </w:rPr>
        <w:t>There are no disclosures required by this Item 9B, including those relating to “Rule 10b5-1</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trading arrangements</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and “non-Rule 10b5-1</w:t>
      </w:r>
      <w:r>
        <w:rPr>
          <w:rFonts w:ascii="Times New Roman;Times;serif" w:hAnsi="Times New Roman;Times;serif"/>
          <w:sz w:val="24"/>
          <w:shd w:fill="FFFFFF" w:val="clear"/>
        </w:rPr>
        <w:t xml:space="preserve"> </w:t>
      </w:r>
      <w:r>
        <w:rPr>
          <w:rFonts w:ascii="Times New Roman;Times;serif" w:hAnsi="Times New Roman;Times;serif"/>
          <w:sz w:val="20"/>
          <w:shd w:fill="FFFFFF" w:val="clear"/>
        </w:rPr>
        <w:t>trading arrangements,” as those terms are defined in Item 408 of Regulation S-K.</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965" w:name="ITEM_9C"/>
      <w:bookmarkStart w:id="1966" w:name="_a437d4c7_ae8f_47ba_95bc_2501c41a45e8"/>
      <w:bookmarkEnd w:id="1965"/>
      <w:bookmarkEnd w:id="1966"/>
      <w:r>
        <w:rPr>
          <w:rFonts w:ascii="Times New Roman;Times;serif" w:hAnsi="Times New Roman;Times;serif"/>
          <w:b/>
          <w:sz w:val="20"/>
        </w:rPr>
        <w:t>ITEM 9C. DISCLOSURE REGARDING FOREIGN JURISDICTIONS THAT PREVENT INSPECTIONS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0"/>
        <w:ind w:left="0" w:right="0" w:hanging="0"/>
        <w:jc w:val="center"/>
        <w:rPr>
          <w:rFonts w:ascii="Times New Roman;Times;serif" w:hAnsi="Times New Roman;Times;serif"/>
          <w:b/>
          <w:sz w:val="20"/>
        </w:rPr>
      </w:pPr>
      <w:bookmarkStart w:id="1967" w:name="PARTIII_533220"/>
      <w:bookmarkEnd w:id="1967"/>
      <w:r>
        <w:rPr>
          <w:rFonts w:ascii="Times New Roman;Times;serif" w:hAnsi="Times New Roman;Times;serif"/>
          <w:b/>
          <w:sz w:val="20"/>
        </w:rPr>
        <w:t>PART III</w:t>
      </w:r>
    </w:p>
    <w:p>
      <w:pPr>
        <w:pStyle w:val="TextBody"/>
        <w:bidi w:val="0"/>
        <w:spacing w:lineRule="auto" w:line="304"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1968" w:name="ITEM10DIRECTORSANDEXECUTIVE_609871"/>
      <w:bookmarkStart w:id="1969" w:name="_7b3a4a96_2fab_4242_84f0_bea77f0cf1ec"/>
      <w:bookmarkEnd w:id="1968"/>
      <w:bookmarkEnd w:id="1969"/>
      <w:r>
        <w:rPr>
          <w:rFonts w:ascii="Times New Roman;Times;serif" w:hAnsi="Times New Roman;Times;serif"/>
          <w:b/>
          <w:sz w:val="20"/>
        </w:rPr>
        <w:t>ITEM 10. DIRECTORS, EXECUTIVE</w:t>
      </w:r>
      <w:r>
        <w:rPr>
          <w:rFonts w:ascii="Times New Roman;Times;serif" w:hAnsi="Times New Roman;Times;serif"/>
          <w:sz w:val="20"/>
        </w:rPr>
        <w:t xml:space="preserve"> </w:t>
      </w:r>
      <w:r>
        <w:rPr>
          <w:rFonts w:ascii="Times New Roman;Times;serif" w:hAnsi="Times New Roman;Times;serif"/>
          <w:b/>
          <w:sz w:val="20"/>
        </w:rPr>
        <w:t>OFFICERS AND CORPORATE GOVERNANCE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Willdan Group, Inc.’s Proxy Statement for its 2026 Annual Meeting of Stockholders to be filed with the SEC within 120 days after the end of the Company’s 2025 fiscal year.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posted our Code of Ethical Conduct on our website, www.willdan.com, under the heading “Investors—Governance—Governance Documents.” The Code of Ethical Conduct applies to our Chief Executive Officer and Chief Financial Officer. Upon request and free of charge, we will provide any person with a copy of the Code of Ethical Conduct. See “Item 1. Business—Available Information.” To the extent required by rules adopted by the SEC and the Nasdaq Stock Market, we intend to promptly disclose future amendments to certain provisions of the code, or waivers of such provisions granted to executive officers and directors on our website at www.willdan.com under “Investors—Governance.”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70" w:name="ITEM11EXECUTIVECOMPENSATION_621050"/>
      <w:bookmarkStart w:id="1971" w:name="_b0ccd37f_ecbb_484a_b794_ed691aaad827"/>
      <w:bookmarkEnd w:id="1970"/>
      <w:bookmarkEnd w:id="1971"/>
      <w:r>
        <w:rPr>
          <w:rFonts w:ascii="Times New Roman;Times;serif" w:hAnsi="Times New Roman;Times;serif"/>
          <w:b/>
          <w:sz w:val="20"/>
        </w:rPr>
        <w:t>ITEM 11. EXECUTIVE COMPENSATION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Willdan Group, Inc.’s Proxy Statement for its 2026 Annual Meeting of Stockholders to be filed with the SEC within 120 days after the end of the Company’s 2025 fiscal year.</w:t>
      </w:r>
    </w:p>
    <w:p>
      <w:pPr>
        <w:pStyle w:val="TextBody"/>
        <w:bidi w:val="0"/>
        <w:spacing w:before="0" w:after="240"/>
        <w:ind w:left="0" w:right="0" w:hanging="0"/>
        <w:jc w:val="left"/>
        <w:rPr>
          <w:rFonts w:ascii="Times New Roman;Times;serif" w:hAnsi="Times New Roman;Times;serif"/>
          <w:sz w:val="20"/>
        </w:rPr>
      </w:pPr>
      <w:bookmarkStart w:id="1972" w:name="ITEM12SECURITYOWNERSHIPOFCERTAIN_428746"/>
      <w:bookmarkStart w:id="1973" w:name="_4c2b40bd_1cb2_4964_b5b2_0336a9243824"/>
      <w:bookmarkEnd w:id="1972"/>
      <w:bookmarkEnd w:id="1973"/>
      <w:r>
        <w:rPr>
          <w:rFonts w:ascii="Times New Roman;Times;serif" w:hAnsi="Times New Roman;Times;serif"/>
          <w:b/>
          <w:sz w:val="20"/>
        </w:rPr>
        <w:t>ITEM 12. SECURITY OWNERSHIP OF CERTAIN</w:t>
      </w:r>
      <w:r>
        <w:rPr>
          <w:rFonts w:ascii="Times New Roman;Times;serif" w:hAnsi="Times New Roman;Times;serif"/>
          <w:sz w:val="20"/>
        </w:rPr>
        <w:t xml:space="preserve"> </w:t>
      </w:r>
      <w:r>
        <w:rPr>
          <w:rFonts w:ascii="Times New Roman;Times;serif" w:hAnsi="Times New Roman;Times;serif"/>
          <w:b/>
          <w:sz w:val="20"/>
        </w:rPr>
        <w:t>BENEFICIAL OWNERS AND MANAGEMENT AND RELATED SHAREHOLDER MATTERS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Willdan Group, Inc.’s Proxy Statement for its 2026 Annual Meeting of Stockholders to be filed with the SEC within 120 days after the end of the Company’s 2025 fiscal year.</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bookmarkStart w:id="1974" w:name="ITEM13CERTAINRELATIONSHIPS_289776"/>
      <w:bookmarkStart w:id="1975" w:name="_e4f15376_a8a0_4c32_98f2_305cefce3777"/>
      <w:bookmarkEnd w:id="1974"/>
      <w:bookmarkEnd w:id="1975"/>
      <w:r>
        <w:rPr>
          <w:rFonts w:ascii="Times New Roman;Times;serif" w:hAnsi="Times New Roman;Times;serif"/>
          <w:b/>
          <w:sz w:val="20"/>
        </w:rPr>
        <w:t>ITEM 13. CERTAIN RELATIONSHIPS</w:t>
      </w:r>
      <w:r>
        <w:rPr>
          <w:rFonts w:ascii="Times New Roman;Times;serif" w:hAnsi="Times New Roman;Times;serif"/>
          <w:sz w:val="20"/>
        </w:rPr>
        <w:t xml:space="preserve"> </w:t>
      </w:r>
      <w:r>
        <w:rPr>
          <w:rFonts w:ascii="Times New Roman;Times;serif" w:hAnsi="Times New Roman;Times;serif"/>
          <w:b/>
          <w:sz w:val="20"/>
        </w:rPr>
        <w:t>AND RELATED TRANSACTIONS, AND DIRECTOR INDEPENDENCE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Willdan Group, Inc.’s Proxy Statement for its 2026 Annual Meeting of Stockholders to be filed with the SEC within 120 days after the end of the Company’s 2025 fiscal year.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76" w:name="ITEM14PRINCIPALACCOUNTANT_196112"/>
      <w:bookmarkStart w:id="1977" w:name="_d6e43cc3_0f19_41eb_99f5_bcb286cb9f3b"/>
      <w:bookmarkEnd w:id="1976"/>
      <w:bookmarkEnd w:id="1977"/>
      <w:r>
        <w:rPr>
          <w:rFonts w:ascii="Times New Roman;Times;serif" w:hAnsi="Times New Roman;Times;serif"/>
          <w:b/>
          <w:sz w:val="20"/>
        </w:rPr>
        <w:t>ITEM 14. PRINCIPAL ACCOUNTING FEES AND SERVICES</w:t>
      </w:r>
    </w:p>
    <w:p>
      <w:pPr>
        <w:pStyle w:val="TextBody"/>
        <w:bidi w:val="0"/>
        <w:spacing w:before="60" w:after="12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is incorporated by reference to Willdan Group, Inc.’s Proxy Statement for its 2026 Annual Meeting of Stockholders to be filed with the SEC within 120 days after the end of the Company’s 2025 fiscal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978" w:name="PARTIV_944738"/>
      <w:bookmarkStart w:id="1979" w:name="_05179a00_f563_4619_8d99_f52b1b681401"/>
      <w:bookmarkEnd w:id="1978"/>
      <w:bookmarkEnd w:id="1979"/>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980" w:name="ITEM15EXHIBITS_40412"/>
      <w:bookmarkEnd w:id="1980"/>
      <w:r>
        <w:rPr>
          <w:rFonts w:ascii="Times New Roman;Times;serif" w:hAnsi="Times New Roman;Times;serif"/>
          <w:b/>
          <w:sz w:val="20"/>
        </w:rPr>
        <w:t>ITEM 15. EXHIBITS,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The following documents are filed as part of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financial statements included in Part II, Item 8 of this document are filed as part of this Annual Report on Form 10-K.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Financial Statements Schedules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required schedules are omitted because they are not applicable or the required information is shown in the financial statements or the accompanying notes.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annual report are listed in Item 15(b).</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(b) Exhibits.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exhibits are filed as a part of this report:</w:t>
      </w:r>
    </w:p>
    <w:tbl>
      <w:tblPr>
        <w:tblW w:w="10205" w:type="dxa"/>
        <w:jc w:val="left"/>
        <w:tblInd w:w="0" w:type="dxa"/>
        <w:tblLayout w:type="fixed"/>
        <w:tblCellMar>
          <w:top w:w="0" w:type="dxa"/>
          <w:left w:w="0" w:type="dxa"/>
          <w:bottom w:w="0" w:type="dxa"/>
          <w:right w:w="0" w:type="dxa"/>
        </w:tblCellMar>
      </w:tblPr>
      <w:tblGrid>
        <w:gridCol w:w="706"/>
        <w:gridCol w:w="109"/>
        <w:gridCol w:w="9390"/>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24155" cy="29210"/>
                      <wp:effectExtent l="0" t="0" r="0" b="0"/>
                      <wp:wrapNone/>
                      <wp:docPr id="514" name="Frame513"/>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981325" cy="29210"/>
                      <wp:effectExtent l="0" t="0" r="0" b="0"/>
                      <wp:wrapNone/>
                      <wp:docPr id="515" name="Frame514"/>
                      <a:graphic xmlns:a="http://schemas.openxmlformats.org/drawingml/2006/main">
                        <a:graphicData uri="http://schemas.microsoft.com/office/word/2010/wordprocessingShape">
                          <wps:wsp>
                            <wps:cNvSpPr txBox="1"/>
                            <wps:spPr>
                              <a:xfrm>
                                <a:off x="0" y="0"/>
                                <a:ext cx="2981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390"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3">
              <w:r>
                <w:rPr>
                  <w:rStyle w:val="InternetLink"/>
                  <w:rFonts w:ascii="Times New Roman;Times;serif" w:hAnsi="Times New Roman;Times;serif"/>
                  <w:b w:val="false"/>
                  <w:i w:val="false"/>
                  <w:caps w:val="false"/>
                  <w:smallCaps w:val="false"/>
                  <w:sz w:val="20"/>
                </w:rPr>
                <w:t>Stock Purchase Agreement, dated as of March 3, 2025, by and among Willdan Group, Inc., Willdan Energy Solutions, Inc. and each of the stockholders of APG. (incorporated by reference to Exhibit 2.1 to Willdan Group, Inc.’s Quarterly Report on Form 10-Q, filed with the SEC on May 9, 2025).</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lineRule="auto" w:line="304" w:before="0" w:after="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4">
              <w:r>
                <w:rPr>
                  <w:rStyle w:val="InternetLink"/>
                  <w:rFonts w:ascii="Times New Roman;Times;serif" w:hAnsi="Times New Roman;Times;serif"/>
                  <w:b w:val="false"/>
                  <w:i w:val="false"/>
                  <w:caps w:val="false"/>
                  <w:smallCaps w:val="false"/>
                  <w:sz w:val="20"/>
                </w:rPr>
                <w:t>First Amended and Restated Certificate of Incorporation of Willdan Group, Inc.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5">
              <w:r>
                <w:rPr>
                  <w:rStyle w:val="InternetLink"/>
                  <w:rFonts w:ascii="Times New Roman;Times;serif" w:hAnsi="Times New Roman;Times;serif"/>
                  <w:b w:val="false"/>
                  <w:i w:val="false"/>
                  <w:caps w:val="false"/>
                  <w:smallCaps w:val="false"/>
                  <w:sz w:val="20"/>
                </w:rPr>
                <w:t>Second Amended and Restated Bylaws of Willdan Group, Inc. (incorporated by reference to Exhibit 3.1 to Willdan Group, Inc.’s Current Report on Form 8-K, filed with the SEC on July 12, 2023).</w:t>
              </w:r>
            </w:hyperlink>
            <w:r>
              <w:rPr>
                <w:rFonts w:ascii="Times New Roman;Times;serif" w:hAnsi="Times New Roman;Times;serif"/>
                <w:sz w:val="20"/>
              </w:rPr>
              <w:t xml:space="preserve"> </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6">
              <w:r>
                <w:rPr>
                  <w:rStyle w:val="InternetLink"/>
                  <w:rFonts w:ascii="Times New Roman;Times;serif" w:hAnsi="Times New Roman;Times;serif"/>
                  <w:b w:val="false"/>
                  <w:i w:val="false"/>
                  <w:caps w:val="false"/>
                  <w:smallCaps w:val="false"/>
                  <w:sz w:val="20"/>
                </w:rPr>
                <w:t>Specimen Stock Certificate for shares of the Registrant’s Common Stock (incorporated by reference to Willdan Group, Inc.’s Registration Statement on Form S-1, filed with the SEC on August 9, 2006, as amended (File No. 333-136444))</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wldn-20260102xex4d2.htm">
              <w:r>
                <w:rPr>
                  <w:rStyle w:val="InternetLink"/>
                  <w:rFonts w:ascii="Times New Roman;Times;serif" w:hAnsi="Times New Roman;Times;serif"/>
                  <w:b w:val="false"/>
                  <w:i w:val="false"/>
                  <w:caps w:val="false"/>
                  <w:smallCaps w:val="false"/>
                  <w:sz w:val="20"/>
                </w:rPr>
                <w:t>Description of Willdan Group, Inc.’s Capital Stock.</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The Company agrees to furnish to the Securities and Exchange Commission upon request a copy of each instrument with respect to issues of long-term debt of Willdan Group, Inc. and its subsidiaries, the authorized principal amount of which does not exceed 10% of the consolidated assets of Willdan Group, Inc. and its subsidiaries.</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31" w:right="0" w:hanging="0"/>
              <w:jc w:val="left"/>
              <w:rPr/>
            </w:pPr>
            <w:hyperlink r:id="rId7">
              <w:r>
                <w:rPr>
                  <w:rStyle w:val="InternetLink"/>
                  <w:rFonts w:ascii="Times New Roman;Times;serif" w:hAnsi="Times New Roman;Times;serif"/>
                  <w:b w:val="false"/>
                  <w:i w:val="false"/>
                  <w:caps w:val="false"/>
                  <w:smallCaps w:val="false"/>
                  <w:sz w:val="20"/>
                  <w:shd w:fill="FFFFFF" w:val="clear"/>
                </w:rPr>
                <w:t>Amended and Restated Credit Agreement, dated as of May 5, 2025, by and among Willdan Group, Inc., as Borrower, the Guarantors (as defined therein), the Lenders (as defined therein), BMO Bank N.A., as Joint Lead Arranger, Joint Book Runner and Administrative Agent, Bank of America, N.A. as Joint Book Runner and Syndication Agent and J.P. Morgan, N.A. as Joint Lead Arranger, Joint Book Runner and Syndication Agent (incorporated by reference to Exhibit 10.1 to Willdan Group, Inc.’s Quarterly Report on Form 10-Q, filed with the SEC on May 9, 2025).</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06"/>
        <w:gridCol w:w="109"/>
        <w:gridCol w:w="9390"/>
      </w:tblGrid>
      <w:tr>
        <w:trPr/>
        <w:tc>
          <w:tcPr>
            <w:tcW w:w="7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24155" cy="29210"/>
                      <wp:effectExtent l="0" t="0" r="0" b="0"/>
                      <wp:wrapNone/>
                      <wp:docPr id="516" name="Frame515"/>
                      <a:graphic xmlns:a="http://schemas.openxmlformats.org/drawingml/2006/main">
                        <a:graphicData uri="http://schemas.microsoft.com/office/word/2010/wordprocessingShape">
                          <wps:wsp>
                            <wps:cNvSpPr txBox="1"/>
                            <wps:spPr>
                              <a:xfrm>
                                <a:off x="0" y="0"/>
                                <a:ext cx="2241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981325" cy="29210"/>
                      <wp:effectExtent l="0" t="0" r="0" b="0"/>
                      <wp:wrapNone/>
                      <wp:docPr id="517" name="Frame516"/>
                      <a:graphic xmlns:a="http://schemas.openxmlformats.org/drawingml/2006/main">
                        <a:graphicData uri="http://schemas.microsoft.com/office/word/2010/wordprocessingShape">
                          <wps:wsp>
                            <wps:cNvSpPr txBox="1"/>
                            <wps:spPr>
                              <a:xfrm>
                                <a:off x="0" y="0"/>
                                <a:ext cx="298132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7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390"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8">
              <w:r>
                <w:rPr>
                  <w:rStyle w:val="InternetLink"/>
                  <w:rFonts w:ascii="Times New Roman;Times;serif" w:hAnsi="Times New Roman;Times;serif"/>
                  <w:b w:val="false"/>
                  <w:i w:val="false"/>
                  <w:caps w:val="false"/>
                  <w:smallCaps w:val="false"/>
                  <w:sz w:val="20"/>
                  <w:shd w:fill="FFFFFF" w:val="clear"/>
                </w:rPr>
                <w:t>The Security Agreement, dated as of September 29, 2023, by and among Willdan Group, Inc., as Borrower, the Debtors (as defined therein), and BMO Bank N.A., as Administrative Agent (incorporated by reference to Exhibit 10.2 to Willdan Group, Inc.’s Current Report on Form 8-K, filed with the SEC on October 5, 2023).</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9">
              <w:r>
                <w:rPr>
                  <w:rStyle w:val="InternetLink"/>
                  <w:rFonts w:ascii="Times New Roman;Times;serif" w:hAnsi="Times New Roman;Times;serif"/>
                  <w:b w:val="false"/>
                  <w:i w:val="false"/>
                  <w:caps w:val="false"/>
                  <w:smallCaps w:val="false"/>
                  <w:sz w:val="20"/>
                  <w:shd w:fill="FFFFFF" w:val="clear"/>
                </w:rPr>
                <w:t>Form of Performance Based Restricted Stock Unit Award Agreement (pre-2024) (incorporated by reference to Exhibit 10.15 to Willdan Group, Inc.’s Annual Report on Form 10-K filed on March 10, 2023).</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0">
              <w:r>
                <w:rPr>
                  <w:rStyle w:val="InternetLink"/>
                  <w:rFonts w:ascii="Times New Roman;Times;serif" w:hAnsi="Times New Roman;Times;serif"/>
                  <w:b w:val="false"/>
                  <w:i w:val="false"/>
                  <w:caps w:val="false"/>
                  <w:smallCaps w:val="false"/>
                  <w:sz w:val="20"/>
                  <w:shd w:fill="FFFFFF" w:val="clear"/>
                </w:rPr>
                <w:t>Form of Restricted Stock Award Agreement (pre-2024) (incorporated by reference to Exhibit 10.16 to Willdan Group, Inc.’s Annual Report on Form 10-K filed on March 10, 2023).</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1">
              <w:r>
                <w:rPr>
                  <w:rStyle w:val="InternetLink"/>
                  <w:rFonts w:ascii="Times New Roman;Times;serif" w:hAnsi="Times New Roman;Times;serif"/>
                  <w:b w:val="false"/>
                  <w:i w:val="false"/>
                  <w:caps w:val="false"/>
                  <w:smallCaps w:val="false"/>
                  <w:sz w:val="20"/>
                </w:rPr>
                <w:t>Form of Performance Based Restricted Stock Unit Award Agreement (incorporated by reference to Exhibit 10.18 to Willdan Group, Inc.’s Annual Report on Form 10-K filed on March 8, 2024).</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2">
              <w:r>
                <w:rPr>
                  <w:rStyle w:val="InternetLink"/>
                  <w:rFonts w:ascii="Times New Roman;Times;serif" w:hAnsi="Times New Roman;Times;serif"/>
                  <w:b w:val="false"/>
                  <w:i w:val="false"/>
                  <w:caps w:val="false"/>
                  <w:smallCaps w:val="false"/>
                  <w:sz w:val="20"/>
                </w:rPr>
                <w:t>Form of Time Based Restricted Stock Unit Award Agreement (incorporated by reference to Exhibit 10.19 to Willdan Group, Inc.’s Annual Report on Form 10-K filed on March 8, 2024).</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3">
              <w:r>
                <w:rPr>
                  <w:rStyle w:val="InternetLink"/>
                  <w:rFonts w:ascii="Times New Roman;Times;serif" w:hAnsi="Times New Roman;Times;serif"/>
                  <w:b w:val="false"/>
                  <w:i w:val="false"/>
                  <w:caps w:val="false"/>
                  <w:smallCaps w:val="false"/>
                  <w:sz w:val="20"/>
                  <w:shd w:fill="FFFFFF" w:val="clear"/>
                </w:rPr>
                <w:t>Willdan Group, Inc. Amended and Restated 2008 Performance Incentive Plan (incorporated by reference to Exhibit 10.1 to Willdan Group, Inc.’s Current Report on Form 8-K, filed with the SEC on June 13, 2025)</w:t>
              </w:r>
            </w:hyperlink>
            <w:hyperlink r:id="rId14">
              <w:r>
                <w:rPr>
                  <w:rStyle w:val="InternetLink"/>
                  <w:rFonts w:ascii="Times New Roman;Times;serif" w:hAnsi="Times New Roman;Times;serif"/>
                  <w:b w:val="false"/>
                  <w:i w:val="false"/>
                  <w:caps w:val="false"/>
                  <w:smallCaps w:val="false"/>
                  <w:sz w:val="20"/>
                </w:rPr>
                <w:t>.</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5">
              <w:r>
                <w:rPr>
                  <w:rStyle w:val="InternetLink"/>
                  <w:rFonts w:ascii="Times New Roman;Times;serif" w:hAnsi="Times New Roman;Times;serif"/>
                  <w:b w:val="false"/>
                  <w:i w:val="false"/>
                  <w:caps w:val="false"/>
                  <w:smallCaps w:val="false"/>
                  <w:sz w:val="20"/>
                </w:rPr>
                <w:t>Amended and Restated Willdan Group, Inc. 2006 Employee Stock Purchase Plan (incorporated by reference to Exhibit 10.2 to Willdan Group, Inc.’s Current Report on Form 8-K, filed with the SEC on June 9, 2017)</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6">
              <w:r>
                <w:rPr>
                  <w:rStyle w:val="InternetLink"/>
                  <w:rFonts w:ascii="Times New Roman;Times;serif" w:hAnsi="Times New Roman;Times;serif"/>
                  <w:b w:val="false"/>
                  <w:i w:val="false"/>
                  <w:caps w:val="false"/>
                  <w:smallCaps w:val="false"/>
                  <w:sz w:val="20"/>
                </w:rPr>
                <w:t>Form of Indemnification Agreement between Willdan Group, Inc. and its Directors and Officers (incorporated by reference to Exhibit 10.1 to Willdan Group, Inc.’s Current Report on Form 8-K, filed with the SEC on June 13, 2016)</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shd w:fill="FFFFFF" w:val="clear"/>
                </w:rPr>
                <w:t>Consulting Agreement, dated as of February 28, 2024, between Willdan Group, Inc. and Thomas D. Brisbin (incorporated by reference to Exhibit 10.1 to Willdan Group, Inc.’s Current Report on Form 8-K, filed with the SEC on February 29, 2024).</w:t>
              </w:r>
            </w:hyperlink>
            <w:r>
              <w:rPr>
                <w:rFonts w:ascii="Times New Roman;Times;serif" w:hAnsi="Times New Roman;Times;serif"/>
                <w:sz w:val="20"/>
                <w:shd w:fill="FFFFFF" w:val="clear"/>
              </w:rPr>
              <w:t xml:space="preserve"> </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8">
              <w:r>
                <w:rPr>
                  <w:rStyle w:val="InternetLink"/>
                  <w:rFonts w:ascii="Times New Roman;Times;serif" w:hAnsi="Times New Roman;Times;serif"/>
                  <w:b w:val="false"/>
                  <w:i w:val="false"/>
                  <w:caps w:val="false"/>
                  <w:smallCaps w:val="false"/>
                  <w:sz w:val="20"/>
                </w:rPr>
                <w:t>Employment Agreement, by and between Willdan Group, Inc. and Michael Bieber, dated November 13, 2024 (incorporated by reference to Exhibit 10.1 to Willdan Group, Inc.’s Current Report on Form 8-K, filed with the SEC on November 18, 2024).</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19">
              <w:r>
                <w:rPr>
                  <w:rStyle w:val="InternetLink"/>
                  <w:rFonts w:ascii="Times New Roman;Times;serif" w:hAnsi="Times New Roman;Times;serif"/>
                  <w:b w:val="false"/>
                  <w:i w:val="false"/>
                  <w:caps w:val="false"/>
                  <w:smallCaps w:val="false"/>
                  <w:sz w:val="20"/>
                </w:rPr>
                <w:t>Employment Agreement, by and between Willdan Group, Inc. and Creighton K. Early, dated November 13, 2024 (incorporated by reference to Exhibit 10.2 to Willdan Group, Inc.’s Current Report on Form 8-K, filed with the SEC on November 18, 2024).</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20">
              <w:r>
                <w:rPr>
                  <w:rStyle w:val="InternetLink"/>
                  <w:rFonts w:ascii="Times New Roman;Times;serif" w:hAnsi="Times New Roman;Times;serif"/>
                  <w:b w:val="false"/>
                  <w:i w:val="false"/>
                  <w:caps w:val="false"/>
                  <w:smallCaps w:val="false"/>
                  <w:sz w:val="20"/>
                </w:rPr>
                <w:t>Employment Agreement, by and between Willdan Group, Inc. and Micah Chen, dated November 13, 2024 (incorporated by reference to Exhibit 10.3 to Willdan Group, Inc.’s Current Report on Form 8-K, filed with the SEC on November 18, 2024).</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r:id="rId21">
              <w:r>
                <w:rPr>
                  <w:rStyle w:val="InternetLink"/>
                  <w:rFonts w:ascii="Times New Roman;Times;serif" w:hAnsi="Times New Roman;Times;serif"/>
                  <w:b w:val="false"/>
                  <w:i w:val="false"/>
                  <w:caps w:val="false"/>
                  <w:smallCaps w:val="false"/>
                  <w:sz w:val="20"/>
                </w:rPr>
                <w:t>Insider Trading Policy (incorporated by reference to Exhibit 19.1 to Willdan Group, Inc.’s Annual Report on Form 10-K filed on March 6, 2025).</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wldn-20260102xex21d1.htm">
              <w:r>
                <w:rPr>
                  <w:rStyle w:val="InternetLink"/>
                  <w:rFonts w:ascii="Times New Roman;Times;serif" w:hAnsi="Times New Roman;Times;serif"/>
                  <w:b w:val="false"/>
                  <w:i w:val="false"/>
                  <w:caps w:val="false"/>
                  <w:smallCaps w:val="false"/>
                  <w:sz w:val="20"/>
                </w:rPr>
                <w:t>Subsidiaries of Willdan Group, Inc.</w:t>
              </w:r>
            </w:hyperlink>
            <w:r>
              <w:rPr>
                <w:rFonts w:ascii="Times New Roman;Times;serif" w:hAnsi="Times New Roman;Times;serif"/>
                <w:sz w:val="20"/>
              </w:rPr>
              <w:t xml:space="preserve"> </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wldn-20260102xex23d1.htm">
              <w:r>
                <w:rPr>
                  <w:rStyle w:val="InternetLink"/>
                  <w:rFonts w:ascii="Times New Roman;Times;serif" w:hAnsi="Times New Roman;Times;serif"/>
                  <w:b w:val="false"/>
                  <w:i w:val="false"/>
                  <w:caps w:val="false"/>
                  <w:smallCaps w:val="false"/>
                  <w:sz w:val="20"/>
                </w:rPr>
                <w:t>Consent of Crowe LLP.</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SIGNATURES">
              <w:r>
                <w:rPr>
                  <w:rStyle w:val="InternetLink"/>
                  <w:rFonts w:ascii="Times New Roman;Times;serif" w:hAnsi="Times New Roman;Times;serif"/>
                  <w:b w:val="false"/>
                  <w:i w:val="false"/>
                  <w:caps w:val="false"/>
                  <w:smallCaps w:val="false"/>
                  <w:sz w:val="20"/>
                </w:rPr>
                <w:t>Power of Attorney (included on signature page hereto)</w:t>
              </w:r>
            </w:hyperlink>
            <w:r>
              <w:rPr>
                <w:rFonts w:ascii="Times New Roman;Times;serif" w:hAnsi="Times New Roman;Times;serif"/>
                <w:sz w:val="20"/>
              </w:rPr>
              <w:t>.</w:t>
            </w:r>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wldn-20260102xex31d1.htm">
              <w:r>
                <w:rPr>
                  <w:rStyle w:val="InternetLink"/>
                  <w:rFonts w:ascii="Times New Roman;Times;serif" w:hAnsi="Times New Roman;Times;serif"/>
                  <w:b w:val="false"/>
                  <w:i w:val="false"/>
                  <w:caps w:val="false"/>
                  <w:smallCaps w:val="false"/>
                  <w:sz w:val="20"/>
                </w:rPr>
                <w:t>Certification of Chief Executive Officer pursuant to Rule 13a-14(a) and 15d-14(a) under the Securities Exchange Act of 1934, as adopted pursuant to § 302 of the Sarbanes-Oxley Act of 2002.</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wldn-20260102xex31d2.htm">
              <w:r>
                <w:rPr>
                  <w:rStyle w:val="InternetLink"/>
                  <w:rFonts w:ascii="Times New Roman;Times;serif" w:hAnsi="Times New Roman;Times;serif"/>
                  <w:b w:val="false"/>
                  <w:i w:val="false"/>
                  <w:caps w:val="false"/>
                  <w:smallCaps w:val="false"/>
                  <w:sz w:val="20"/>
                </w:rPr>
                <w:t>Certification of Chief Financial Officer pursuant to Rule 13a-14(a) or 15d-14(a) under the Securities Exchange Act of 1934, as adopted pursuant to § 302 of the Sarbanes-Oxley Act of 2002.</w:t>
              </w:r>
            </w:hyperlink>
          </w:p>
        </w:tc>
      </w:tr>
      <w:tr>
        <w:trPr/>
        <w:tc>
          <w:tcPr>
            <w:tcW w:w="706"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lineRule="auto" w:line="300" w:before="40" w:after="40"/>
              <w:ind w:left="0" w:right="0" w:hanging="0"/>
              <w:jc w:val="left"/>
              <w:rPr/>
            </w:pPr>
            <w:r>
              <w:rPr/>
              <w:t>​</w:t>
            </w:r>
          </w:p>
        </w:tc>
        <w:tc>
          <w:tcPr>
            <w:tcW w:w="9390" w:type="dxa"/>
            <w:tcBorders/>
            <w:vAlign w:val="center"/>
          </w:tcPr>
          <w:p>
            <w:pPr>
              <w:pStyle w:val="TableContents"/>
              <w:bidi w:val="0"/>
              <w:spacing w:lineRule="auto" w:line="300" w:before="40" w:after="40"/>
              <w:ind w:left="0" w:right="0" w:hanging="0"/>
              <w:jc w:val="left"/>
              <w:rPr/>
            </w:pPr>
            <w:hyperlink w:anchor="wldn-20260102xex32d1.htm">
              <w:r>
                <w:rPr>
                  <w:rStyle w:val="InternetLink"/>
                  <w:rFonts w:ascii="Times New Roman;Times;serif" w:hAnsi="Times New Roman;Times;serif"/>
                  <w:b w:val="false"/>
                  <w:i w:val="false"/>
                  <w:caps w:val="false"/>
                  <w:smallCaps w:val="false"/>
                  <w:sz w:val="20"/>
                </w:rPr>
                <w:t>Certifications of Chief Executive Officer and Chief Financial Officer pursuant to 18 U.S.C. 1350, as adopted pursuant to § 906 of the Sarbanes-Oxley Act of 2002.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57"/>
        <w:gridCol w:w="109"/>
        <w:gridCol w:w="9239"/>
      </w:tblGrid>
      <w:tr>
        <w:trPr/>
        <w:tc>
          <w:tcPr>
            <w:tcW w:w="85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71780" cy="29210"/>
                      <wp:effectExtent l="0" t="0" r="0" b="0"/>
                      <wp:wrapNone/>
                      <wp:docPr id="518" name="Frame517"/>
                      <a:graphic xmlns:a="http://schemas.openxmlformats.org/drawingml/2006/main">
                        <a:graphicData uri="http://schemas.microsoft.com/office/word/2010/wordprocessingShape">
                          <wps:wsp>
                            <wps:cNvSpPr txBox="1"/>
                            <wps:spPr>
                              <a:xfrm>
                                <a:off x="0" y="0"/>
                                <a:ext cx="2717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Heading"/>
              <w:bidi w:val="0"/>
              <w:spacing w:before="0" w:after="0"/>
              <w:ind w:left="0" w:right="0" w:hanging="0"/>
              <w:jc w:val="left"/>
              <w:rPr/>
            </w:pPr>
            <w:r>
              <w:rPr/>
              <w:t>​</w:t>
            </w:r>
          </w:p>
        </w:tc>
        <w:tc>
          <w:tcPr>
            <w:tcW w:w="923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933065" cy="29210"/>
                      <wp:effectExtent l="0" t="0" r="0" b="0"/>
                      <wp:wrapNone/>
                      <wp:docPr id="519" name="Frame518"/>
                      <a:graphic xmlns:a="http://schemas.openxmlformats.org/drawingml/2006/main">
                        <a:graphicData uri="http://schemas.microsoft.com/office/word/2010/wordprocessingShape">
                          <wps:wsp>
                            <wps:cNvSpPr txBox="1"/>
                            <wps:spPr>
                              <a:xfrm>
                                <a:off x="0" y="0"/>
                                <a:ext cx="29330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57"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109" w:type="dxa"/>
            <w:tcBorders/>
            <w:vAlign w:val="center"/>
          </w:tcPr>
          <w:p>
            <w:pPr>
              <w:pStyle w:val="TableHeading"/>
              <w:bidi w:val="0"/>
              <w:spacing w:lineRule="auto" w:line="300" w:before="40" w:after="40"/>
              <w:ind w:left="0" w:right="0" w:hanging="0"/>
              <w:jc w:val="center"/>
              <w:rPr/>
            </w:pPr>
            <w:r>
              <w:rPr/>
              <w:t>​</w:t>
            </w:r>
          </w:p>
        </w:tc>
        <w:tc>
          <w:tcPr>
            <w:tcW w:w="9239" w:type="dxa"/>
            <w:tcBorders>
              <w:bottom w:val="single" w:sz="2" w:space="0" w:color="000000"/>
            </w:tcBorders>
            <w:tcMar>
              <w:bottom w:w="28" w:type="dxa"/>
            </w:tcMar>
            <w:vAlign w:val="center"/>
          </w:tcPr>
          <w:p>
            <w:pPr>
              <w:pStyle w:val="TableHeading"/>
              <w:bidi w:val="0"/>
              <w:spacing w:lineRule="auto" w:line="300" w:before="40" w:after="4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pPr>
            <w:hyperlink r:id="rId22">
              <w:r>
                <w:rPr>
                  <w:rStyle w:val="InternetLink"/>
                  <w:rFonts w:ascii="Times New Roman;Times;serif" w:hAnsi="Times New Roman;Times;serif"/>
                  <w:b w:val="false"/>
                  <w:i w:val="false"/>
                  <w:caps w:val="false"/>
                  <w:smallCaps w:val="false"/>
                  <w:sz w:val="20"/>
                </w:rPr>
                <w:t>Policy Relating to Recovery of Erroneously Awarded Compensation (incorporated by reference to Exhibit 97 to Willdan Group, Inc.’s Annual Report on Form 10-K filed on March 8, 2024).</w:t>
              </w:r>
            </w:hyperlink>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Instance Document (the instance document does not appear in the Interactive Data File because its XBRL tags are embedded within the Inline XBRL document).</w:t>
            </w:r>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Schema Document</w:t>
            </w:r>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Calculation Linkbase Document</w:t>
            </w:r>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Extension Label Linkbase Document</w:t>
            </w:r>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57" w:type="dxa"/>
            <w:tcBorders/>
            <w:vAlign w:val="center"/>
          </w:tcPr>
          <w:p>
            <w:pPr>
              <w:pStyle w:val="TableContents"/>
              <w:bidi w:val="0"/>
              <w:spacing w:lineRule="auto" w:line="304" w:before="40" w:after="4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lineRule="auto" w:line="300" w:before="40" w:after="40"/>
              <w:ind w:left="0" w:right="0" w:hanging="0"/>
              <w:jc w:val="left"/>
              <w:rPr/>
            </w:pPr>
            <w:r>
              <w:rPr/>
              <w:t>​</w:t>
            </w:r>
          </w:p>
        </w:tc>
        <w:tc>
          <w:tcPr>
            <w:tcW w:w="9239" w:type="dxa"/>
            <w:tcBorders/>
            <w:vAlign w:val="center"/>
          </w:tcPr>
          <w:p>
            <w:pPr>
              <w:pStyle w:val="TableContents"/>
              <w:bidi w:val="0"/>
              <w:spacing w:lineRule="auto" w:line="300" w:before="40" w:after="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 and contained in Exhibit 101)</w:t>
            </w:r>
          </w:p>
        </w:tc>
      </w:tr>
    </w:tbl>
    <w:p>
      <w:pPr>
        <w:pStyle w:val="TextBody"/>
        <w:bidi w:val="0"/>
        <w:spacing w:before="0" w:after="0"/>
        <w:ind w:left="0" w:right="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w:t>
            </w:r>
          </w:p>
        </w:tc>
      </w:tr>
    </w:tbl>
    <w:p>
      <w:pPr>
        <w:pStyle w:val="Normal"/>
        <w:bidi w:val="0"/>
        <w:spacing w:before="0" w:after="0"/>
        <w:jc w:val="left"/>
        <w:rPr>
          <w:sz w:val="4"/>
          <w:szCs w:val="4"/>
        </w:rPr>
      </w:pPr>
      <w:r>
        <w:rPr>
          <w:sz w:val="4"/>
          <w:szCs w:val="4"/>
        </w:rPr>
      </w:r>
      <w:bookmarkStart w:id="1981" w:name="_cp_text_1_845"/>
      <w:bookmarkStart w:id="1982" w:name="_cp_text_1_845"/>
      <w:bookmarkEnd w:id="1982"/>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60" w:after="0"/>
              <w:jc w:val="left"/>
              <w:rPr/>
            </w:pPr>
            <w:r>
              <w:rPr/>
              <w:t>‡</w:t>
            </w:r>
          </w:p>
        </w:tc>
        <w:tc>
          <w:tcPr>
            <w:tcW w:w="9964" w:type="dxa"/>
            <w:tcBorders/>
            <w:vAlign w:val="center"/>
          </w:tcPr>
          <w:p>
            <w:pPr>
              <w:pStyle w:val="TableContents"/>
              <w:bidi w:val="0"/>
              <w:spacing w:before="60" w:after="0"/>
              <w:jc w:val="left"/>
              <w:rPr>
                <w:rFonts w:ascii="Times New Roman;Times;serif" w:hAnsi="Times New Roman;Times;serif"/>
                <w:sz w:val="20"/>
              </w:rPr>
            </w:pPr>
            <w:r>
              <w:rPr>
                <w:rFonts w:ascii="Times New Roman;Times;serif" w:hAnsi="Times New Roman;Times;serif"/>
                <w:sz w:val="20"/>
              </w:rPr>
              <w:t>Portions of the referenced exhibit have been omitted pursuant to Item 601(b) of Regulation S-K because it (i) is not material and (ii) would be competitively harmful if publicly disclosed.</w:t>
            </w:r>
          </w:p>
        </w:tc>
      </w:tr>
    </w:tbl>
    <w:p>
      <w:pPr>
        <w:pStyle w:val="TextBody"/>
        <w:pBdr/>
        <w:bidi w:val="0"/>
        <w:spacing w:before="60" w:after="0"/>
        <w:ind w:left="0" w:right="0" w:hanging="720"/>
        <w:jc w:val="left"/>
        <w:rPr/>
      </w:pPr>
      <w:r>
        <w:rPr/>
        <w:t>​</w:t>
      </w:r>
    </w:p>
    <w:tbl>
      <w:tblPr>
        <w:tblW w:w="6152" w:type="dxa"/>
        <w:jc w:val="left"/>
        <w:tblInd w:w="0" w:type="dxa"/>
        <w:tblLayout w:type="fixed"/>
        <w:tblCellMar>
          <w:top w:w="0" w:type="dxa"/>
          <w:left w:w="0" w:type="dxa"/>
          <w:bottom w:w="0" w:type="dxa"/>
          <w:right w:w="0" w:type="dxa"/>
        </w:tblCellMar>
      </w:tblPr>
      <w:tblGrid>
        <w:gridCol w:w="241"/>
        <w:gridCol w:w="5911"/>
      </w:tblGrid>
      <w:tr>
        <w:trPr/>
        <w:tc>
          <w:tcPr>
            <w:tcW w:w="241" w:type="dxa"/>
            <w:tcBorders/>
            <w:vAlign w:val="center"/>
          </w:tcPr>
          <w:p>
            <w:pPr>
              <w:pStyle w:val="TableContents"/>
              <w:bidi w:val="0"/>
              <w:spacing w:before="0" w:after="240"/>
              <w:jc w:val="left"/>
              <w:rPr/>
            </w:pPr>
            <w:r>
              <w:rPr/>
              <w:t>†</w:t>
            </w:r>
          </w:p>
        </w:tc>
        <w:tc>
          <w:tcPr>
            <w:tcW w:w="591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a management contract or compensating plan or arrangement.</w:t>
            </w:r>
          </w:p>
        </w:tc>
      </w:tr>
    </w:tbl>
    <w:p>
      <w:pPr>
        <w:pStyle w:val="TextBody"/>
        <w:pBdr/>
        <w:bidi w:val="0"/>
        <w:spacing w:before="0" w:after="240"/>
        <w:ind w:left="0" w:right="0" w:hanging="720"/>
        <w:jc w:val="left"/>
        <w:rPr>
          <w:rFonts w:ascii="Times New Roman;Times;serif" w:hAnsi="Times New Roman;Times;serif"/>
          <w:b/>
          <w:sz w:val="20"/>
        </w:rPr>
      </w:pPr>
      <w:bookmarkStart w:id="1983" w:name="ITEM16FORM10KSUMMARY_274253"/>
      <w:bookmarkStart w:id="1984" w:name="_22d6ffac_b585_4e4e_a8d9_7cf2a387fbde"/>
      <w:bookmarkEnd w:id="1983"/>
      <w:bookmarkEnd w:id="1984"/>
      <w:r>
        <w:rPr>
          <w:rFonts w:ascii="Times New Roman;Times;serif" w:hAnsi="Times New Roman;Times;serif"/>
          <w:b/>
          <w:sz w:val="20"/>
        </w:rPr>
        <w:t>ITEM 16. FORM 10-K SUMMARY</w:t>
      </w:r>
    </w:p>
    <w:p>
      <w:pPr>
        <w:pStyle w:val="TextBody"/>
        <w:bidi w:val="0"/>
        <w:spacing w:lineRule="auto" w:line="304" w:before="0" w:after="160"/>
        <w:ind w:left="0" w:right="0" w:hanging="0"/>
        <w:jc w:val="left"/>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985" w:name="SIGNATURES"/>
      <w:bookmarkStart w:id="1986" w:name="_f279c2a6_963c_4107_b7f7_714ec7d31356"/>
      <w:bookmarkEnd w:id="1985"/>
      <w:bookmarkEnd w:id="1986"/>
      <w:r>
        <w:rPr>
          <w:rFonts w:ascii="Times New Roman;Times;serif" w:hAnsi="Times New Roman;Times;serif"/>
          <w:b/>
          <w:sz w:val="20"/>
        </w:rPr>
        <w:t>SIGNATURES</w:t>
      </w:r>
    </w:p>
    <w:p>
      <w:pPr>
        <w:pStyle w:val="TextBody"/>
        <w:bidi w:val="0"/>
        <w:spacing w:before="0" w:after="16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4624" w:type="dxa"/>
        <w:jc w:val="left"/>
        <w:tblInd w:w="0" w:type="dxa"/>
        <w:tblLayout w:type="fixed"/>
        <w:tblCellMar>
          <w:top w:w="0" w:type="dxa"/>
          <w:left w:w="0" w:type="dxa"/>
          <w:bottom w:w="0" w:type="dxa"/>
          <w:right w:w="0" w:type="dxa"/>
        </w:tblCellMar>
      </w:tblPr>
      <w:tblGrid>
        <w:gridCol w:w="124"/>
        <w:gridCol w:w="4105"/>
        <w:gridCol w:w="395"/>
      </w:tblGrid>
      <w:tr>
        <w:trPr/>
        <w:tc>
          <w:tcPr>
            <w:tcW w:w="124" w:type="dxa"/>
            <w:tcBorders/>
            <w:vAlign w:val="center"/>
          </w:tcPr>
          <w:p>
            <w:pPr>
              <w:pStyle w:val="TableContents"/>
              <w:bidi w:val="0"/>
              <w:spacing w:before="0" w:after="120"/>
              <w:ind w:left="0" w:right="0" w:hanging="0"/>
              <w:jc w:val="left"/>
              <w:rPr/>
            </w:pPr>
            <w:r>
              <w:rPr/>
              <w:t>​</w:t>
            </w:r>
          </w:p>
        </w:tc>
        <w:tc>
          <w:tcPr>
            <w:tcW w:w="4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606675" cy="29210"/>
                      <wp:effectExtent l="0" t="0" r="0" b="0"/>
                      <wp:wrapNone/>
                      <wp:docPr id="520" name="Frame519"/>
                      <a:graphic xmlns:a="http://schemas.openxmlformats.org/drawingml/2006/main">
                        <a:graphicData uri="http://schemas.microsoft.com/office/word/2010/wordprocessingShape">
                          <wps:wsp>
                            <wps:cNvSpPr txBox="1"/>
                            <wps:spPr>
                              <a:xfrm>
                                <a:off x="0" y="0"/>
                                <a:ext cx="26066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50825" cy="175260"/>
                      <wp:effectExtent l="0" t="0" r="0" b="0"/>
                      <wp:wrapNone/>
                      <wp:docPr id="521" name="Frame520"/>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12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2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WILLDAN GROUP, INC.</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center"/>
              <w:rPr>
                <w:smallCaps/>
              </w:rPr>
            </w:pPr>
            <w:r>
              <w:rPr>
                <w:smallCaps/>
              </w:rPr>
              <w: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500" w:type="dxa"/>
            <w:gridSpan w:val="2"/>
            <w:tcBorders/>
            <w:vAlign w:val="center"/>
          </w:tcPr>
          <w:p>
            <w:pPr>
              <w:pStyle w:val="TableContents"/>
              <w:bidi w:val="0"/>
              <w:spacing w:lineRule="auto" w:line="304"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tc>
      </w:tr>
      <w:tr>
        <w:trPr/>
        <w:tc>
          <w:tcPr>
            <w:tcW w:w="124" w:type="dxa"/>
            <w:tcBorders/>
            <w:vAlign w:val="center"/>
          </w:tcPr>
          <w:p>
            <w:pPr>
              <w:pStyle w:val="TableContents"/>
              <w:pBdr/>
              <w:bidi w:val="0"/>
              <w:spacing w:lineRule="auto" w:line="304" w:before="0" w:after="0"/>
              <w:ind w:left="0" w:right="0" w:hanging="0"/>
              <w:jc w:val="left"/>
              <w:rPr/>
            </w:pPr>
            <w:r>
              <w:rPr/>
              <w:t>​</w:t>
            </w:r>
          </w:p>
        </w:tc>
        <w:tc>
          <w:tcPr>
            <w:tcW w:w="4105"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February 26, 2026</w:t>
            </w:r>
          </w:p>
        </w:tc>
        <w:tc>
          <w:tcPr>
            <w:tcW w:w="395"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160" w:after="160"/>
        <w:ind w:left="0" w:right="0" w:firstLine="720"/>
        <w:jc w:val="left"/>
        <w:rPr>
          <w:rFonts w:ascii="Times New Roman;Times;serif" w:hAnsi="Times New Roman;Times;serif"/>
          <w:sz w:val="20"/>
        </w:rPr>
      </w:pPr>
      <w:r>
        <w:rPr>
          <w:rFonts w:ascii="Times New Roman;Times;serif" w:hAnsi="Times New Roman;Times;serif"/>
          <w:sz w:val="20"/>
        </w:rPr>
        <w:t>KNOW ALL PERSONS BY THESE PRESENT, that each person whose signature appears below constitutes and appoints Creighton K. Early his/her attorney-in-fact, with the power of substitution, for him/her in any and all capacities, to sign any amendments to this Report on Form 10-K and to file the same, with Exhibits thereto and other documents in connection therewith with the SEC, hereby ratifying and confirming all that said attorney-in-fact, or substitute or substitutes may do or cause to be done by virtue hereof.</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by the following persons on behalf of the registrant and in the capacities and on the dates indicated.</w:t>
      </w:r>
    </w:p>
    <w:tbl>
      <w:tblPr>
        <w:tblW w:w="10205" w:type="dxa"/>
        <w:jc w:val="left"/>
        <w:tblInd w:w="0" w:type="dxa"/>
        <w:tblLayout w:type="fixed"/>
        <w:tblCellMar>
          <w:top w:w="0" w:type="dxa"/>
          <w:left w:w="0" w:type="dxa"/>
          <w:bottom w:w="28" w:type="dxa"/>
          <w:right w:w="0" w:type="dxa"/>
        </w:tblCellMar>
      </w:tblPr>
      <w:tblGrid>
        <w:gridCol w:w="2258"/>
        <w:gridCol w:w="109"/>
        <w:gridCol w:w="6063"/>
        <w:gridCol w:w="109"/>
        <w:gridCol w:w="1292"/>
        <w:gridCol w:w="109"/>
        <w:gridCol w:w="109"/>
        <w:gridCol w:w="156"/>
      </w:tblGrid>
      <w:tr>
        <w:trPr/>
        <w:tc>
          <w:tcPr>
            <w:tcW w:w="2258" w:type="dxa"/>
            <w:tcBorders>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Signature</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6063" w:type="dxa"/>
            <w:tcBorders>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Title</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1292" w:type="dxa"/>
            <w:tcBorders>
              <w:bottom w:val="single" w:sz="2" w:space="0" w:color="000000"/>
            </w:tcBorders>
            <w:vAlign w:val="center"/>
          </w:tcPr>
          <w:p>
            <w:pPr>
              <w:pStyle w:val="TableContents"/>
              <w:bidi w:val="0"/>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Date</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center"/>
              <w:rPr/>
            </w:pPr>
            <w:r>
              <w:rPr/>
              <w:t>​</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tcBorders>
              <w:top w:val="single" w:sz="2" w:space="0" w:color="000000"/>
            </w:tcBorders>
            <w:tcMar>
              <w:top w:w="28" w:type="dxa"/>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1292" w:type="dxa"/>
            <w:tcBorders>
              <w:top w:val="single" w:sz="2" w:space="0" w:color="000000"/>
            </w:tcBorders>
            <w:tcMar>
              <w:top w:w="28" w:type="dxa"/>
              <w:bottom w:w="0" w:type="dxa"/>
            </w:tcMar>
            <w:vAlign w:val="center"/>
          </w:tcPr>
          <w:p>
            <w:pPr>
              <w:pStyle w:val="TableContents"/>
              <w:bidi w:val="0"/>
              <w:spacing w:lineRule="auto" w:line="304" w:before="0" w:after="0"/>
              <w:ind w:left="0" w:right="0" w:hanging="0"/>
              <w:jc w:val="center"/>
              <w:rPr/>
            </w:pPr>
            <w:r>
              <w:rPr/>
              <w:t>​</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Michael A. Bieber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President, Chief Executive Officer and Director (principal executive officer)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09" w:type="dxa"/>
            <w:tcBorders/>
            <w:tcMar>
              <w:top w:w="28" w:type="dxa"/>
              <w:left w:w="28" w:type="dxa"/>
              <w:right w:w="28" w:type="dxa"/>
            </w:tcMar>
          </w:tcPr>
          <w:p>
            <w:pPr>
              <w:pStyle w:val="TableContents"/>
              <w:bidi w:val="0"/>
              <w:spacing w:before="0" w:after="283"/>
              <w:jc w:val="left"/>
              <w:rPr>
                <w:sz w:val="4"/>
                <w:szCs w:val="4"/>
              </w:rPr>
            </w:pPr>
            <w:r>
              <w:rPr>
                <w:sz w:val="4"/>
                <w:szCs w:val="4"/>
              </w:rPr>
            </w:r>
          </w:p>
        </w:tc>
        <w:tc>
          <w:tcPr>
            <w:tcW w:w="1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Michael A. Bieber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58"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06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292" w:type="dxa"/>
            <w:tcBorders/>
            <w:tcMar>
              <w:bottom w:w="0" w:type="dxa"/>
            </w:tcMar>
            <w:vAlign w:val="center"/>
          </w:tcPr>
          <w:p>
            <w:pPr>
              <w:pStyle w:val="TableContents"/>
              <w:bidi w:val="0"/>
              <w:spacing w:before="0" w:after="0"/>
              <w:ind w:left="0" w:right="0" w:hanging="0"/>
              <w:jc w:val="left"/>
              <w:rPr/>
            </w:pPr>
            <w:r>
              <w:rPr/>
              <w:t>​</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Chief Financial Officer and Executive Vice President (principal financial officer and principal accounting officer)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Creighton K. Early</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58"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06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292" w:type="dxa"/>
            <w:tcBorders/>
            <w:tcMar>
              <w:bottom w:w="0" w:type="dxa"/>
            </w:tcMar>
            <w:vAlign w:val="center"/>
          </w:tcPr>
          <w:p>
            <w:pPr>
              <w:pStyle w:val="TableContents"/>
              <w:bidi w:val="0"/>
              <w:spacing w:before="0" w:after="0"/>
              <w:ind w:left="0" w:right="0" w:hanging="0"/>
              <w:jc w:val="left"/>
              <w:rPr/>
            </w:pPr>
            <w:r>
              <w:rPr/>
              <w:t>​</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Thomas D. Brisbin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Chairman of the Board and 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cMar>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Thomas D. Brisbin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center"/>
              <w:rPr/>
            </w:pPr>
            <w:r>
              <w:rPr/>
              <w:t>​</w:t>
            </w:r>
          </w:p>
        </w:tc>
        <w:tc>
          <w:tcPr>
            <w:tcW w:w="156" w:type="dxa"/>
            <w:tcBorders/>
            <w:tcMar>
              <w:bottom w:w="0" w:type="dxa"/>
            </w:tcMar>
            <w:vAlign w:val="center"/>
          </w:tcPr>
          <w:p>
            <w:pPr>
              <w:pStyle w:val="TableContents"/>
              <w:bidi w:val="0"/>
              <w:spacing w:lineRule="auto" w:line="304" w:before="0" w:after="0"/>
              <w:ind w:left="0" w:right="0" w:hanging="0"/>
              <w:jc w:val="center"/>
              <w:rPr/>
            </w:pPr>
            <w:r>
              <w:rPr/>
              <w:t>​</w:t>
            </w:r>
          </w:p>
        </w:tc>
      </w:tr>
      <w:tr>
        <w:trPr/>
        <w:tc>
          <w:tcPr>
            <w:tcW w:w="2258"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06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292" w:type="dxa"/>
            <w:tcBorders/>
            <w:tcMar>
              <w:bottom w:w="0" w:type="dxa"/>
            </w:tcMar>
            <w:vAlign w:val="center"/>
          </w:tcPr>
          <w:p>
            <w:pPr>
              <w:pStyle w:val="TableContents"/>
              <w:bidi w:val="0"/>
              <w:spacing w:before="0" w:after="0"/>
              <w:ind w:left="0" w:right="0" w:hanging="0"/>
              <w:jc w:val="left"/>
              <w:rPr/>
            </w:pPr>
            <w:r>
              <w:rPr/>
              <w:t>​</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Steven A. Cohen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Steven A. Cohen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58"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06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292" w:type="dxa"/>
            <w:tcBorders/>
            <w:tcMar>
              <w:bottom w:w="0" w:type="dxa"/>
            </w:tcMar>
            <w:vAlign w:val="center"/>
          </w:tcPr>
          <w:p>
            <w:pPr>
              <w:pStyle w:val="TableContents"/>
              <w:bidi w:val="0"/>
              <w:spacing w:before="0" w:after="0"/>
              <w:ind w:left="0" w:right="0" w:hanging="0"/>
              <w:jc w:val="left"/>
              <w:rPr/>
            </w:pPr>
            <w:r>
              <w:rPr/>
              <w:t>​</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 xml:space="preserve">Cynthia A. Downes </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Cynthia A. Downes</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58"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06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292" w:type="dxa"/>
            <w:tcBorders/>
            <w:tcMar>
              <w:bottom w:w="0" w:type="dxa"/>
            </w:tcMar>
            <w:vAlign w:val="center"/>
          </w:tcPr>
          <w:p>
            <w:pPr>
              <w:pStyle w:val="TableContents"/>
              <w:bidi w:val="0"/>
              <w:spacing w:before="0" w:after="0"/>
              <w:ind w:left="0" w:right="0" w:hanging="0"/>
              <w:jc w:val="left"/>
              <w:rPr/>
            </w:pPr>
            <w:r>
              <w:rPr/>
              <w:t>​</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Dennis V. McGinn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center"/>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Dennis V. McGinn</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258"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06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292" w:type="dxa"/>
            <w:tcBorders/>
            <w:tcMar>
              <w:bottom w:w="0" w:type="dxa"/>
            </w:tcMar>
            <w:vAlign w:val="center"/>
          </w:tcPr>
          <w:p>
            <w:pPr>
              <w:pStyle w:val="TableContents"/>
              <w:bidi w:val="0"/>
              <w:spacing w:before="0" w:after="0"/>
              <w:ind w:left="0" w:right="0" w:hanging="0"/>
              <w:jc w:val="left"/>
              <w:rPr/>
            </w:pPr>
            <w:r>
              <w:rPr/>
              <w:t>​</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Wanda K. Reder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left"/>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Wanda K. Reder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56" w:type="dxa"/>
            <w:tcBorders/>
            <w:tcMar>
              <w:bottom w:w="0" w:type="dxa"/>
            </w:tcMar>
            <w:vAlign w:val="center"/>
          </w:tcPr>
          <w:p>
            <w:pPr>
              <w:pStyle w:val="TableContents"/>
              <w:bidi w:val="0"/>
              <w:spacing w:lineRule="auto" w:line="304" w:before="0" w:after="0"/>
              <w:ind w:left="0" w:right="0" w:hanging="0"/>
              <w:jc w:val="left"/>
              <w:rPr/>
            </w:pPr>
            <w:r>
              <w:rPr/>
              <w:t>​</w:t>
            </w:r>
          </w:p>
        </w:tc>
      </w:tr>
      <w:tr>
        <w:trPr/>
        <w:tc>
          <w:tcPr>
            <w:tcW w:w="2258"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6063"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292" w:type="dxa"/>
            <w:tcBorders/>
            <w:tcMar>
              <w:bottom w:w="0" w:type="dxa"/>
            </w:tcMar>
            <w:vAlign w:val="center"/>
          </w:tcPr>
          <w:p>
            <w:pPr>
              <w:pStyle w:val="TableContents"/>
              <w:bidi w:val="0"/>
              <w:spacing w:before="0" w:after="0"/>
              <w:ind w:left="0" w:right="0" w:hanging="0"/>
              <w:jc w:val="left"/>
              <w:rPr/>
            </w:pPr>
            <w:r>
              <w:rPr/>
              <w:t>​</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bottom w:val="single" w:sz="2" w:space="0" w:color="000000"/>
            </w:tcBorders>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Mohammad Shahidehpour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restart"/>
            <w:tcBorders/>
            <w:tcMar>
              <w:bottom w:w="0" w:type="dxa"/>
            </w:tcMar>
            <w:vAlign w:val="center"/>
          </w:tcPr>
          <w:p>
            <w:pPr>
              <w:pStyle w:val="TableContents"/>
              <w:bidi w:val="0"/>
              <w:spacing w:lineRule="auto" w:line="304"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Director</w:t>
            </w:r>
          </w:p>
        </w:tc>
        <w:tc>
          <w:tcPr>
            <w:tcW w:w="109" w:type="dxa"/>
            <w:vMerge w:val="restart"/>
            <w:tcBorders/>
            <w:tcMar>
              <w:bottom w:w="0" w:type="dxa"/>
            </w:tcMar>
            <w:vAlign w:val="center"/>
          </w:tcPr>
          <w:p>
            <w:pPr>
              <w:pStyle w:val="TableContents"/>
              <w:bidi w:val="0"/>
              <w:spacing w:lineRule="auto" w:line="304" w:before="0" w:after="0"/>
              <w:ind w:left="0" w:right="0" w:hanging="0"/>
              <w:jc w:val="left"/>
              <w:rPr>
                <w:caps w:val="false"/>
                <w:smallCaps w:val="false"/>
                <w:color w:val="000000"/>
              </w:rPr>
            </w:pPr>
            <w:r>
              <w:rPr>
                <w:caps w:val="false"/>
                <w:smallCaps w:val="false"/>
                <w:color w:val="000000"/>
              </w:rPr>
              <w:t>​</w:t>
            </w:r>
          </w:p>
        </w:tc>
        <w:tc>
          <w:tcPr>
            <w:tcW w:w="1292" w:type="dxa"/>
            <w:vMerge w:val="restart"/>
            <w:tcBorders/>
            <w:tcMar>
              <w:bottom w:w="0" w:type="dxa"/>
            </w:tcMar>
            <w:vAlign w:val="center"/>
          </w:tcPr>
          <w:p>
            <w:pPr>
              <w:pStyle w:val="TableContents"/>
              <w:bidi w:val="0"/>
              <w:spacing w:lineRule="auto" w:line="304"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February 26, 2026</w:t>
            </w:r>
          </w:p>
        </w:tc>
        <w:tc>
          <w:tcPr>
            <w:tcW w:w="374" w:type="dxa"/>
            <w:gridSpan w:val="3"/>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2258" w:type="dxa"/>
            <w:tcBorders>
              <w:top w:val="single" w:sz="2" w:space="0" w:color="000000"/>
            </w:tcBorders>
            <w:tcMar>
              <w:top w:w="28" w:type="dxa"/>
              <w:bottom w:w="0" w:type="dxa"/>
            </w:tcMar>
            <w:vAlign w:val="center"/>
          </w:tcPr>
          <w:p>
            <w:pPr>
              <w:pStyle w:val="TableContents"/>
              <w:pBdr/>
              <w:bidi w:val="0"/>
              <w:spacing w:lineRule="auto" w:line="302" w:before="0" w:after="0"/>
              <w:ind w:left="0" w:right="0" w:hanging="0"/>
              <w:jc w:val="left"/>
              <w:rPr>
                <w:rFonts w:ascii="Times New Roman;Times;serif" w:hAnsi="Times New Roman;Times;serif"/>
                <w:sz w:val="20"/>
              </w:rPr>
            </w:pPr>
            <w:r>
              <w:rPr>
                <w:rFonts w:ascii="Times New Roman;Times;serif" w:hAnsi="Times New Roman;Times;serif"/>
                <w:sz w:val="20"/>
              </w:rPr>
              <w:t>Mohammad Shahidehpour</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60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292"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09" w:type="dxa"/>
            <w:tcBorders/>
            <w:tcMar>
              <w:bottom w:w="0" w:type="dxa"/>
            </w:tcMar>
            <w:vAlign w:val="center"/>
          </w:tcPr>
          <w:p>
            <w:pPr>
              <w:pStyle w:val="TableContents"/>
              <w:bidi w:val="0"/>
              <w:spacing w:lineRule="auto" w:line="304" w:before="0" w:after="0"/>
              <w:ind w:left="0" w:right="0" w:hanging="0"/>
              <w:jc w:val="left"/>
              <w:rPr/>
            </w:pPr>
            <w:r>
              <w:rPr/>
              <w:t>​</w:t>
            </w:r>
          </w:p>
        </w:tc>
        <w:tc>
          <w:tcPr>
            <w:tcW w:w="156" w:type="dxa"/>
            <w:tcBorders/>
            <w:tcMar>
              <w:bottom w:w="0" w:type="dxa"/>
            </w:tcMar>
            <w:vAlign w:val="center"/>
          </w:tcPr>
          <w:p>
            <w:pPr>
              <w:pStyle w:val="TableContents"/>
              <w:bidi w:val="0"/>
              <w:spacing w:lineRule="auto" w:line="304"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480"/>
        <w:ind w:left="0" w:right="0" w:hanging="0"/>
        <w:jc w:val="right"/>
        <w:rPr>
          <w:rFonts w:ascii="Times New Roman;Times;serif" w:hAnsi="Times New Roman;Times;serif"/>
          <w:b/>
          <w:sz w:val="20"/>
        </w:rPr>
      </w:pPr>
      <w:bookmarkStart w:id="1987" w:name="wldn-20260102xex4d2.htm"/>
      <w:bookmarkStart w:id="1988" w:name="kswldn20260102xex4d2"/>
      <w:bookmarkEnd w:id="1987"/>
      <w:bookmarkEnd w:id="1988"/>
      <w:r>
        <w:rPr>
          <w:rFonts w:ascii="Times New Roman;Times;serif" w:hAnsi="Times New Roman;Times;serif"/>
          <w:b/>
          <w:sz w:val="20"/>
        </w:rPr>
        <w:t>Exhibit 4.2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DESCRIPTION OF CAPITAL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i/>
          <w:sz w:val="20"/>
        </w:rPr>
        <w:t>References to the “Company,” “Willdan,” “we,” “us” and “our” in this section refer to Willdan Group, Inc.</w:t>
      </w:r>
      <w:r>
        <w:rPr>
          <w:rFonts w:ascii="Times New Roman;Times;serif" w:hAnsi="Times New Roman;Times;serif"/>
          <w:sz w:val="20"/>
        </w:rPr>
        <w:t xml:space="preserve"> </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The following description of our capital stock and provisions of our certificate of incorporation and bylaws are summaries only. For more detailed information, please see our restated certificate of incorporation, or Certificate of Incorporation and second amended and restated bylaws, or Bylaws, which are filed as exhibits to reports we file with the Securities and Exchange Commission, and the Delaware General Corporation Law, or DGCL.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Authorized Capitalization</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Our authorized capital stock consists of 40,000,000 shares of common stock, par value of $0.01 per share, and 10,000,000 shares of preferred stock, par value $0.01 per share.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Voting Rights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Each holder of our common stock is entitled to one vote for each share on all matters submitted to a vote of stockholders, including the election or removal of directors. Our directors are elected by a plurality of the votes cast by stockholders present in person, by remote communication, or represented by proxy at a meeting and entitled to vote on the election. All other matters to be voted on by stockholders must be approved by the affirmative vote of the majority of the voting power of all issued and outstanding shares of our capital stock present in person, by remote communication, or represented by proxy at a meeting and entitled to vote generally on the subject matter thereof, subject to any voting rights granted to holders of any preferred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There are no cumulative voting rights for the election of directors, which means that the holders of a majority of the shares of our common stock voted are entitled to elect all of our directors.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Subject to the rights of holders of any then-outstanding shares of any series of our preferred stock, holders of our common stock are entitled to receive ratably any dividends that may be declared by our board of directors out of funds legally available therefor.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Liquidation</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 the event of our liquidation, dissolution or winding up, either voluntary or involuntary, holders of our common stock would be entitled to share ratably in all assets available for distribution to stockholders after the payment of or provision for all of our debts and other liabilities and the satisfaction of any liquidation preference granted to the holders of any then-outstanding shares of preferred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Rights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Holders of our common stock do not have preemptive rights to purchase shares of our stock. The shares of our common stock are not subject to any redemption provisions and are not convertible into any other shares of our capital stock. The rights, preferences and privileges of holders of our common stock will be subject to those of the holders of any shares of our preferred stock which we may issue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Blank Check Preferred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Under the terms of our Certificate of Incorporation, our board of directors has the authority, without further action by our stockholders, to issue preferred stock in one or more series and to fix the rights, preferences, privileges and restrictions thereof, including voting rights, dividend rights, conversion rights, redemption privileges and liquidation preferences.</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make it more difficult for a third party to acquire, or could adversely affect the rights of our common stockholders by restricting dividends on the common stock, diluting the voting power of the common stock, impairing the liquidation rights of the common stock or delaying or preventing a change in control without further action by the stockholders. As a result of these or other factors, the issuance of preferred stock could have an adverse impact on the market price of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Anti-Takeover Effects of Certain Provisions of Delaware Law, the Certificate of Incorporation and the Bylaws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Set forth below is a summary of the relevant provisions of our Certificate of Incorporation and Bylaws and certain applicable sections of the DGCL. For additional information, please refer to the provisions of the Company’s Certificate of Incorporation, our Bylaws and such sections of the DGCL.</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Certificate of Incorporation and Bylaws contain provisions that are intended to enhance the likelihood of continuity and stability in the composition of our board of directors and that could make it more difficult to acquire control of the Company by means of a tender offer, open market purchases, a proxy contest or otherwise.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acquisitions that some stockholders may favor. A description of these provisions is set forth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Special Meetings of Stockholders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Bylaws provide that special meetings of our stockholders may be called only by the Chairman of the board of directors, the Chief Executive Officer, or the board of directors pursuant to a resolution adopted by a majority of the total number of authorized directors (whether or not there exist any vacancies in previously authorized directorships at the time any such resolution is presented to the board of directors for adoption). Stockholders are not permitted to call a special meeting or require our board of directors to call a special meeting.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Supermajority Vote to Amend Certificate of Incorporation and Bylaws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Our Certificate of Incorporation provides that the approval of at least seventy-five percent of the outstanding shares of our common stock is required to amend certain provisions of its Certificate of Incorporation. Our Bylaws provide that they may only be amended in accordance with our Certificate of Incorporation, which provides that the approval of a majority of our board of directors or of the holders of at least seventy-five percent of the outstanding shares of our common stock is required to amend our Bylaws.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 Cumulative Voting</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Under Delaware law, the right to vote cumulatively does not exist unless the Certificate of Incorporation specifically authorizes cumulative voting. Our Certificate of Incorporation does not grant stockholders the right to vote cumulatively. Therefore, stockholders holding a majority of the shares of common stock outstanding are able to elect all of our directors.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 Written Consent of Stockholders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 xml:space="preserve">Our Bylaws provide that all stockholder actions are required to be taken by a vote of the stockholders at an annual or special meeting, and that stockholders may not take any action by written consent in lieu of a meeting; provided that </w:t>
      </w:r>
      <w:r>
        <w:rPr>
          <w:rFonts w:ascii="Times New Roman;Times;serif" w:hAnsi="Times New Roman;Times;serif"/>
          <w:sz w:val="20"/>
          <w:shd w:fill="FFFFFF" w:val="clear"/>
        </w:rPr>
        <w:t>any action required or permitted to be taken by the holders of any series of preferred stock, voting separately as a series or separately as a class with one or more other such series, may be taken without a meeting</w:t>
      </w:r>
      <w:r>
        <w:rPr>
          <w:rFonts w:ascii="Times New Roman;Times;serif" w:hAnsi="Times New Roman;Times;serif"/>
          <w:sz w:val="20"/>
        </w:rPr>
        <w:t xml:space="preserve"> </w:t>
      </w:r>
      <w:r>
        <w:rPr>
          <w:rFonts w:ascii="Times New Roman;Times;serif" w:hAnsi="Times New Roman;Times;serif"/>
          <w:sz w:val="20"/>
          <w:shd w:fill="FFFFFF" w:val="clear"/>
        </w:rPr>
        <w:t>to the extent expressly so provided by the applicable certificate of designation relating to such series of preferred stock</w:t>
      </w:r>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Advance Notice Procedure</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Bylaws provide that our stockholders have no power to call a special meeting of the stockholders and that only such business brought before the meeting pursuant to the notice of meeting may be conducted at a special meeting of stockholders. Our Bylaws also limit the business that may be conducted at an annual meeting of stockholders to those matters properly brought before the meeting.</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Bylaws also establish an advance notice procedure for stockholders to make nominations of candidates for election as directors or bring other business before an annual or special meeting of the stockholders. This notice procedure provides that only persons who are nominated by, or at the direction of, our board of directors or any duly authorized committee of the board of directors, or by a stockholder who was a stockholder of record at the time of giving the stockholder’s notice and at the time of the meeting, who is entitled to vote at the meeting and who has given us timely written notice to the secretary of the Company prior to the meeting at which directors are to be elected, will be eligible for election as directors. The notice procedure also requires that proposals of other business to be considered by the stockholders at an annual or special meeting of stockholders may only be made by, or at the direction of, our board of directors or any duly authorized committee of the board of directors, or by a stockholder who was a stockholder of record at the time of giving the stockholder’s notice and at the time of the meeting, who is entitled to vote at the meeting and who has given timely written notice to the secretary of the Company prior to the meeting. Additionally, such notice must be updated and supplemented on a timely basis as set forth in the Bylaws. If the officer presiding at a meeting determines that a person was not nominated, or other business was not brought before the meeting, in accordance with the notice procedure, that person will not be eligible for election as a director, or that business will not be conducted at the meeting, as applicable. Our amended and restated bylaws also specify certain requirements regarding the form and content of a stockholder’s notice.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Blank Check Preferred Stock</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Company’s Certificate of Incorporation provides for 10,000,000 authorized shares of preferred stock. The existence of authorized but unissued shares of preferred stock may enable our board of directors to render more difficult or to discourage an attempt to obtain control of our Company by means of a merger, tender offer, proxy contest or otherwise. For example, if in the due exercise of its fiduciary obligations, our board of directors were to determine that a takeover proposal is not in the best interest of our Company and its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our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Authorized but Unissued Shares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Under Delaware law, our authorized but unissued shares of common stock are available for future issuance without stockholder approval. The Company may use these additional shares for a variety of corporate purposes, including future public offerings to raise additional capital, corporate acquisitions and employee benefit plans. The existence of authorized but unissued shares of common stock could render more difficult or discourage an attempt to obtain control of our Company by means of a proxy contest, tender offer, merger or otherwise.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Section 203 of the DGCL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Certificate of Incorporation does not opt out of Section 203 of the DGCL. Subject to certain exceptions, Section 203 prohibits a publicly-held Delaware corporation from engaging in a “business combination” with an “interested stockholder” for a three-year period following the time that such stockholder became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voting stock. Under Section 203, such a business combination between a corporation and an interested stockholder is prohibited unless it satisfies one of the following three conditions: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interested, the board of directors approved either the business combination or the transaction that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tc>
      </w:tr>
    </w:tbl>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overall effect of the foregoing provisions may be to deter a future tender offer and, as a consequence, they may also inhibit temporary fluctuations in the market price of our common stock that often result from actual or rumored tender offers. Stockholders might view such an offer to be in their best interest should the offer include a substantial premium over the market price of our common stock at that time. In addition, these provisions may have the effect of assisting our management to retain its position and place it in a better position to resist changes that the stockholders may want to make if dissatisfied with the conduct of our business.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Choice of Forum</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Certificate of Incorporation provides that, unless we consent in writing to the selection of an alternative forum, the Court of Chancery of the State of Delaware will be, to the fullest extent permitted by law, the exclusive forum for (a) any derivative action or proceeding brought on our behalf, (b) any action asserting a breach of fiduciary duty owed by any of our directors, officers or employees to us or our stockholders, (c) any action asserting a claim against us or any of our directors, officers or employees arising pursuant to the DGCL, the Certificate of Incorporation or the Bylaws, (d) any action seeking to interpret, apply, enforce or determine the validity of the Certificate of Incorporation or Bylaws, (e) any action as to which the DGCL confers jurisdiction on the Court of Chancery of the State of Delaware, or (f) or any action asserting a claim against us that is governed by the internal affairs doctrine. This exclusive forum provision is intended to apply to claims arising under Delaware state law and would not apply to claims brought pursuant to the Securities Act or any other claim for which the federal courts have exclusive jurisdiction.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Bylaws provide that, unless we consent in writing to the selection of an alternative forum, to the fullest extent permitted by applicable law, the federal district courts of the United States of America will be the exclusive forum for the resolution of any complaint asserting a cause of action arising under the Securities Act. </w:t>
      </w:r>
    </w:p>
    <w:p>
      <w:pPr>
        <w:pStyle w:val="TextBody"/>
        <w:bidi w:val="0"/>
        <w:spacing w:before="0" w:after="0"/>
        <w:ind w:left="0" w:right="0" w:firstLine="36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These exclusive forum provisions may limit a stockholder’s ability to bring a claim in a judicial forum that it finds favorable for disputes with us or our directors, officers or other employees and agents, which may discourage such lawsuits against us and our directors, officers, employees and agents.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 on Liability of Directors and Officers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Certificate of Incorporation and Bylaws limit the liability of directors to the fullest extent permitted by Delaware law. The effect of these provisions is to eliminate our rights and the rights of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pStyle w:val="HorizontalLine"/>
        <w:pBdr>
          <w:bottom w:val="double" w:sz="2" w:space="0" w:color="808080"/>
        </w:pBdr>
        <w:bidi w:val="0"/>
        <w:spacing w:before="0" w:after="283"/>
        <w:jc w:val="left"/>
        <w:rPr/>
      </w:pPr>
      <w:r>
        <w:rPr/>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 addition, our Certificate of Incorporation allows and our Bylaws require that we indemnify our directors and officers to the fullest extent permitted by Delaware law. We also expect to continue to maintain directors’ and officers’ liability insurance. We believe that these indemnification provisions and insurance are useful to attract and retain qualified directors and officers.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In addition to the indemnification in our Certificate of Incorporation and Bylaws, we have entered into indemnification agreements with each of our current directors and officers. These agreements provide for the indemnification of our directors and officers for all reasonable expenses and liabilities incurred in connection with any action or proceeding brought against them by reason of the fact that they are or were our agents. We believe that these Bylaw provisions and indemnification agreements, as well as our maintaining directors’ and officers’ liability insurance, help to attract and retain qualified persons as directors and officers.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Transfer Agent and Registrar</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The transfer agent and registrar for our common stock is Computershare Trust Company, N.A.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Exchange Listing</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sz w:val="20"/>
        </w:rPr>
        <w:t>Our common stock is listed on Nasdaq under the symbol “WLDN.”</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989" w:name="wldn-20260102xex21d1.htm"/>
      <w:bookmarkStart w:id="1990" w:name="kswldn20260102xex21d1"/>
      <w:bookmarkEnd w:id="1989"/>
      <w:bookmarkEnd w:id="1990"/>
      <w:r>
        <w:rPr>
          <w:rFonts w:ascii="Times New Roman;Times;serif" w:hAnsi="Times New Roman;Times;serif"/>
          <w:b/>
          <w:sz w:val="20"/>
        </w:rPr>
        <w:t>Exhibit 21.1</w:t>
      </w:r>
      <w:r>
        <w:br w:type="page"/>
      </w:r>
    </w:p>
    <w:p>
      <w:pPr>
        <w:pStyle w:val="TextBody"/>
        <w:bidi w:val="0"/>
        <w:spacing w:lineRule="auto" w:line="285" w:before="0" w:after="0"/>
        <w:ind w:left="0" w:right="0" w:hanging="0"/>
        <w:jc w:val="center"/>
        <w:rPr>
          <w:rFonts w:ascii="Times New Roman;Times;serif" w:hAnsi="Times New Roman;Times;serif"/>
          <w:b/>
          <w:sz w:val="20"/>
        </w:rPr>
      </w:pPr>
      <w:bookmarkStart w:id="1991" w:name="_Hlk190781673"/>
      <w:bookmarkEnd w:id="1991"/>
      <w:r>
        <w:rPr>
          <w:rFonts w:ascii="Times New Roman;Times;serif" w:hAnsi="Times New Roman;Times;serif"/>
          <w:b/>
          <w:sz w:val="20"/>
        </w:rPr>
        <w:t>WILLDAN GROUP,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OF JANUARY 2, 2026</w:t>
      </w:r>
    </w:p>
    <w:tbl>
      <w:tblPr>
        <w:tblW w:w="5430" w:type="dxa"/>
        <w:jc w:val="center"/>
        <w:tblInd w:w="0" w:type="dxa"/>
        <w:tblLayout w:type="fixed"/>
        <w:tblCellMar>
          <w:top w:w="0" w:type="dxa"/>
          <w:left w:w="0" w:type="dxa"/>
          <w:bottom w:w="0" w:type="dxa"/>
          <w:right w:w="0" w:type="dxa"/>
        </w:tblCellMar>
      </w:tblPr>
      <w:tblGrid>
        <w:gridCol w:w="271"/>
        <w:gridCol w:w="109"/>
        <w:gridCol w:w="3631"/>
        <w:gridCol w:w="109"/>
        <w:gridCol w:w="1156"/>
        <w:gridCol w:w="154"/>
      </w:tblGrid>
      <w:tr>
        <w:trPr/>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72085" cy="591820"/>
                      <wp:effectExtent l="0" t="0" r="0" b="0"/>
                      <wp:wrapNone/>
                      <wp:docPr id="522" name="Frame521"/>
                      <a:graphic xmlns:a="http://schemas.openxmlformats.org/drawingml/2006/main">
                        <a:graphicData uri="http://schemas.microsoft.com/office/word/2010/wordprocessingShape">
                          <wps:wsp>
                            <wps:cNvSpPr txBox="1"/>
                            <wps:spPr>
                              <a:xfrm>
                                <a:off x="0" y="0"/>
                                <a:ext cx="172085" cy="591820"/>
                              </a:xfrm>
                              <a:prstGeom prst="rect"/>
                              <a:solidFill>
                                <a:srgbClr val="FFFFFF"/>
                              </a:solidFill>
                            </wps:spPr>
                            <wps:txb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305685" cy="175260"/>
                      <wp:effectExtent l="0" t="0" r="0" b="0"/>
                      <wp:wrapNone/>
                      <wp:docPr id="523" name="Frame522"/>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734060" cy="175260"/>
                      <wp:effectExtent l="0" t="0" r="0" b="0"/>
                      <wp:wrapNone/>
                      <wp:docPr id="524" name="Frame52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3631"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Name of Entity</w:t>
            </w:r>
          </w:p>
        </w:tc>
        <w:tc>
          <w:tcPr>
            <w:tcW w:w="109" w:type="dxa"/>
            <w:tcBorders/>
            <w:vAlign w:val="center"/>
          </w:tcPr>
          <w:p>
            <w:pPr>
              <w:pStyle w:val="TableContents"/>
              <w:bidi w:val="0"/>
              <w:spacing w:lineRule="auto" w:line="285"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Jurisdiction of</w:t>
              <w:br/>
              <w:t>Organization</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Electrical of NY,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New York</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Engineering</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Energy Solutions</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Financial Services</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Willdan Lighting &amp; Electric,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Public Agency Resources</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Integral Analytics,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Ohio</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Willdan Energy Co.</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lineRule="auto" w:line="285" w:before="0" w:after="0"/>
              <w:ind w:left="0" w:right="0" w:hanging="0"/>
              <w:jc w:val="left"/>
              <w:rPr/>
            </w:pPr>
            <w:r>
              <w:rPr/>
              <w:t>​</w:t>
            </w:r>
          </w:p>
        </w:tc>
        <w:tc>
          <w:tcPr>
            <w:tcW w:w="36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Energy and Environmental Economics, Inc.</w:t>
            </w:r>
          </w:p>
        </w:tc>
        <w:tc>
          <w:tcPr>
            <w:tcW w:w="109"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992" w:name="wldn-20260102xex23d1.htm"/>
      <w:bookmarkStart w:id="1993" w:name="kswldn20260102xex23d1"/>
      <w:bookmarkEnd w:id="1992"/>
      <w:bookmarkEnd w:id="1993"/>
      <w:r>
        <w:rPr>
          <w:rFonts w:ascii="Times New Roman;Times;serif" w:hAnsi="Times New Roman;Times;serif"/>
          <w:b/>
          <w:sz w:val="22"/>
        </w:rPr>
        <w:t>Exhibit 23.1</w:t>
      </w:r>
      <w:r>
        <w:br w:type="page"/>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The Board of Directors</w:t>
        <w:br/>
        <w:t>Willdan Group, Inc.:</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CONSENT OF INDEPENDENT REGISTERED PUBLIC ACCOUNTING FIRM</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We consent to the incorporation by reference in Registration Statement Nos. 333-288396, 333-280582, 333-273079, 333-265833, 333-232438, 333-219133, 333-219129, 333-212907, 333-184823, 333-168787, 333-152951 and 333-139127 on Form S-8 and No. 333-277798 on Form S-3 of Willdan Group, Inc. of our report dated</w:t>
      </w:r>
      <w:r>
        <w:rPr>
          <w:rFonts w:ascii="Times New Roman;Times;serif" w:hAnsi="Times New Roman;Times;serif"/>
          <w:color w:val="FF0000"/>
          <w:sz w:val="22"/>
        </w:rPr>
        <w:t xml:space="preserve"> </w:t>
      </w:r>
      <w:r>
        <w:rPr>
          <w:rFonts w:ascii="Times New Roman;Times;serif" w:hAnsi="Times New Roman;Times;serif"/>
          <w:sz w:val="22"/>
        </w:rPr>
        <w:t>February 26, 2026 relating to the consolidated financial statements, and the related notes thereto, and effectiveness of internal control over financial reporting, appearing in this Annual Report on Form 10-K.</w:t>
      </w:r>
    </w:p>
    <w:p>
      <w:pPr>
        <w:pStyle w:val="TextBody"/>
        <w:bidi w:val="0"/>
        <w:spacing w:before="0" w:after="240"/>
        <w:ind w:left="0" w:right="0" w:hanging="0"/>
        <w:jc w:val="both"/>
        <w:rPr/>
      </w:pPr>
      <w:r>
        <w:rPr/>
        <w:t>​</w:t>
      </w:r>
    </w:p>
    <w:p>
      <w:pPr>
        <w:pStyle w:val="TextBody"/>
        <w:bidi w:val="0"/>
        <w:spacing w:before="0" w:after="240"/>
        <w:ind w:left="0" w:right="0" w:firstLine="5130"/>
        <w:jc w:val="both"/>
        <w:rPr/>
      </w:pPr>
      <w:r>
        <w:rPr/>
        <w:t> </w:t>
      </w:r>
      <w:r>
        <w:rPr>
          <w:rFonts w:ascii="Times New Roman;Times;serif" w:hAnsi="Times New Roman;Times;serif"/>
          <w:sz w:val="22"/>
        </w:rPr>
        <w:t>/s/ Crowe LLP</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Los Angeles, California</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February 26, 2026</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994" w:name="wldn-20260102xex31d1.htm"/>
      <w:bookmarkStart w:id="1995" w:name="kswldn20260102xex31d1"/>
      <w:bookmarkEnd w:id="1994"/>
      <w:bookmarkEnd w:id="1995"/>
      <w:r>
        <w:rPr>
          <w:rFonts w:ascii="Times New Roman;Times;serif" w:hAnsi="Times New Roman;Times;serif"/>
          <w:b/>
          <w:sz w:val="20"/>
        </w:rPr>
        <w:t>Exhibit 31.1</w:t>
      </w:r>
      <w:r>
        <w:br w:type="page"/>
      </w:r>
    </w:p>
    <w:p>
      <w:pPr>
        <w:pStyle w:val="TextBody"/>
        <w:bidi w:val="0"/>
        <w:spacing w:lineRule="auto" w:line="285" w:before="0" w:after="22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EXECUTIVE OFFICER</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I, Michael A. Bieber, certify that: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1.            I have reviewed this annual report on Form 10-K of Willdan Group, Inc.;</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2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2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220"/>
        <w:ind w:left="0" w:right="0" w:hanging="0"/>
        <w:jc w:val="left"/>
        <w:rPr>
          <w:rFonts w:ascii="Times New Roman;Times;serif" w:hAnsi="Times New Roman;Times;serif"/>
          <w:sz w:val="20"/>
        </w:rPr>
      </w:pPr>
      <w:r>
        <w:rPr>
          <w:rFonts w:ascii="Times New Roman;Times;serif" w:hAnsi="Times New Roman;Times;serif"/>
          <w:sz w:val="20"/>
        </w:rPr>
        <w:t>Date: February 26, 2026</w:t>
      </w:r>
    </w:p>
    <w:tbl>
      <w:tblPr>
        <w:tblW w:w="4578" w:type="dxa"/>
        <w:jc w:val="center"/>
        <w:tblInd w:w="0" w:type="dxa"/>
        <w:tblLayout w:type="fixed"/>
        <w:tblCellMar>
          <w:top w:w="0" w:type="dxa"/>
          <w:left w:w="0" w:type="dxa"/>
          <w:bottom w:w="0" w:type="dxa"/>
          <w:right w:w="0" w:type="dxa"/>
        </w:tblCellMar>
      </w:tblPr>
      <w:tblGrid>
        <w:gridCol w:w="151"/>
        <w:gridCol w:w="406"/>
        <w:gridCol w:w="4021"/>
      </w:tblGrid>
      <w:tr>
        <w:trPr/>
        <w:tc>
          <w:tcPr>
            <w:tcW w:w="15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i/>
                <w:sz w:val="2"/>
              </w:rPr>
            </w:pPr>
            <w:r>
              <w:rPr>
                <w:rFonts w:ascii="Times New Roman;Times;serif" w:hAnsi="Times New Roman;Times;serif"/>
                <w:i/>
                <w:sz w:val="2"/>
              </w:rPr>
              <w:t>(Prin</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553970" cy="29210"/>
                      <wp:effectExtent l="0" t="0" r="0" b="0"/>
                      <wp:wrapNone/>
                      <wp:docPr id="525" name="Frame524"/>
                      <a:graphic xmlns:a="http://schemas.openxmlformats.org/drawingml/2006/main">
                        <a:graphicData uri="http://schemas.microsoft.com/office/word/2010/wordprocessingShape">
                          <wps:wsp>
                            <wps:cNvSpPr txBox="1"/>
                            <wps:spPr>
                              <a:xfrm>
                                <a:off x="0" y="0"/>
                                <a:ext cx="25539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02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02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51"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02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996" w:name="wldn-20260102xex31d2.htm"/>
      <w:bookmarkStart w:id="1997" w:name="kswldn20260102xex31d2"/>
      <w:bookmarkEnd w:id="1996"/>
      <w:bookmarkEnd w:id="1997"/>
      <w:r>
        <w:rPr>
          <w:rFonts w:ascii="Times New Roman;Times;serif" w:hAnsi="Times New Roman;Times;serif"/>
          <w:b/>
          <w:sz w:val="20"/>
        </w:rPr>
        <w:t>Exhibit 31.2</w:t>
      </w:r>
      <w:r>
        <w:br w:type="page"/>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SECTION 302 CERTIFICATION OF CHIEF FINANCIAL OFFICER</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Creighton K. Early, certify that:</w:t>
      </w:r>
    </w:p>
    <w:tbl>
      <w:tblPr>
        <w:tblW w:w="6025" w:type="dxa"/>
        <w:jc w:val="left"/>
        <w:tblInd w:w="0" w:type="dxa"/>
        <w:tblLayout w:type="fixed"/>
        <w:tblCellMar>
          <w:top w:w="0" w:type="dxa"/>
          <w:left w:w="0" w:type="dxa"/>
          <w:bottom w:w="0" w:type="dxa"/>
          <w:right w:w="0" w:type="dxa"/>
        </w:tblCellMar>
      </w:tblPr>
      <w:tblGrid>
        <w:gridCol w:w="170"/>
        <w:gridCol w:w="5855"/>
      </w:tblGrid>
      <w:tr>
        <w:trPr/>
        <w:tc>
          <w:tcPr>
            <w:tcW w:w="170"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1.</w:t>
            </w:r>
          </w:p>
        </w:tc>
        <w:tc>
          <w:tcPr>
            <w:tcW w:w="585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I have reviewed this annual report on Form 10-K of Willdan Group,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20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Date: February 26, 2026</w:t>
      </w:r>
    </w:p>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b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998" w:name="wldn-20260102xex32d1.htm"/>
      <w:bookmarkStart w:id="1999" w:name="kswldn20260102xex32d1"/>
      <w:bookmarkEnd w:id="1998"/>
      <w:bookmarkEnd w:id="1999"/>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1350,</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on Form 10-K of Willdan Group, Inc. (the “Company”) for the fiscal year ended January 2, 2026, as filed with the Securities and Exchange Commission on the date hereof (the “Report”), Michael A. Bieber, as President and Chief Executive Officer of the Company, and Creighton K. Early, as Chief Financial Officer and Executive Vice President of the Company, each hereby certifies, pursuant to 18 U.S.C. § 1350, as adopted pursuant to § 906 of the Sarbanes-Oxley Act of 2002, that, to the best of his or her knowledge:</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5031" w:type="dxa"/>
        <w:jc w:val="center"/>
        <w:tblInd w:w="0" w:type="dxa"/>
        <w:tblLayout w:type="fixed"/>
        <w:tblCellMar>
          <w:top w:w="0" w:type="dxa"/>
          <w:left w:w="0" w:type="dxa"/>
          <w:bottom w:w="0" w:type="dxa"/>
          <w:right w:w="0" w:type="dxa"/>
        </w:tblCellMar>
      </w:tblPr>
      <w:tblGrid>
        <w:gridCol w:w="124"/>
        <w:gridCol w:w="406"/>
        <w:gridCol w:w="4501"/>
      </w:tblGrid>
      <w:tr>
        <w:trPr/>
        <w:tc>
          <w:tcPr>
            <w:tcW w:w="124"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50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Michael A. Bieber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 xml:space="preserve">President and Chief Executive Officer </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February 26, 2026</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/s/ 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Chief Financial Officer and Executive Vice President</w:t>
            </w:r>
          </w:p>
          <w:p>
            <w:pPr>
              <w:pStyle w:val="TableContents"/>
              <w:bidi w:val="0"/>
              <w:spacing w:lineRule="auto" w:line="304" w:before="0" w:after="2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r>
        <w:trPr/>
        <w:tc>
          <w:tcPr>
            <w:tcW w:w="124" w:type="dxa"/>
            <w:tcBorders/>
            <w:vAlign w:val="center"/>
          </w:tcPr>
          <w:p>
            <w:pPr>
              <w:pStyle w:val="TableContents"/>
              <w:pBdr/>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304" w:before="0" w:after="20"/>
              <w:ind w:left="0" w:right="0" w:hanging="0"/>
              <w:jc w:val="left"/>
              <w:rPr>
                <w:rFonts w:ascii="Times New Roman;Times;serif" w:hAnsi="Times New Roman;Times;serif"/>
                <w:sz w:val="20"/>
              </w:rPr>
            </w:pPr>
            <w:r>
              <w:rPr>
                <w:rFonts w:ascii="Times New Roman;Times;serif" w:hAnsi="Times New Roman;Times;serif"/>
                <w:sz w:val="20"/>
              </w:rPr>
              <w:t>February 26, 2026</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 A signed original of this written statement required by §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0450/000155837025007025/wldn-20250404xex2d1.htm" TargetMode="External"/><Relationship Id="rId4" Type="http://schemas.openxmlformats.org/officeDocument/2006/relationships/hyperlink" Target="http://www.sec.gov/Archives/edgar/data/1370450/000104746906010648/a2172308zex-3_1.htm" TargetMode="External"/><Relationship Id="rId5" Type="http://schemas.openxmlformats.org/officeDocument/2006/relationships/hyperlink" Target="https://www.sec.gov/Archives/edgar/data/1370450/000155837023011834/wldn-20230707xex3d1.htm" TargetMode="External"/><Relationship Id="rId6" Type="http://schemas.openxmlformats.org/officeDocument/2006/relationships/hyperlink" Target="http://www.sec.gov/Archives/edgar/data/1370450/000104746906011904/a2173104zex-4_1.htm" TargetMode="External"/><Relationship Id="rId7" Type="http://schemas.openxmlformats.org/officeDocument/2006/relationships/hyperlink" Target="https://www.sec.gov/Archives/edgar/data/1370450/000155837025007025/wldn-20250404xex10d1.htm" TargetMode="External"/><Relationship Id="rId8" Type="http://schemas.openxmlformats.org/officeDocument/2006/relationships/hyperlink" Target="https://www.sec.gov/Archives/edgar/data/1370450/000155837023016247/wldn-20230929xex10d2.htm" TargetMode="External"/><Relationship Id="rId9" Type="http://schemas.openxmlformats.org/officeDocument/2006/relationships/hyperlink" Target="https://www.sec.gov/Archives/edgar/data/1370450/000155837023003367/wldn-20221230xex10d15.htm" TargetMode="External"/><Relationship Id="rId10" Type="http://schemas.openxmlformats.org/officeDocument/2006/relationships/hyperlink" Target="https://www.sec.gov/Archives/edgar/data/1370450/000155837023003367/wldn-20221230xex10d16.htm" TargetMode="External"/><Relationship Id="rId11" Type="http://schemas.openxmlformats.org/officeDocument/2006/relationships/hyperlink" Target="https://www.sec.gov/Archives/edgar/data/1370450/000155837024002758/wldn-20231229xex10d18.htm" TargetMode="External"/><Relationship Id="rId12" Type="http://schemas.openxmlformats.org/officeDocument/2006/relationships/hyperlink" Target="https://www.sec.gov/Archives/edgar/data/1370450/000155837024002758/wldn-20231229xex10d19.htm" TargetMode="External"/><Relationship Id="rId13" Type="http://schemas.openxmlformats.org/officeDocument/2006/relationships/hyperlink" Target="https://www.sec.gov/Archives/edgar/data/1370450/000155837025008623/wldn-20250612xex10d1.htm" TargetMode="External"/><Relationship Id="rId14" Type="http://schemas.openxmlformats.org/officeDocument/2006/relationships/hyperlink" Target="https://www.sec.gov/Archives/edgar/data/1370450/000155837025008623/wldn-20250612xex10d1.htm" TargetMode="External"/><Relationship Id="rId15" Type="http://schemas.openxmlformats.org/officeDocument/2006/relationships/hyperlink" Target="http://www.sec.gov/Archives/edgar/data/1370450/000155837017004740/ex-10d2.htm" TargetMode="External"/><Relationship Id="rId16" Type="http://schemas.openxmlformats.org/officeDocument/2006/relationships/hyperlink" Target="http://www.sec.gov/Archives/edgar/data/1370450/000155837016006383/wldn-20160609ex101ca32fd.htm" TargetMode="External"/><Relationship Id="rId17" Type="http://schemas.openxmlformats.org/officeDocument/2006/relationships/hyperlink" Target="https://www.sec.gov/Archives/edgar/data/1370450/000155837024002215/wldn-20240228xex10d1.htm" TargetMode="External"/><Relationship Id="rId18" Type="http://schemas.openxmlformats.org/officeDocument/2006/relationships/hyperlink" Target="https://www.sec.gov/Archives/edgar/data/1370450/000155837024015826/wldn-20241113xex10d1.htm" TargetMode="External"/><Relationship Id="rId19" Type="http://schemas.openxmlformats.org/officeDocument/2006/relationships/hyperlink" Target="https://www.sec.gov/Archives/edgar/data/1370450/000155837024015826/wldn-20241113xex10d2.htm" TargetMode="External"/><Relationship Id="rId20" Type="http://schemas.openxmlformats.org/officeDocument/2006/relationships/hyperlink" Target="https://www.sec.gov/Archives/edgar/data/1370450/000155837024015826/wldn-20241113xex10d3.htm" TargetMode="External"/><Relationship Id="rId21" Type="http://schemas.openxmlformats.org/officeDocument/2006/relationships/hyperlink" Target="https://www.sec.gov/Archives/edgar/data/1370450/000155837025002429/wldn-20241227xex19d1.htm" TargetMode="External"/><Relationship Id="rId22" Type="http://schemas.openxmlformats.org/officeDocument/2006/relationships/hyperlink" Target="https://www.sec.gov/Archives/edgar/data/1370450/000155837024002758/wldn-20231229xex97.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61740</Words>
  <Characters>349716</Characters>
  <CharactersWithSpaces>413982</CharactersWithSpaces>
  <Paragraphs>10340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