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WILLDAN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96924N100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340" w:hanging="4"/>
        <w:spacing w:after="0" w:line="287"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5"/>
          <w:szCs w:val="15"/>
          <w:color w:val="auto"/>
        </w:rPr>
        <w:t>Rule 13d-1(c)</w:t>
      </w:r>
      <w:r>
        <w:rPr>
          <w:rFonts w:ascii="Arial" w:cs="Arial" w:eastAsia="Arial" w:hAnsi="Arial"/>
          <w:sz w:val="19"/>
          <w:szCs w:val="19"/>
          <w:color w:val="auto"/>
        </w:rPr>
        <w:t xml:space="preserve"> o </w:t>
      </w:r>
      <w:r>
        <w:rPr>
          <w:rFonts w:ascii="Arial" w:cs="Arial" w:eastAsia="Arial" w:hAnsi="Arial"/>
          <w:sz w:val="15"/>
          <w:szCs w:val="15"/>
          <w:color w:val="auto"/>
        </w:rPr>
        <w:t>Rule 13d-1(d)</w:t>
      </w:r>
    </w:p>
    <w:p>
      <w:pPr>
        <w:spacing w:after="0" w:line="39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363855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96924N100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6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Rice Hall James &amp; Associates,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416,606</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543,980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543,980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4.25%</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96924N100</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3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WILLDAN GROUP, INC.</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2401 East Katella Avenue, Suite 300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Anaheim, CA 92806</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b, c) Names of Person Filing, Address of Principal Business Office, Citizenship: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7"/>
          <w:szCs w:val="17"/>
          <w:u w:val="single" w:color="auto"/>
          <w:color w:val="auto"/>
        </w:rPr>
        <w:t>Rice Hall James &amp; Associates, LLC</w:t>
      </w:r>
      <w:r>
        <w:rPr>
          <w:rFonts w:ascii="Arial" w:cs="Arial" w:eastAsia="Arial" w:hAnsi="Arial"/>
          <w:sz w:val="17"/>
          <w:szCs w:val="17"/>
          <w:color w:val="auto"/>
        </w:rPr>
        <w:t>, located at 600 W. Broadway, Ste 1000, San Diego, CA 92101, is a Delaware limited liability company.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par value $0.01 per share (the “Common Stock”)</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96924N100</w:t>
      </w:r>
    </w:p>
    <w:p>
      <w:pPr>
        <w:spacing w:after="0" w:line="33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96924N100</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4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8" w:lineRule="exact"/>
        <w:rPr>
          <w:sz w:val="20"/>
          <w:szCs w:val="20"/>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x   </w:t>
      </w:r>
      <w:r>
        <w:rPr>
          <w:rFonts w:ascii="Arial" w:cs="Arial" w:eastAsia="Arial" w:hAnsi="Arial"/>
          <w:sz w:val="17"/>
          <w:szCs w:val="17"/>
          <w:color w:val="auto"/>
        </w:rPr>
        <w:t>An investment adviser in accordance with §240.13d-1(b)(1)(ii)(E);</w:t>
      </w:r>
    </w:p>
    <w:p>
      <w:pPr>
        <w:spacing w:after="0" w:line="103"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20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46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96924N100</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Information with respect to the Reporting Person’s ownership of the Common Stock as of December 31, 2021, is incorporated by reference to items (5) - (9) and (11) of the cover page for the Reporting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ind w:left="400" w:firstLine="396"/>
        <w:spacing w:after="0" w:line="260"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ind w:left="1300" w:hanging="1295"/>
        <w:spacing w:after="0" w:line="261"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663" w:right="3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jc w:val="both"/>
        <w:ind w:left="80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96924N100</w:t>
            </w:r>
          </w:p>
        </w:tc>
        <w:tc>
          <w:tcPr>
            <w:tcW w:w="4520" w:type="dxa"/>
            <w:vAlign w:val="bottom"/>
            <w:tcBorders>
              <w:right w:val="single" w:sz="8" w:color="auto"/>
            </w:tcBorders>
          </w:tcPr>
          <w:p>
            <w:pPr>
              <w:ind w:left="152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6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Rice Hall James &amp; Associates, LLC</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Janine Marquez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Janine Marquez, Chief Compliance Officer</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2022-02-14T14:51:52Z</dcterms:created>
  <dcterms:modified xsi:type="dcterms:W3CDTF">2022-02-14T14:51:52Z</dcterms:modified>
</cp:coreProperties>
</file>