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pPr>
      <w:hyperlink w:anchor="TOC">
        <w:bookmarkStart w:id="0" w:name="wldn-20261002x10q.htm"/>
        <w:bookmarkStart w:id="1" w:name="kswldn20261002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pBdr>
          <w:top w:val="single" w:sz="8" w:space="1" w:color="000000"/>
        </w:pBdr>
        <w:bidi w:val="0"/>
        <w:spacing w:before="0" w:after="0"/>
        <w:ind w:left="0" w:right="0" w:hanging="0"/>
        <w:jc w:val="left"/>
        <w:rPr>
          <w:bdr w:val="single" w:sz="24" w:space="1" w:color="000000"/>
        </w:rPr>
      </w:pPr>
      <w:bookmarkStart w:id="2" w:name="_34036291_8baf_4984_ab15_1c38a5720c9b"/>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 w:name="Tc_bzvwcOn0C0qibQK3OcA8Kw_1_1"/>
      <w:bookmarkStart w:id="4" w:name="_6ef743ce_2563_44ad_80c9_ea34ed34adb8"/>
      <w:bookmarkStart w:id="5" w:name="Tc_bzvwcOn0C0qibQK3OcA8Kw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c>
          <w:tcPr>
            <w:tcW w:w="331" w:type="dxa"/>
            <w:tcBorders/>
            <w:vAlign w:val="center"/>
          </w:tcPr>
          <w:p>
            <w:pPr>
              <w:pStyle w:val="TableContents"/>
              <w:bidi w:val="0"/>
              <w:spacing w:before="0" w:after="0"/>
              <w:ind w:left="0" w:right="0" w:hanging="0"/>
              <w:jc w:val="left"/>
            </w:pPr>
            <w:r>
              <w:t>​</w:t>
            </w:r>
          </w:p>
        </w:tc>
        <w:tc>
          <w:tcPr>
            <w:tcW w:w="9874" w:type="dxa"/>
            <w:tcBorders/>
            <w:vAlign w:val="center"/>
          </w:tcPr>
          <w:p>
            <w:pPr>
              <w:pStyle w:val="TableContents"/>
              <w:bidi w:val="0"/>
              <w:spacing w:before="0" w:after="0"/>
              <w:ind w:left="0" w:right="0" w:hanging="0"/>
              <w:jc w:val="left"/>
            </w:pPr>
            <w:r>
              <w:t>​</w:t>
            </w:r>
          </w:p>
        </w:tc>
      </w:tr>
      <w:tr>
        <w:tc>
          <w:tcPr>
            <w:tcW w:w="331" w:type="dxa"/>
            <w:tcBorders/>
            <w:vAlign w:val="center"/>
          </w:tcPr>
          <w:p>
            <w:pPr>
              <w:pStyle w:val="TableContents"/>
              <w:bidi w:val="0"/>
              <w:spacing w:before="0" w:after="0"/>
              <w:ind w:left="0" w:right="0" w:hanging="0"/>
              <w:jc w:val="center"/>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October 2, 2026</w:t>
      </w:r>
      <w:r>
        <w:rPr>
          <w:rFonts w:ascii="Times New Roman;Times;serif" w:hAnsi="Times New Roman;Times;serif"/>
          <w:sz w:val="20"/>
        </w:rPr>
        <w:t xml:space="preserve"> </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7" w:name="Tc_u6Uz5yfqi0OLy6REGw5RJw_1_1"/>
      <w:bookmarkStart w:id="8" w:name="_43518137_0c98_49ef_a8fd_1cbf36c0488f"/>
      <w:bookmarkStart w:id="9" w:name="Tc_u6Uz5yfqi0OLy6REGw5RJw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c>
          <w:tcPr>
            <w:tcW w:w="331" w:type="dxa"/>
            <w:tcBorders/>
            <w:vAlign w:val="center"/>
          </w:tcPr>
          <w:p>
            <w:pPr>
              <w:pStyle w:val="TableContents"/>
              <w:bidi w:val="0"/>
              <w:spacing w:before="0" w:after="0"/>
              <w:ind w:left="0" w:right="0" w:hanging="0"/>
              <w:jc w:val="center"/>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11" w:name="Tc_GFOkSBet3UG9eWoM7Tkq2A_5_2"/>
      <w:bookmarkStart w:id="12" w:name="Tc_gAYxJykqPEe7oMLZnL9pXA_5_0"/>
      <w:bookmarkStart w:id="13" w:name="Tc_5Zx-nqlxkUevSbHroqXxsg_4_0"/>
      <w:bookmarkStart w:id="14" w:name="Tc_RNhgBUGPN0KGsQGMJimzDw_2_2"/>
      <w:bookmarkStart w:id="15" w:name="Tc_IfHmLSTbkkqNDC4iHBbApA_2_0"/>
      <w:bookmarkStart w:id="16" w:name="_b700fcd9_ad39_4b3b_8b08_4b18e973638e"/>
      <w:bookmarkStart w:id="17" w:name="Tc_GFOkSBet3UG9eWoM7Tkq2A_5_2"/>
      <w:bookmarkStart w:id="18" w:name="Tc_gAYxJykqPEe7oMLZnL9pXA_5_0"/>
      <w:bookmarkStart w:id="19" w:name="Tc_5Zx-nqlxkUevSbHroqXxsg_4_0"/>
      <w:bookmarkStart w:id="20" w:name="Tc_RNhgBUGPN0KGsQGMJimzDw_2_2"/>
      <w:bookmarkStart w:id="21" w:name="Tc_IfHmLSTbkkqNDC4iHBbApA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pPr>
            <w: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pPr>
            <w: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c>
          <w:tcPr>
            <w:tcW w:w="336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896" w:type="dxa"/>
            <w:tcBorders/>
            <w:vAlign w:val="center"/>
          </w:tcPr>
          <w:p>
            <w:pPr>
              <w:pStyle w:val="TableContents"/>
              <w:bidi w:val="0"/>
              <w:spacing w:before="0" w:after="0"/>
              <w:ind w:left="0" w:right="0" w:hanging="0"/>
              <w:jc w:val="center"/>
            </w:pPr>
            <w:r>
              <w:t>​</w:t>
            </w:r>
          </w:p>
        </w:tc>
      </w:tr>
      <w:t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pPr>
            <w: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pPr>
            <w: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pPr>
      <w: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23" w:name="Tc_BVP2wJ9Kx0WyZhcV9zsgpg_2_2"/>
      <w:bookmarkStart w:id="24" w:name="Tc_QbTEzICLtEyoWpiLPVIz_w_1_2"/>
      <w:bookmarkStart w:id="25" w:name="Tc__UMX9O9u-EiFTRN_zG_Fpg_1_1"/>
      <w:bookmarkStart w:id="26" w:name="Tc_4Snaeg65UUKf-mg5nsFe_g_1_0"/>
      <w:bookmarkStart w:id="27" w:name="_c3674b7e_6568_4ca3_ab4b_78a52dcc636c"/>
      <w:bookmarkStart w:id="28" w:name="Tc_BVP2wJ9Kx0WyZhcV9zsgpg_2_2"/>
      <w:bookmarkStart w:id="29" w:name="Tc_QbTEzICLtEyoWpiLPVIz_w_1_2"/>
      <w:bookmarkStart w:id="30" w:name="Tc__UMX9O9u-EiFTRN_zG_Fpg_1_1"/>
      <w:bookmarkStart w:id="31" w:name="Tc_4Snaeg65UUKf-mg5nsFe_g_1_0"/>
      <w:bookmarkStart w:id="32" w:name="_c3674b7e_6568_4ca3_ab4b_78a52dcc636c"/>
      <w:bookmarkEnd w:id="28"/>
      <w:bookmarkEnd w:id="29"/>
      <w:bookmarkEnd w:id="30"/>
      <w:bookmarkEnd w:id="31"/>
      <w:bookmarkEnd w:id="32"/>
    </w:p>
    <w:tbl>
      <w:tblPr>
        <w:tblW w:w="9018" w:type="dxa"/>
        <w:jc w:val="left"/>
        <w:tblInd w:w="0" w:type="dxa"/>
        <w:tblLayout w:type="fixed"/>
        <w:tblCellMar>
          <w:top w:w="0" w:type="dxa"/>
          <w:left w:w="0" w:type="dxa"/>
          <w:bottom w:w="0" w:type="dxa"/>
          <w:right w:w="0" w:type="dxa"/>
        </w:tblCellMar>
      </w:tblPr>
      <w:tblGrid>
        <w:gridCol w:w="3496"/>
        <w:gridCol w:w="1696"/>
        <w:gridCol w:w="3826"/>
      </w:tblGrid>
      <w:t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center"/>
      </w:pPr>
      <w:r>
        <w:t>​</w:t>
      </w:r>
    </w:p>
    <w:tbl>
      <w:tblPr>
        <w:tblW w:w="4791" w:type="dxa"/>
        <w:jc w:val="left"/>
        <w:tblInd w:w="0" w:type="dxa"/>
        <w:tblLayout w:type="fixed"/>
        <w:tblCellMar>
          <w:top w:w="0" w:type="dxa"/>
          <w:left w:w="0" w:type="dxa"/>
          <w:bottom w:w="0" w:type="dxa"/>
          <w:right w:w="0" w:type="dxa"/>
        </w:tblCellMar>
      </w:tblPr>
      <w:tblGrid>
        <w:gridCol w:w="2101"/>
        <w:gridCol w:w="109"/>
        <w:gridCol w:w="2581"/>
      </w:tblGrid>
      <w:t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c>
          <w:tcPr>
            <w:tcW w:w="210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pPr>
            <w:r>
              <w:t>​</w:t>
            </w:r>
          </w:p>
        </w:tc>
      </w:tr>
      <w:t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c>
          <w:tcPr>
            <w:tcW w:w="210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c>
          <w:tcPr>
            <w:tcW w:w="210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pPr>
            <w:r>
              <w:t>​</w:t>
            </w:r>
          </w:p>
        </w:tc>
      </w:tr>
      <w:tr>
        <w:tc>
          <w:tcPr>
            <w:tcW w:w="210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581" w:type="dxa"/>
            <w:tcBorders/>
            <w:vAlign w:val="center"/>
          </w:tcPr>
          <w:p>
            <w:pPr>
              <w:pStyle w:val="TableContents"/>
              <w:bidi w:val="0"/>
              <w:spacing w:before="0" w:after="0"/>
              <w:ind w:left="0" w:right="0" w:hanging="0"/>
              <w:jc w:val="center"/>
            </w:pPr>
            <w:r>
              <w:t>​</w:t>
            </w:r>
          </w:p>
        </w:tc>
      </w:tr>
    </w:tbl>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pPr>
      <w: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November 5, 2026, there were 15,326,126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pPr>
      <w:r>
        <w:t>​</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_6e1f9324_1a27_4b0a_b978_3cf6d71f34eb"/>
      <w:bookmarkEnd w:id="33"/>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bookmarkStart w:id="34" w:name="TOC"/>
      <w:bookmarkEnd w:id="34"/>
      <w:r>
        <w:rPr>
          <w:rFonts w:ascii="Times New Roman;Times;serif" w:hAnsi="Times New Roman;Times;serif"/>
          <w:b/>
          <w:sz w:val="20"/>
        </w:rPr>
        <w:t>TABLE OF CONTENTS</w:t>
      </w:r>
    </w:p>
    <w:p>
      <w:pPr>
        <w:pStyle w:val="TextBody"/>
        <w:bidi w:val="0"/>
        <w:spacing w:before="0" w:after="0"/>
        <w:ind w:left="0" w:right="0" w:hanging="0"/>
        <w:jc w:val="center"/>
      </w:pPr>
      <w: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c>
          <w:tcPr>
            <w:tcW w:w="7981" w:type="dxa"/>
            <w:tcBorders/>
            <w:vAlign w:val="center"/>
          </w:tcPr>
          <w:p>
            <w:pPr>
              <w:pStyle w:val="TableContents"/>
              <w:bidi w:val="0"/>
              <w:spacing w:lineRule="atLeast" w:line="180" w:before="0" w:after="0"/>
              <w:ind w:left="0" w:right="0" w:hanging="0"/>
              <w:jc w:val="left"/>
            </w:pPr>
            <w:r>
              <w:t>​</w:t>
            </w:r>
          </w:p>
        </w:tc>
        <w:tc>
          <w:tcPr>
            <w:tcW w:w="109" w:type="dxa"/>
            <w:tcBorders/>
            <w:vAlign w:val="center"/>
          </w:tcPr>
          <w:p>
            <w:pPr>
              <w:pStyle w:val="TableContents"/>
              <w:bidi w:val="0"/>
              <w:spacing w:lineRule="atLeast" w:line="180"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center"/>
            </w:pPr>
            <w:r>
              <w:t>​</w:t>
            </w:r>
          </w:p>
        </w:tc>
      </w:tr>
      <w:tr>
        <w:tc>
          <w:tcPr>
            <w:tcW w:w="7981" w:type="dxa"/>
            <w:tcBorders/>
            <w:vAlign w:val="center"/>
          </w:tcPr>
          <w:p>
            <w:pPr>
              <w:pStyle w:val="TableContents"/>
              <w:bidi w:val="0"/>
              <w:spacing w:before="0" w:after="0"/>
              <w:ind w:left="0" w:right="0" w:hanging="0"/>
              <w:jc w:val="left"/>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c>
          <w:tcPr>
            <w:tcW w:w="79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7981" w:type="dxa"/>
            <w:tcBorders/>
            <w:vAlign w:val="center"/>
          </w:tcPr>
          <w:p>
            <w:pPr>
              <w:pStyle w:val="TableContents"/>
              <w:bidi w:val="0"/>
              <w:spacing w:before="0" w:after="0"/>
              <w:ind w:left="0" w:right="0" w:hanging="0"/>
              <w:jc w:val="left"/>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b8d243cf_2bed_434d_b415_f8a8a9ddc076"/>
      <w:bookmarkEnd w:id="35"/>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85% of our consolidated revenue in fiscal year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51% of our consolidated contract revenue for fiscal year 2025;</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realize the full amount of our backlog;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elevated interest rates, and elevated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January 2, 2026,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 w:name="PARTI"/>
      <w:bookmarkStart w:id="37" w:name="_a0a8f08b_da20_4643_af54_52fc1a43c0a3"/>
      <w:bookmarkEnd w:id="36"/>
      <w:bookmarkEnd w:id="37"/>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8" w:name="Item1"/>
      <w:bookmarkEnd w:id="38"/>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9" w:name="BALANCESHEETS_75359"/>
      <w:bookmarkEnd w:id="39"/>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40" w:name="Tc_2TxviA2Mz02qADL5FeaE8g_45_5"/>
      <w:bookmarkStart w:id="41" w:name="Tc_nAj_MihHq020Ue8-pnhE5w_45_2"/>
      <w:bookmarkStart w:id="42" w:name="Tc_PYJ0cv25QEKXnsnKRMTwkQ_45_0"/>
      <w:bookmarkStart w:id="43" w:name="Tc_QxEGZgQXZEGMDcNmOS6f4w_44_0"/>
      <w:bookmarkStart w:id="44" w:name="Tc_5smyqsf4I0a35K27MkGCrg_43_0"/>
      <w:bookmarkStart w:id="45" w:name="Tc_9iyhusPMQkSnXhDb7DEI2Q_42_3"/>
      <w:bookmarkStart w:id="46" w:name="Tc_l9FcQSRw5kefzyoynMAKzQ_42_0"/>
      <w:bookmarkStart w:id="47" w:name="Tc_ujm3gyV5RkmHLNJwkRMEOQ_41_0"/>
      <w:bookmarkStart w:id="48" w:name="Tc_R-YVh-wppUq_qfHnhBoLdg_40_0"/>
      <w:bookmarkStart w:id="49" w:name="Tc_9HwvUXa0E0yFX_WUaniuxg_39_0"/>
      <w:bookmarkStart w:id="50" w:name="Tc_rjU02SKu3EGGr9lVJiGGSQ_38_0"/>
      <w:bookmarkStart w:id="51" w:name="Tc_ZjPO-3y3AkOHNXsS1g4_oA_36_0"/>
      <w:bookmarkStart w:id="52" w:name="Tc_tijWwIGo7kWxk3tllBNj9Q_34_0"/>
      <w:bookmarkStart w:id="53" w:name="Tc_x0-3eV_7REykjGnsT2fSkw_33_0"/>
      <w:bookmarkStart w:id="54" w:name="Tc_e_bRNPxsUEaFB-o3hMwf6g_32_0"/>
      <w:bookmarkStart w:id="55" w:name="Tc_a0bR0VvqDEOTs5ln7bLWoQ_31_0"/>
      <w:bookmarkStart w:id="56" w:name="Tc_fQqtFeqK90SQS4wMaUrICg_30_0"/>
      <w:bookmarkStart w:id="57" w:name="Tc_GgEYf1OY5Em8VDzqZWWi5A_29_0"/>
      <w:bookmarkStart w:id="58" w:name="Tc_gafQ4_TlUkG-V3y-Ytauhw_28_0"/>
      <w:bookmarkStart w:id="59" w:name="Tc_1miQs7m_Lk-2J9NcfPb4Ow_27_0"/>
      <w:bookmarkStart w:id="60" w:name="Tc_kPKVSRKprkaE_t8Ke3SkSw_26_0"/>
      <w:bookmarkStart w:id="61" w:name="Tc_56098fbt30mH3LrWHqqegA_25_0"/>
      <w:bookmarkStart w:id="62" w:name="Tc_fTBDBvwFR0KQV6lGlyNpdQ_24_0"/>
      <w:bookmarkStart w:id="63" w:name="Tc_dlM1Vhm0SUuy3lcG4Eh2aA_23_0"/>
      <w:bookmarkStart w:id="64" w:name="Tc_uF0gLbqIXU2HYzyNZ1Km8g_22_0"/>
      <w:bookmarkStart w:id="65" w:name="Tc_kRjHeL8QGkme_4ED_pfkUg_21_5"/>
      <w:bookmarkStart w:id="66" w:name="Tc_9K6vXlrm8UGdGJdqR3BcEw_21_2"/>
      <w:bookmarkStart w:id="67" w:name="Tc_kJSV1hFSn0msJq40-TYfLg_21_0"/>
      <w:bookmarkStart w:id="68" w:name="Tc_8ac01sCzhEmybUI8hGROkw_20_0"/>
      <w:bookmarkStart w:id="69" w:name="Tc_Nde6QDM5IEebqe90qI4m1w_19_0"/>
      <w:bookmarkStart w:id="70" w:name="Tc_1MZCaVwHgkSMQgTXgsBeMg_18_5"/>
      <w:bookmarkStart w:id="71" w:name="Tc_Np_1GVVnhU2uPXgr7jdS0w_18_2"/>
      <w:bookmarkStart w:id="72" w:name="Tc_Nfj0CT_un0WfIBJjJHQVdQ_18_0"/>
      <w:bookmarkStart w:id="73" w:name="Tc_HBmTJeJqv0SdbGVyspJX5w_17_0"/>
      <w:bookmarkStart w:id="74" w:name="Tc_AuLMGAIjkESOe78UkibvOg_16_0"/>
      <w:bookmarkStart w:id="75" w:name="Tc_23eYm5FueUSqrvh1bY50IQ_15_0"/>
      <w:bookmarkStart w:id="76" w:name="Tc_XKsSh9BDY0uCp8ARP9NDDg_14_0"/>
      <w:bookmarkStart w:id="77" w:name="Tc_zWO4jm3eEE2Kkxl2Ft6qYQ_13_0"/>
      <w:bookmarkStart w:id="78" w:name="Tc_LqVDiC_Mpkq9iuV5cJDhwg_12_0"/>
      <w:bookmarkStart w:id="79" w:name="Tc_ATDQm2PV80uIw9HDfjU94w_11_0"/>
      <w:bookmarkStart w:id="80" w:name="Tc_gEDVNt87vk6-2eRSdGLgnA_10_0"/>
      <w:bookmarkStart w:id="81" w:name="Tc_-zcF8sLT6kuu3RXLXcaNMQ_9_0"/>
      <w:bookmarkStart w:id="82" w:name="Tc_1Vz4L6KuPkuwNWlxM0JhuQ_8_0"/>
      <w:bookmarkStart w:id="83" w:name="Tc_8lYa2kiVQUG6Nc1SChBO5A_7_0"/>
      <w:bookmarkStart w:id="84" w:name="Tc_oXDwsV3f4EaAKtH2vfoZpg_6_0"/>
      <w:bookmarkStart w:id="85" w:name="Tc_kdkKYLesp0iMAPB0ZtAKJA_5_5"/>
      <w:bookmarkStart w:id="86" w:name="Tc_qReTpah-CUyKanHtFRNSpw_5_2"/>
      <w:bookmarkStart w:id="87" w:name="Tc_TzOWnCCMjkePqaamKFyRlg_5_0"/>
      <w:bookmarkStart w:id="88" w:name="Tc_luoDwf28fE29zSZVAQ7IOw_4_0"/>
      <w:bookmarkStart w:id="89" w:name="Tc_TO-_xAOvvUq7g64sPrReIA_3_0"/>
      <w:bookmarkStart w:id="90" w:name="Tc_7pftoGON8kmUwbn3kA6r-Q_2_5"/>
      <w:bookmarkStart w:id="91" w:name="Tc_F0QYeg_9102Qs7JSGJR-WQ_2_2"/>
      <w:bookmarkStart w:id="92" w:name="Tc_KM0YEw_BOkyHF5byQFzq_g_1_5"/>
      <w:bookmarkStart w:id="93" w:name="Tc_WaBlDZYf0EKf15nBX-grmQ_1_2"/>
      <w:bookmarkStart w:id="94" w:name="_d9f5a5fb_3c7f_4d8b_95e1_51dfd09dc385"/>
      <w:bookmarkStart w:id="95" w:name="Tc_2TxviA2Mz02qADL5FeaE8g_45_5"/>
      <w:bookmarkStart w:id="96" w:name="Tc_nAj_MihHq020Ue8-pnhE5w_45_2"/>
      <w:bookmarkStart w:id="97" w:name="Tc_PYJ0cv25QEKXnsnKRMTwkQ_45_0"/>
      <w:bookmarkStart w:id="98" w:name="Tc_QxEGZgQXZEGMDcNmOS6f4w_44_0"/>
      <w:bookmarkStart w:id="99" w:name="Tc_5smyqsf4I0a35K27MkGCrg_43_0"/>
      <w:bookmarkStart w:id="100" w:name="Tc_9iyhusPMQkSnXhDb7DEI2Q_42_3"/>
      <w:bookmarkStart w:id="101" w:name="Tc_l9FcQSRw5kefzyoynMAKzQ_42_0"/>
      <w:bookmarkStart w:id="102" w:name="Tc_ujm3gyV5RkmHLNJwkRMEOQ_41_0"/>
      <w:bookmarkStart w:id="103" w:name="Tc_R-YVh-wppUq_qfHnhBoLdg_40_0"/>
      <w:bookmarkStart w:id="104" w:name="Tc_9HwvUXa0E0yFX_WUaniuxg_39_0"/>
      <w:bookmarkStart w:id="105" w:name="Tc_rjU02SKu3EGGr9lVJiGGSQ_38_0"/>
      <w:bookmarkStart w:id="106" w:name="Tc_ZjPO-3y3AkOHNXsS1g4_oA_36_0"/>
      <w:bookmarkStart w:id="107" w:name="Tc_tijWwIGo7kWxk3tllBNj9Q_34_0"/>
      <w:bookmarkStart w:id="108" w:name="Tc_x0-3eV_7REykjGnsT2fSkw_33_0"/>
      <w:bookmarkStart w:id="109" w:name="Tc_e_bRNPxsUEaFB-o3hMwf6g_32_0"/>
      <w:bookmarkStart w:id="110" w:name="Tc_a0bR0VvqDEOTs5ln7bLWoQ_31_0"/>
      <w:bookmarkStart w:id="111" w:name="Tc_fQqtFeqK90SQS4wMaUrICg_30_0"/>
      <w:bookmarkStart w:id="112" w:name="Tc_GgEYf1OY5Em8VDzqZWWi5A_29_0"/>
      <w:bookmarkStart w:id="113" w:name="Tc_gafQ4_TlUkG-V3y-Ytauhw_28_0"/>
      <w:bookmarkStart w:id="114" w:name="Tc_1miQs7m_Lk-2J9NcfPb4Ow_27_0"/>
      <w:bookmarkStart w:id="115" w:name="Tc_kPKVSRKprkaE_t8Ke3SkSw_26_0"/>
      <w:bookmarkStart w:id="116" w:name="Tc_56098fbt30mH3LrWHqqegA_25_0"/>
      <w:bookmarkStart w:id="117" w:name="Tc_fTBDBvwFR0KQV6lGlyNpdQ_24_0"/>
      <w:bookmarkStart w:id="118" w:name="Tc_dlM1Vhm0SUuy3lcG4Eh2aA_23_0"/>
      <w:bookmarkStart w:id="119" w:name="Tc_uF0gLbqIXU2HYzyNZ1Km8g_22_0"/>
      <w:bookmarkStart w:id="120" w:name="Tc_kRjHeL8QGkme_4ED_pfkUg_21_5"/>
      <w:bookmarkStart w:id="121" w:name="Tc_9K6vXlrm8UGdGJdqR3BcEw_21_2"/>
      <w:bookmarkStart w:id="122" w:name="Tc_kJSV1hFSn0msJq40-TYfLg_21_0"/>
      <w:bookmarkStart w:id="123" w:name="Tc_8ac01sCzhEmybUI8hGROkw_20_0"/>
      <w:bookmarkStart w:id="124" w:name="Tc_Nde6QDM5IEebqe90qI4m1w_19_0"/>
      <w:bookmarkStart w:id="125" w:name="Tc_1MZCaVwHgkSMQgTXgsBeMg_18_5"/>
      <w:bookmarkStart w:id="126" w:name="Tc_Np_1GVVnhU2uPXgr7jdS0w_18_2"/>
      <w:bookmarkStart w:id="127" w:name="Tc_Nfj0CT_un0WfIBJjJHQVdQ_18_0"/>
      <w:bookmarkStart w:id="128" w:name="Tc_HBmTJeJqv0SdbGVyspJX5w_17_0"/>
      <w:bookmarkStart w:id="129" w:name="Tc_AuLMGAIjkESOe78UkibvOg_16_0"/>
      <w:bookmarkStart w:id="130" w:name="Tc_23eYm5FueUSqrvh1bY50IQ_15_0"/>
      <w:bookmarkStart w:id="131" w:name="Tc_XKsSh9BDY0uCp8ARP9NDDg_14_0"/>
      <w:bookmarkStart w:id="132" w:name="Tc_zWO4jm3eEE2Kkxl2Ft6qYQ_13_0"/>
      <w:bookmarkStart w:id="133" w:name="Tc_LqVDiC_Mpkq9iuV5cJDhwg_12_0"/>
      <w:bookmarkStart w:id="134" w:name="Tc_ATDQm2PV80uIw9HDfjU94w_11_0"/>
      <w:bookmarkStart w:id="135" w:name="Tc_gEDVNt87vk6-2eRSdGLgnA_10_0"/>
      <w:bookmarkStart w:id="136" w:name="Tc_-zcF8sLT6kuu3RXLXcaNMQ_9_0"/>
      <w:bookmarkStart w:id="137" w:name="Tc_1Vz4L6KuPkuwNWlxM0JhuQ_8_0"/>
      <w:bookmarkStart w:id="138" w:name="Tc_8lYa2kiVQUG6Nc1SChBO5A_7_0"/>
      <w:bookmarkStart w:id="139" w:name="Tc_oXDwsV3f4EaAKtH2vfoZpg_6_0"/>
      <w:bookmarkStart w:id="140" w:name="Tc_kdkKYLesp0iMAPB0ZtAKJA_5_5"/>
      <w:bookmarkStart w:id="141" w:name="Tc_qReTpah-CUyKanHtFRNSpw_5_2"/>
      <w:bookmarkStart w:id="142" w:name="Tc_TzOWnCCMjkePqaamKFyRlg_5_0"/>
      <w:bookmarkStart w:id="143" w:name="Tc_luoDwf28fE29zSZVAQ7IOw_4_0"/>
      <w:bookmarkStart w:id="144" w:name="Tc_TO-_xAOvvUq7g64sPrReIA_3_0"/>
      <w:bookmarkStart w:id="145" w:name="Tc_7pftoGON8kmUwbn3kA6r-Q_2_5"/>
      <w:bookmarkStart w:id="146" w:name="Tc_F0QYeg_9102Qs7JSGJR-WQ_2_2"/>
      <w:bookmarkStart w:id="147" w:name="Tc_KM0YEw_BOkyHF5byQFzq_g_1_5"/>
      <w:bookmarkStart w:id="148" w:name="Tc_WaBlDZYf0EKf15nBX-grmQ_1_2"/>
      <w:bookmarkStart w:id="149" w:name="_d9f5a5fb_3c7f_4d8b_95e1_51dfd09dc385"/>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375"/>
        <w:gridCol w:w="346"/>
        <w:gridCol w:w="211"/>
        <w:gridCol w:w="781"/>
        <w:gridCol w:w="346"/>
        <w:gridCol w:w="211"/>
        <w:gridCol w:w="781"/>
        <w:gridCol w:w="154"/>
      </w:tblGrid>
      <w:tr>
        <w:tc>
          <w:tcPr>
            <w:tcW w:w="7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83125" cy="175260"/>
                      <wp:effectExtent l="0" t="0" r="0" b="0"/>
                      <wp:wrapNone/>
                      <wp:docPr id="5" name="Frame5"/>
                      <a:graphic xmlns:a="http://schemas.openxmlformats.org/drawingml/2006/main">
                        <a:graphicData uri="http://schemas.microsoft.com/office/word/2010/wordprocessingShape">
                          <wps:wsp>
                            <wps:cNvSpPr txBox="1"/>
                            <wps:spPr>
                              <a:xfrm>
                                <a:off x="0" y="0"/>
                                <a:ext cx="46831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737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154" w:type="dxa"/>
            <w:tcBorders/>
            <w:vAlign w:val="center"/>
          </w:tcPr>
          <w:p>
            <w:pPr>
              <w:pStyle w:val="TableContents"/>
              <w:bidi w:val="0"/>
              <w:spacing w:before="0" w:after="0"/>
              <w:ind w:left="0" w:right="0" w:hanging="0"/>
              <w:jc w:val="center"/>
            </w:pPr>
            <w:r>
              <w:t>​</w:t>
            </w:r>
          </w:p>
        </w:tc>
      </w:tr>
      <w:tr>
        <w:tc>
          <w:tcPr>
            <w:tcW w:w="737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pPr>
            <w:r>
              <w:t>​</w:t>
            </w:r>
          </w:p>
        </w:tc>
      </w:tr>
      <w:t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4" w:type="dxa"/>
            <w:tcBorders/>
            <w:shd w:fill="CCEEFF" w:val="clear"/>
            <w:vAlign w:val="center"/>
          </w:tcPr>
          <w:p>
            <w:pPr>
              <w:pStyle w:val="TableContents"/>
              <w:bidi w:val="0"/>
              <w:spacing w:before="0" w:after="0"/>
              <w:ind w:left="0" w:right="0" w:hanging="0"/>
              <w:jc w:val="lef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65,919</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3,056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$212</w:t>
            </w:r>
            <w:r>
              <w:rPr>
                <w:rFonts w:ascii="Times New Roman;Times;serif" w:hAnsi="Times New Roman;Times;serif"/>
                <w:sz w:val="18"/>
              </w:rPr>
              <w:t xml:space="preserve"> </w:t>
            </w:r>
            <w:r>
              <w:rPr>
                <w:rFonts w:ascii="Times New Roman;Times;serif" w:hAnsi="Times New Roman;Times;serif"/>
                <w:sz w:val="19"/>
              </w:rPr>
              <w:t>and $340</w:t>
            </w:r>
            <w:r>
              <w:rPr>
                <w:rFonts w:ascii="Times New Roman;Times;serif" w:hAnsi="Times New Roman;Times;serif"/>
                <w:sz w:val="18"/>
              </w:rPr>
              <w:t xml:space="preserve"> </w:t>
            </w:r>
            <w:r>
              <w:rPr>
                <w:rFonts w:ascii="Times New Roman;Times;serif" w:hAnsi="Times New Roman;Times;serif"/>
                <w:sz w:val="19"/>
              </w:rPr>
              <w:t>at October 2, 2026 and January 2, 2026, respectively</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97,546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64,604</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130,215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107,296</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6,330</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12,168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7,528</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284,298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251,677</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28,370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31,491</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223,204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179,530</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17,136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16,600</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59,832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35,521</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31,412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26,630</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645,922</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vAlign w:val="center"/>
          </w:tcPr>
          <w:p>
            <w:pPr>
              <w:pStyle w:val="TableContents"/>
              <w:bidi w:val="0"/>
              <w:spacing w:before="0" w:after="0"/>
              <w:ind w:left="0" w:right="0" w:hanging="0"/>
              <w:jc w:val="right"/>
            </w:pPr>
            <w:r>
              <w:t>​</w:t>
            </w:r>
          </w:p>
        </w:tc>
      </w:tr>
      <w:t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4" w:type="dxa"/>
            <w:tcBorders/>
            <w:shd w:fill="CCEEFF" w:val="clear"/>
            <w:vAlign w:val="center"/>
          </w:tcPr>
          <w:p>
            <w:pPr>
              <w:pStyle w:val="TableContents"/>
              <w:bidi w:val="0"/>
              <w:spacing w:before="0" w:after="0"/>
              <w:ind w:left="0" w:right="0" w:hanging="0"/>
              <w:jc w:val="lef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51,529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45,628</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88,736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82,434</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16,731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3,732</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26,277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21,565</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4,768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4,670</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191,617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161,754</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 less current portion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16,651</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59,137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45,962</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1,162</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13,918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13,762</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274,827</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239,360</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154" w:type="dxa"/>
            <w:tcBorders/>
            <w:shd w:fill="CCEEFF" w:val="clear"/>
            <w:vAlign w:val="center"/>
          </w:tcPr>
          <w:p>
            <w:pPr>
              <w:pStyle w:val="TableContents"/>
              <w:bidi w:val="0"/>
              <w:spacing w:before="0" w:after="0"/>
              <w:ind w:left="0" w:right="0" w:hanging="0"/>
              <w:jc w:val="lef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15,330</w:t>
            </w:r>
            <w:r>
              <w:rPr>
                <w:rFonts w:ascii="Times New Roman;Times;serif" w:hAnsi="Times New Roman;Times;serif"/>
                <w:sz w:val="18"/>
              </w:rPr>
              <w:t xml:space="preserve"> </w:t>
            </w:r>
            <w:r>
              <w:rPr>
                <w:rFonts w:ascii="Times New Roman;Times;serif" w:hAnsi="Times New Roman;Times;serif"/>
                <w:sz w:val="19"/>
              </w:rPr>
              <w:t>and 14,762</w:t>
            </w:r>
            <w:r>
              <w:rPr>
                <w:rFonts w:ascii="Times New Roman;Times;serif" w:hAnsi="Times New Roman;Times;serif"/>
                <w:sz w:val="18"/>
              </w:rPr>
              <w:t xml:space="preserve"> </w:t>
            </w:r>
            <w:r>
              <w:rPr>
                <w:rFonts w:ascii="Times New Roman;Times;serif" w:hAnsi="Times New Roman;Times;serif"/>
                <w:sz w:val="19"/>
              </w:rPr>
              <w:t>shares issued and outstanding at October 2, 2026 and January 2, 2026, respectively</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236,502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215,269</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134,440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89,704</w:t>
            </w:r>
          </w:p>
        </w:tc>
        <w:tc>
          <w:tcPr>
            <w:tcW w:w="154" w:type="dxa"/>
            <w:tcBorders/>
            <w:shd w:fill="CCEEFF" w:val="clear"/>
            <w:vAlign w:val="center"/>
          </w:tcPr>
          <w:p>
            <w:pPr>
              <w:pStyle w:val="TableContents"/>
              <w:bidi w:val="0"/>
              <w:spacing w:before="0" w:after="0"/>
              <w:ind w:left="0" w:right="0" w:hanging="0"/>
              <w:jc w:val="right"/>
            </w:pPr>
            <w:r>
              <w:t>​</w:t>
            </w:r>
          </w:p>
        </w:tc>
      </w:tr>
      <w:t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371,095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304,851</w:t>
            </w:r>
          </w:p>
        </w:tc>
        <w:tc>
          <w:tcPr>
            <w:tcW w:w="154" w:type="dxa"/>
            <w:tcBorders/>
            <w:vAlign w:val="center"/>
          </w:tcPr>
          <w:p>
            <w:pPr>
              <w:pStyle w:val="TableContents"/>
              <w:bidi w:val="0"/>
              <w:spacing w:before="0" w:after="0"/>
              <w:ind w:left="0" w:right="0" w:hanging="0"/>
              <w:jc w:val="right"/>
            </w:pPr>
            <w:r>
              <w:t>​</w:t>
            </w:r>
          </w:p>
        </w:tc>
      </w:tr>
      <w:t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645,922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shd w:fill="CCEEFF" w:val="clear"/>
            <w:vAlign w:val="center"/>
          </w:tcPr>
          <w:p>
            <w:pPr>
              <w:pStyle w:val="TableContents"/>
              <w:bidi w:val="0"/>
              <w:spacing w:before="0" w:after="0"/>
              <w:ind w:left="0" w:right="0" w:hanging="0"/>
              <w:jc w:val="right"/>
            </w:pPr>
            <w:r>
              <w:t>​</w:t>
            </w:r>
          </w:p>
        </w:tc>
      </w:tr>
    </w:tbl>
    <w:p>
      <w:pPr>
        <w:pStyle w:val="TextBody"/>
        <w:bidi w:val="0"/>
        <w:spacing w:before="80" w:after="0"/>
        <w:ind w:left="0" w:right="0" w:hanging="0"/>
        <w:jc w:val="center"/>
      </w:pPr>
      <w: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14bc18dc_e7b1_47cb_b5a4_d1ff83fa5443"/>
      <w:bookmarkEnd w:id="150"/>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51" w:name="OPERATIONS_940148"/>
      <w:bookmarkEnd w:id="151"/>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152" w:name="Tc_eclMvu9fOEyUJosn9eUbQg_42_0"/>
      <w:bookmarkStart w:id="153" w:name="Tc_4QXNsplhlE2VNKl5o_fl-g_41_0"/>
      <w:bookmarkStart w:id="154" w:name="Tc_PXkF3tbVlkO9443gvxK86g_40_0"/>
      <w:bookmarkStart w:id="155" w:name="Tc_Uwtkp0TW3EK6eG9YIUZ6zA_38_11"/>
      <w:bookmarkStart w:id="156" w:name="Tc_RAdcco3faUe7OD2-Ib0uQg_38_8"/>
      <w:bookmarkStart w:id="157" w:name="Tc_YiTm2A0XfUSKO5JcrkOTMg_38_5"/>
      <w:bookmarkStart w:id="158" w:name="Tc_KrBPxhlpxk-U04zm5dFeDg_38_2"/>
      <w:bookmarkStart w:id="159" w:name="Tc_5Xwf24wZ4062r7z8vaDVyA_38_0"/>
      <w:bookmarkStart w:id="160" w:name="Tc_SW6tKQ7Jnk-gZjDAdX6tdw_37_11"/>
      <w:bookmarkStart w:id="161" w:name="Tc_fXNc5LKxwUC4ILedjYIbUA_37_8"/>
      <w:bookmarkStart w:id="162" w:name="Tc_ZR4B9ozXyEeSsCW-J-4H6w_37_5"/>
      <w:bookmarkStart w:id="163" w:name="Tc_4ulY3FuHNEKfwb-6z1b0pQ_37_2"/>
      <w:bookmarkStart w:id="164" w:name="Tc_fOwsHxeqrEOVlwzi4J1s4w_37_0"/>
      <w:bookmarkStart w:id="165" w:name="Tc_Xk5hsNhWEUS1gg5IyhKa6g_36_0"/>
      <w:bookmarkStart w:id="166" w:name="Tc_RZ6Xvh5ml0ePnRgOx6NF8w_34_11"/>
      <w:bookmarkStart w:id="167" w:name="Tc_HjCbkuKb60e6rc4o-YKrrA_34_8"/>
      <w:bookmarkStart w:id="168" w:name="Tc_AqXSiUxhNUiUI6sk3o4WCw_34_5"/>
      <w:bookmarkStart w:id="169" w:name="Tc_xOBzwO6HLUiuGjyyGp8qDA_34_2"/>
      <w:bookmarkStart w:id="170" w:name="Tc_aq6r6MaP9E2I4Gec5-B6sw_34_0"/>
      <w:bookmarkStart w:id="171" w:name="Tc_OWr908VxmkORsdIBr5pQkQ_33_0"/>
      <w:bookmarkStart w:id="172" w:name="Tc_YiScWXyt_0izSXfJjkjbCA_32_0"/>
      <w:bookmarkStart w:id="173" w:name="Tc_466IvOLlhUqT0UxdqGzU1g_30_0"/>
      <w:bookmarkStart w:id="174" w:name="Tc_8WF3mU6iqEO7oQcg477eAg_29_0"/>
      <w:bookmarkStart w:id="175" w:name="Tc_gZwNq_OHpU2xacHxNAxlIg_28_0"/>
      <w:bookmarkStart w:id="176" w:name="Tc_QQEhmD-2AUW_L7u-ETdSkQ_26_0"/>
      <w:bookmarkStart w:id="177" w:name="Tc_oXGNCaEJZkeBi1DGSes-ww_25_0"/>
      <w:bookmarkStart w:id="178" w:name="Tc_rWzS00CvpECn4Aecz9osSQ_24_0"/>
      <w:bookmarkStart w:id="179" w:name="Tc_aZsVHrWT90Omh5ZnOcZ_3g_23_0"/>
      <w:bookmarkStart w:id="180" w:name="Tc_ATFfNeDQlkyjtX2B_Jg1kQ_21_0"/>
      <w:bookmarkStart w:id="181" w:name="Tc_aFIdfLNO_UWg6ccHXkpmGQ_19_0"/>
      <w:bookmarkStart w:id="182" w:name="Tc_aAy9cIHSkkKgg_6iap5Y-w_18_0"/>
      <w:bookmarkStart w:id="183" w:name="Tc_nD66S5kYD0Oc4NOMX51Qkg_17_0"/>
      <w:bookmarkStart w:id="184" w:name="Tc_VmKtCn3tREaAaa7MUxYhaw_16_0"/>
      <w:bookmarkStart w:id="185" w:name="Tc_XbLBEVTI3UKAxx27VoHM0Q_15_0"/>
      <w:bookmarkStart w:id="186" w:name="Tc_m2J3cZUflUqJThRWfG98Tg_14_0"/>
      <w:bookmarkStart w:id="187" w:name="Tc_s5-DW3Wm4k2vB4NAv8oBDg_13_0"/>
      <w:bookmarkStart w:id="188" w:name="Tc_4E7_jbwUPUiFmUX1U6rsNw_11_0"/>
      <w:bookmarkStart w:id="189" w:name="Tc_psaoKWWFMUWpHeNREiq8zQ_9_0"/>
      <w:bookmarkStart w:id="190" w:name="Tc_e2LleMzeGEaUGMtIFmv4Yg_8_0"/>
      <w:bookmarkStart w:id="191" w:name="Tc_-66XYxOU2EKixhEf2vFqWQ_7_0"/>
      <w:bookmarkStart w:id="192" w:name="Tc_8zFKhyw0OE6R3kEp5gJ2ew_6_0"/>
      <w:bookmarkStart w:id="193" w:name="Tc_JIjWy8y5PEGVtv9-Jp9iXg_4_11"/>
      <w:bookmarkStart w:id="194" w:name="Tc_uXVICB0-20mUGf4-ntnQZw_4_8"/>
      <w:bookmarkStart w:id="195" w:name="Tc_ee3oQ0EZTUaqQaEeUW5MXA_4_5"/>
      <w:bookmarkStart w:id="196" w:name="Tc_Vk6_IOD1a06dFDZkjAee4g_4_2"/>
      <w:bookmarkStart w:id="197" w:name="Tc_d8Z_d3IvyUq9HKNUJbZDEg_4_0"/>
      <w:bookmarkStart w:id="198" w:name="Tc_3vqsiNnsJEWv1lxHLoMGxw_3_11"/>
      <w:bookmarkStart w:id="199" w:name="Tc_gr2bFejkTEKxSU0zOP7hww_3_8"/>
      <w:bookmarkStart w:id="200" w:name="Tc_iTvFgfxcqkeFmoV9pYwqug_3_5"/>
      <w:bookmarkStart w:id="201" w:name="Tc_85pmjvPsQEKBfjQ6WBwDJw_3_2"/>
      <w:bookmarkStart w:id="202" w:name="Tc_1ZipePmq5keJXdud1saTAw_2_11"/>
      <w:bookmarkStart w:id="203" w:name="Tc_xxUPVeEnYkKh4SQXTLxFUA_2_8"/>
      <w:bookmarkStart w:id="204" w:name="Tc_aPqS8Ww960664pFOM2gxyQ_2_5"/>
      <w:bookmarkStart w:id="205" w:name="Tc_OzD_lW_1bEqfnBmruouy1Q_2_2"/>
      <w:bookmarkStart w:id="206" w:name="Tc_yzmEqapTeUmD-vcK9HRTaQ_1_8"/>
      <w:bookmarkStart w:id="207" w:name="Tc_u2u9_7-wk02V0gz-sBWLrA_1_2"/>
      <w:bookmarkStart w:id="208" w:name="_3aba4ab8_bba5_491c_8d83_78aa3e16931c"/>
      <w:bookmarkStart w:id="209" w:name="Tc_eclMvu9fOEyUJosn9eUbQg_42_0"/>
      <w:bookmarkStart w:id="210" w:name="Tc_4QXNsplhlE2VNKl5o_fl-g_41_0"/>
      <w:bookmarkStart w:id="211" w:name="Tc_PXkF3tbVlkO9443gvxK86g_40_0"/>
      <w:bookmarkStart w:id="212" w:name="Tc_Uwtkp0TW3EK6eG9YIUZ6zA_38_11"/>
      <w:bookmarkStart w:id="213" w:name="Tc_RAdcco3faUe7OD2-Ib0uQg_38_8"/>
      <w:bookmarkStart w:id="214" w:name="Tc_YiTm2A0XfUSKO5JcrkOTMg_38_5"/>
      <w:bookmarkStart w:id="215" w:name="Tc_KrBPxhlpxk-U04zm5dFeDg_38_2"/>
      <w:bookmarkStart w:id="216" w:name="Tc_5Xwf24wZ4062r7z8vaDVyA_38_0"/>
      <w:bookmarkStart w:id="217" w:name="Tc_SW6tKQ7Jnk-gZjDAdX6tdw_37_11"/>
      <w:bookmarkStart w:id="218" w:name="Tc_fXNc5LKxwUC4ILedjYIbUA_37_8"/>
      <w:bookmarkStart w:id="219" w:name="Tc_ZR4B9ozXyEeSsCW-J-4H6w_37_5"/>
      <w:bookmarkStart w:id="220" w:name="Tc_4ulY3FuHNEKfwb-6z1b0pQ_37_2"/>
      <w:bookmarkStart w:id="221" w:name="Tc_fOwsHxeqrEOVlwzi4J1s4w_37_0"/>
      <w:bookmarkStart w:id="222" w:name="Tc_Xk5hsNhWEUS1gg5IyhKa6g_36_0"/>
      <w:bookmarkStart w:id="223" w:name="Tc_RZ6Xvh5ml0ePnRgOx6NF8w_34_11"/>
      <w:bookmarkStart w:id="224" w:name="Tc_HjCbkuKb60e6rc4o-YKrrA_34_8"/>
      <w:bookmarkStart w:id="225" w:name="Tc_AqXSiUxhNUiUI6sk3o4WCw_34_5"/>
      <w:bookmarkStart w:id="226" w:name="Tc_xOBzwO6HLUiuGjyyGp8qDA_34_2"/>
      <w:bookmarkStart w:id="227" w:name="Tc_aq6r6MaP9E2I4Gec5-B6sw_34_0"/>
      <w:bookmarkStart w:id="228" w:name="Tc_OWr908VxmkORsdIBr5pQkQ_33_0"/>
      <w:bookmarkStart w:id="229" w:name="Tc_YiScWXyt_0izSXfJjkjbCA_32_0"/>
      <w:bookmarkStart w:id="230" w:name="Tc_466IvOLlhUqT0UxdqGzU1g_30_0"/>
      <w:bookmarkStart w:id="231" w:name="Tc_8WF3mU6iqEO7oQcg477eAg_29_0"/>
      <w:bookmarkStart w:id="232" w:name="Tc_gZwNq_OHpU2xacHxNAxlIg_28_0"/>
      <w:bookmarkStart w:id="233" w:name="Tc_QQEhmD-2AUW_L7u-ETdSkQ_26_0"/>
      <w:bookmarkStart w:id="234" w:name="Tc_oXGNCaEJZkeBi1DGSes-ww_25_0"/>
      <w:bookmarkStart w:id="235" w:name="Tc_rWzS00CvpECn4Aecz9osSQ_24_0"/>
      <w:bookmarkStart w:id="236" w:name="Tc_aZsVHrWT90Omh5ZnOcZ_3g_23_0"/>
      <w:bookmarkStart w:id="237" w:name="Tc_ATFfNeDQlkyjtX2B_Jg1kQ_21_0"/>
      <w:bookmarkStart w:id="238" w:name="Tc_aFIdfLNO_UWg6ccHXkpmGQ_19_0"/>
      <w:bookmarkStart w:id="239" w:name="Tc_aAy9cIHSkkKgg_6iap5Y-w_18_0"/>
      <w:bookmarkStart w:id="240" w:name="Tc_nD66S5kYD0Oc4NOMX51Qkg_17_0"/>
      <w:bookmarkStart w:id="241" w:name="Tc_VmKtCn3tREaAaa7MUxYhaw_16_0"/>
      <w:bookmarkStart w:id="242" w:name="Tc_XbLBEVTI3UKAxx27VoHM0Q_15_0"/>
      <w:bookmarkStart w:id="243" w:name="Tc_m2J3cZUflUqJThRWfG98Tg_14_0"/>
      <w:bookmarkStart w:id="244" w:name="Tc_s5-DW3Wm4k2vB4NAv8oBDg_13_0"/>
      <w:bookmarkStart w:id="245" w:name="Tc_4E7_jbwUPUiFmUX1U6rsNw_11_0"/>
      <w:bookmarkStart w:id="246" w:name="Tc_psaoKWWFMUWpHeNREiq8zQ_9_0"/>
      <w:bookmarkStart w:id="247" w:name="Tc_e2LleMzeGEaUGMtIFmv4Yg_8_0"/>
      <w:bookmarkStart w:id="248" w:name="Tc_-66XYxOU2EKixhEf2vFqWQ_7_0"/>
      <w:bookmarkStart w:id="249" w:name="Tc_8zFKhyw0OE6R3kEp5gJ2ew_6_0"/>
      <w:bookmarkStart w:id="250" w:name="Tc_JIjWy8y5PEGVtv9-Jp9iXg_4_11"/>
      <w:bookmarkStart w:id="251" w:name="Tc_uXVICB0-20mUGf4-ntnQZw_4_8"/>
      <w:bookmarkStart w:id="252" w:name="Tc_ee3oQ0EZTUaqQaEeUW5MXA_4_5"/>
      <w:bookmarkStart w:id="253" w:name="Tc_Vk6_IOD1a06dFDZkjAee4g_4_2"/>
      <w:bookmarkStart w:id="254" w:name="Tc_d8Z_d3IvyUq9HKNUJbZDEg_4_0"/>
      <w:bookmarkStart w:id="255" w:name="Tc_3vqsiNnsJEWv1lxHLoMGxw_3_11"/>
      <w:bookmarkStart w:id="256" w:name="Tc_gr2bFejkTEKxSU0zOP7hww_3_8"/>
      <w:bookmarkStart w:id="257" w:name="Tc_iTvFgfxcqkeFmoV9pYwqug_3_5"/>
      <w:bookmarkStart w:id="258" w:name="Tc_85pmjvPsQEKBfjQ6WBwDJw_3_2"/>
      <w:bookmarkStart w:id="259" w:name="Tc_1ZipePmq5keJXdud1saTAw_2_11"/>
      <w:bookmarkStart w:id="260" w:name="Tc_xxUPVeEnYkKh4SQXTLxFUA_2_8"/>
      <w:bookmarkStart w:id="261" w:name="Tc_aPqS8Ww960664pFOM2gxyQ_2_5"/>
      <w:bookmarkStart w:id="262" w:name="Tc_OzD_lW_1bEqfnBmruouy1Q_2_2"/>
      <w:bookmarkStart w:id="263" w:name="Tc_yzmEqapTeUmD-vcK9HRTaQ_1_8"/>
      <w:bookmarkStart w:id="264" w:name="Tc_u2u9_7-wk02V0gz-sBWLrA_1_2"/>
      <w:bookmarkStart w:id="265" w:name="_3aba4ab8_bba5_491c_8d83_78aa3e16931c"/>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tbl>
      <w:tblPr>
        <w:tblW w:w="10205" w:type="dxa"/>
        <w:jc w:val="left"/>
        <w:tblInd w:w="0" w:type="dxa"/>
        <w:tblLayout w:type="fixed"/>
        <w:tblCellMar>
          <w:top w:w="0" w:type="dxa"/>
          <w:left w:w="0" w:type="dxa"/>
          <w:bottom w:w="0" w:type="dxa"/>
          <w:right w:w="0" w:type="dxa"/>
        </w:tblCellMar>
      </w:tblPr>
      <w:tblGrid>
        <w:gridCol w:w="4808"/>
        <w:gridCol w:w="346"/>
        <w:gridCol w:w="211"/>
        <w:gridCol w:w="781"/>
        <w:gridCol w:w="346"/>
        <w:gridCol w:w="211"/>
        <w:gridCol w:w="781"/>
        <w:gridCol w:w="346"/>
        <w:gridCol w:w="211"/>
        <w:gridCol w:w="781"/>
        <w:gridCol w:w="346"/>
        <w:gridCol w:w="211"/>
        <w:gridCol w:w="826"/>
      </w:tblGrid>
      <w:tr>
        <w:tc>
          <w:tcPr>
            <w:tcW w:w="4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053080" cy="175260"/>
                      <wp:effectExtent l="0" t="0" r="0" b="0"/>
                      <wp:wrapNone/>
                      <wp:docPr id="13" name="Frame13"/>
                      <a:graphic xmlns:a="http://schemas.openxmlformats.org/drawingml/2006/main">
                        <a:graphicData uri="http://schemas.microsoft.com/office/word/2010/wordprocessingShape">
                          <wps:wsp>
                            <wps:cNvSpPr txBox="1"/>
                            <wps:spPr>
                              <a:xfrm>
                                <a:off x="0" y="0"/>
                                <a:ext cx="30530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5" name="Frame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182,006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600,669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507,865</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lef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88,766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82,198</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87,039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278,840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232,592</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132,074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114,917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367,606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314,790</w:t>
            </w:r>
          </w:p>
        </w:tc>
      </w:tr>
      <w:tr>
        <w:tc>
          <w:tcPr>
            <w:tcW w:w="480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67,089</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233,063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193,075</w:t>
            </w:r>
          </w:p>
        </w:tc>
      </w:tr>
      <w:tr>
        <w:tc>
          <w:tcPr>
            <w:tcW w:w="480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826" w:type="dxa"/>
            <w:tcBorders/>
            <w:shd w:fill="CCEEFF" w:val="clear"/>
            <w:vAlign w:val="center"/>
          </w:tcPr>
          <w:p>
            <w:pPr>
              <w:pStyle w:val="TableContents"/>
              <w:bidi w:val="0"/>
              <w:spacing w:before="0" w:after="0"/>
              <w:ind w:left="0" w:right="0" w:hanging="0"/>
              <w:jc w:val="righ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lef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112,944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95,404</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7,362</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8,755</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13,857</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33,983</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189,733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159,361</w:t>
            </w:r>
          </w:p>
        </w:tc>
      </w:tr>
      <w:tr>
        <w:tc>
          <w:tcPr>
            <w:tcW w:w="480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33,714</w:t>
            </w:r>
          </w:p>
        </w:tc>
      </w:tr>
      <w:tr>
        <w:tc>
          <w:tcPr>
            <w:tcW w:w="480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w:t>
            </w:r>
          </w:p>
        </w:tc>
        <w:tc>
          <w:tcPr>
            <w:tcW w:w="826" w:type="dxa"/>
            <w:tcBorders/>
            <w:shd w:fill="CCEEFF" w:val="clear"/>
            <w:vAlign w:val="center"/>
          </w:tcPr>
          <w:p>
            <w:pPr>
              <w:pStyle w:val="TableContents"/>
              <w:bidi w:val="0"/>
              <w:spacing w:before="0" w:after="0"/>
              <w:ind w:left="0" w:right="0" w:hanging="0"/>
              <w:jc w:val="lef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lef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826" w:type="dxa"/>
            <w:tcBorders/>
            <w:vAlign w:val="center"/>
          </w:tcPr>
          <w:p>
            <w:pPr>
              <w:pStyle w:val="TableContents"/>
              <w:bidi w:val="0"/>
              <w:spacing w:before="0" w:after="0"/>
              <w:ind w:left="0" w:right="0" w:hanging="0"/>
              <w:jc w:val="righ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41,738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29,664</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(4,180)</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33,844</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righ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33,827</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lef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c>
          <w:tcPr>
            <w:tcW w:w="480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left"/>
            </w:pPr>
            <w:r>
              <w:t>​</w:t>
            </w:r>
          </w:p>
        </w:tc>
      </w:tr>
      <w:t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14,397</w:t>
            </w:r>
          </w:p>
        </w:tc>
      </w:tr>
      <w:t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14,987</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6" w:name="_1c415036_25df_4492_9cc5_1ef366a86ea4"/>
      <w:bookmarkEnd w:id="266"/>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67" w:name="STOCKHOLDERSEQUITY_372544"/>
      <w:bookmarkEnd w:id="26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268" w:name="Tc_sdNX1GeJCkiUwlaGuXF4CA_28_16"/>
      <w:bookmarkStart w:id="269" w:name="Tc_lxFk0afHp0Gjrt3dvvNVuA_28_13"/>
      <w:bookmarkStart w:id="270" w:name="Tc_F_7iz6FW20Gay_FqCiEftA_28_10"/>
      <w:bookmarkStart w:id="271" w:name="Tc_vzvmW1ky-0-qJ8A87OTMWg_28_7"/>
      <w:bookmarkStart w:id="272" w:name="Tc_DgS1DZaiMEOoKycbNJE0EQ_28_4"/>
      <w:bookmarkStart w:id="273" w:name="Tc_6611-g-4Wkauas4vor8_yw_28_0"/>
      <w:bookmarkStart w:id="274" w:name="Tc_1UVyFVT35k-hFnUnn3bZew_27_14"/>
      <w:bookmarkStart w:id="275" w:name="Tc_OB1kxPv010qFUtYYUb9bIA_27_8"/>
      <w:bookmarkStart w:id="276" w:name="Tc_gXgBf-VFtUeql7dlTh1avA_27_5"/>
      <w:bookmarkStart w:id="277" w:name="Tc_qegJpKFGp0e72dYbTyjFJA_27_2"/>
      <w:bookmarkStart w:id="278" w:name="Tc_fB3gV4QD10aXFn3OXVlTtg_27_0"/>
      <w:bookmarkStart w:id="279" w:name="Tc_1q3-qiBgQUejoeYP9Mk45Q_26_11"/>
      <w:bookmarkStart w:id="280" w:name="Tc_F4IizhfDV0iETLmGMjynPA_26_8"/>
      <w:bookmarkStart w:id="281" w:name="Tc_LyuXeEw_4kmrhMABkiEpjw_26_5"/>
      <w:bookmarkStart w:id="282" w:name="Tc_Z5zyEhtdbEK6nSQQDGHzyQ_26_2"/>
      <w:bookmarkStart w:id="283" w:name="Tc_p4ZY8569VkeWHKjkRooQ2A_26_0"/>
      <w:bookmarkStart w:id="284" w:name="Tc_m7kYCaXXOEW0ciYa0Roykw_25_14"/>
      <w:bookmarkStart w:id="285" w:name="Tc_ClaSqyXMeUaY2hniRCOqZA_25_11"/>
      <w:bookmarkStart w:id="286" w:name="Tc_PsUpRCtdQESkdlwsCsEctw_25_5"/>
      <w:bookmarkStart w:id="287" w:name="Tc_dZuEIUf5BE2v0OqTngIpbw_25_2"/>
      <w:bookmarkStart w:id="288" w:name="Tc_Wl7ruLAQ9ka3g6XziMErwg_25_0"/>
      <w:bookmarkStart w:id="289" w:name="Tc_0giklYA3LUGZfRg5App1Cg_24_17"/>
      <w:bookmarkStart w:id="290" w:name="Tc_lJLcG6Mm0EOo0ZRCaBW7aA_24_14"/>
      <w:bookmarkStart w:id="291" w:name="Tc_Rv-NfrYx60K2DDt-TYslaw_24_11"/>
      <w:bookmarkStart w:id="292" w:name="Tc_DAuVsYOml0idz4WNq8gt3Q_24_8"/>
      <w:bookmarkStart w:id="293" w:name="Tc_XNNnsCYsRUCZdBoSZA0czQ_24_5"/>
      <w:bookmarkStart w:id="294" w:name="Tc_Yk8jz3bR0U6uBTiN6MFwPw_24_0"/>
      <w:bookmarkStart w:id="295" w:name="Tc_SpYFtvwpaUix1pBFp1LwtA_23_14"/>
      <w:bookmarkStart w:id="296" w:name="Tc_0UmU2RBGFEi1rbbADTYs9w_23_11"/>
      <w:bookmarkStart w:id="297" w:name="Tc_IJ3BM2yrAEKK76P4tZZkMg_23_5"/>
      <w:bookmarkStart w:id="298" w:name="Tc_0fz1xQy55Ey8PJD6e2NAsw_23_0"/>
      <w:bookmarkStart w:id="299" w:name="Tc_Un35tLO4-Emw_DIRfy9M3g_22_14"/>
      <w:bookmarkStart w:id="300" w:name="Tc_yZjUTknk1kqnXh6YetBE4g_22_11"/>
      <w:bookmarkStart w:id="301" w:name="Tc_YsReskT0FEqia9pZeZLsFw_22_0"/>
      <w:bookmarkStart w:id="302" w:name="Tc_tK63kriiGU2--xePGyGP6w_21_14"/>
      <w:bookmarkStart w:id="303" w:name="Tc_6sAS6K-wSU-FKMe0RFtf8w_21_11"/>
      <w:bookmarkStart w:id="304" w:name="Tc_Pa96A7esa0G1VTd_GCdkHg_21_5"/>
      <w:bookmarkStart w:id="305" w:name="Tc_rVolQzjf00OnhWC3BGxGZQ_21_0"/>
      <w:bookmarkStart w:id="306" w:name="Tc_cDmnWrx2Z0W-glhmzBSE-Q_20_16"/>
      <w:bookmarkStart w:id="307" w:name="Tc_6L9vahljAUiJjIMqqFa0iQ_20_13"/>
      <w:bookmarkStart w:id="308" w:name="Tc_SNig5c7TgEqb_Kk57YJJ5Q_20_10"/>
      <w:bookmarkStart w:id="309" w:name="Tc_DcPP2ffY80WRXA-tCCGnWQ_20_7"/>
      <w:bookmarkStart w:id="310" w:name="Tc_MtXL7u8VZkSofFFbWnfKOQ_20_4"/>
      <w:bookmarkStart w:id="311" w:name="Tc_JFNvyo2XHEaMjAEVxNiNbg_20_0"/>
      <w:bookmarkStart w:id="312" w:name="Tc_7TP0kleoXkunOdydhNMhEQ_19_14"/>
      <w:bookmarkStart w:id="313" w:name="Tc_bgZcj54bO0CEuImVG2KB-w_19_8"/>
      <w:bookmarkStart w:id="314" w:name="Tc_jkkUFT71wEGHpFOYuYDvdA_19_5"/>
      <w:bookmarkStart w:id="315" w:name="Tc_uncoiUG3lUaS1y1iyqNXkQ_19_2"/>
      <w:bookmarkStart w:id="316" w:name="Tc_BUTCAwCsD0q7Yri-5r7KTg_19_0"/>
      <w:bookmarkStart w:id="317" w:name="Tc_tiYDbpCva0mvt2rxgyAkCg_18_11"/>
      <w:bookmarkStart w:id="318" w:name="Tc_1T0y_oBRCE6pwR56cvhdtw_18_8"/>
      <w:bookmarkStart w:id="319" w:name="Tc_iI1O4sFQIEi-s-5E7Y-5Bw_18_5"/>
      <w:bookmarkStart w:id="320" w:name="Tc_RfYwOSgmLUSfmIvdX1mY3g_18_2"/>
      <w:bookmarkStart w:id="321" w:name="Tc_GfblKQLUGUOCSl0sxlZScw_18_0"/>
      <w:bookmarkStart w:id="322" w:name="Tc_KppfUMcKGEydA-ib1mZWbA_17_14"/>
      <w:bookmarkStart w:id="323" w:name="Tc_bvLE5U7R-k6qBAZvcaW9Ew_17_11"/>
      <w:bookmarkStart w:id="324" w:name="Tc_wVvTDx0UWkSNVowXc3WPaA_17_5"/>
      <w:bookmarkStart w:id="325" w:name="Tc_ENys7BNcsE2HMWaaiCdcnw_17_2"/>
      <w:bookmarkStart w:id="326" w:name="Tc_FjN3Neo4KkeWwDJr9Ofe_Q_17_0"/>
      <w:bookmarkStart w:id="327" w:name="Tc_lfGbdeBtoEaKWqMkTceZeQ_16_14"/>
      <w:bookmarkStart w:id="328" w:name="Tc_Oc7j_IhUW0uvQePeq8ZWvA_16_11"/>
      <w:bookmarkStart w:id="329" w:name="Tc_ztFyZu74KEK63cxUKY86Ww_16_0"/>
      <w:bookmarkStart w:id="330" w:name="Tc_BUKXnljR4Uao2VIHBXDmUg_15_17"/>
      <w:bookmarkStart w:id="331" w:name="Tc_cFaRLb8sEUKcDOPY3bPzBA_15_14"/>
      <w:bookmarkStart w:id="332" w:name="Tc_tf3HfUYkZ0KXF1hVHvydLw_15_11"/>
      <w:bookmarkStart w:id="333" w:name="Tc_N6ZjJO0NK0CQzY2JOtStAA_15_8"/>
      <w:bookmarkStart w:id="334" w:name="Tc_gMEDPWsQfEm7DFVfD3v5MA_15_5"/>
      <w:bookmarkStart w:id="335" w:name="Tc_Qh2HzCdY9UqsOawl32C2yA_15_0"/>
      <w:bookmarkStart w:id="336" w:name="Tc_03xAgRiJzk2GBHccxJY9PA_14_14"/>
      <w:bookmarkStart w:id="337" w:name="Tc_K-UnBjeoM0-xlKxWtbSkaQ_14_11"/>
      <w:bookmarkStart w:id="338" w:name="Tc_E6VjFCPckEizr6urtrlVvQ_14_5"/>
      <w:bookmarkStart w:id="339" w:name="Tc_7aBSIJbP3kOBz-qnG2PQDw_14_0"/>
      <w:bookmarkStart w:id="340" w:name="Tc_SfERxnKxLkeZ-j_KsLni3Q_13_14"/>
      <w:bookmarkStart w:id="341" w:name="Tc_y3iPguL9okmrWOpuHZzweg_13_11"/>
      <w:bookmarkStart w:id="342" w:name="Tc_pct-Zkl4qE2-kBjUuprpOg_13_0"/>
      <w:bookmarkStart w:id="343" w:name="Tc_k7gb_Q8xJkePX1QtX5IXcg_12_16"/>
      <w:bookmarkStart w:id="344" w:name="Tc_gDYlWU1GL02D5_FmzoUPyg_12_13"/>
      <w:bookmarkStart w:id="345" w:name="Tc_pC-DcNN8cEede9Ae63K6iw_12_10"/>
      <w:bookmarkStart w:id="346" w:name="Tc_M0zKVqEbVEaI_QdaLqVZgA_12_7"/>
      <w:bookmarkStart w:id="347" w:name="Tc_TCLGPQTSCkaoxoFOtl1WMA_12_4"/>
      <w:bookmarkStart w:id="348" w:name="Tc__xd3U6hli0OBroIXWLs-lg_12_0"/>
      <w:bookmarkStart w:id="349" w:name="Tc_jHnzp3HClkCutuRY3Ljo0A_11_14"/>
      <w:bookmarkStart w:id="350" w:name="Tc_8g62BAnTa0Gn9B8Ur-5hXg_11_8"/>
      <w:bookmarkStart w:id="351" w:name="Tc_azDzIBkmok26HY340bUc4Q_11_5"/>
      <w:bookmarkStart w:id="352" w:name="Tc_Yd9tIvFN-k2XZnqCnRUkfQ_11_2"/>
      <w:bookmarkStart w:id="353" w:name="Tc_znaMdctYfEm-mlDypjYq1g_11_0"/>
      <w:bookmarkStart w:id="354" w:name="Tc_nQsvSUSyvESEAaghKBJ1aA_10_11"/>
      <w:bookmarkStart w:id="355" w:name="Tc_veNIoCXJkEGn4cM-s1JZLA_10_8"/>
      <w:bookmarkStart w:id="356" w:name="Tc_sYfxwCudY0ml8-AUp2B26w_10_5"/>
      <w:bookmarkStart w:id="357" w:name="Tc_RDULCzdTBEOVbvYrZSln5A_10_2"/>
      <w:bookmarkStart w:id="358" w:name="Tc_b8WhpN62EkWLpH2E8hOXlw_10_0"/>
      <w:bookmarkStart w:id="359" w:name="Tc_0y2UZ1ivL0Kzy1lNvNorGw_9_14"/>
      <w:bookmarkStart w:id="360" w:name="Tc_yzbJfDYdpUGC8_ZV-6PiOA_9_11"/>
      <w:bookmarkStart w:id="361" w:name="Tc_4r6KIkhOiUWFinumpfgGWg_9_5"/>
      <w:bookmarkStart w:id="362" w:name="Tc_EjmxtaytZkeZVSNPCom6GQ_9_2"/>
      <w:bookmarkStart w:id="363" w:name="Tc_cJDGVA1fx0WCS6E6Iw70Ow_9_0"/>
      <w:bookmarkStart w:id="364" w:name="Tc_0vJaapyDzkCnceDDeALBmA_8_17"/>
      <w:bookmarkStart w:id="365" w:name="Tc_gZXIZpZGfUCRbpyYvLkbOQ_8_14"/>
      <w:bookmarkStart w:id="366" w:name="Tc_ckv4kwGWxEigef3caoxIrw_8_11"/>
      <w:bookmarkStart w:id="367" w:name="Tc_Np1dPdejDUS32kiA17Qqfg_8_0"/>
      <w:bookmarkStart w:id="368" w:name="Tc_AjNfA38pjU-2aXILJ2zzhA_7_14"/>
      <w:bookmarkStart w:id="369" w:name="Tc_0wYToRkb6kSneBBxyx0oXQ_7_11"/>
      <w:bookmarkStart w:id="370" w:name="Tc_Ppi-YdDFiUaML7e0lTlMUQ_7_0"/>
      <w:bookmarkStart w:id="371" w:name="Tc_ik22e1Nco0SvgiRIwoe0RA_6_14"/>
      <w:bookmarkStart w:id="372" w:name="Tc_vL51tZudF0aDFwCjB7pdtA_6_11"/>
      <w:bookmarkStart w:id="373" w:name="Tc_xgAZwfBrkEWKTJQT-EThvA_6_5"/>
      <w:bookmarkStart w:id="374" w:name="Tc_2-ZdmM9WIEarJjqf7Wkjqw_6_0"/>
      <w:bookmarkStart w:id="375" w:name="Tc_L6mbyorrP0Gv1Hs90RpfGQ_5_16"/>
      <w:bookmarkStart w:id="376" w:name="Tc_CBCaMCEukkKtMugpK4Maww_5_13"/>
      <w:bookmarkStart w:id="377" w:name="Tc_v7qAjPuRaUyvIEblUYnlOQ_5_10"/>
      <w:bookmarkStart w:id="378" w:name="Tc_kzull0MAGEGW07yEsGDGWw_5_7"/>
      <w:bookmarkStart w:id="379" w:name="Tc_t8E_5SFtK0quaPB_VC9wNw_5_4"/>
      <w:bookmarkStart w:id="380" w:name="Tc_AxUiZPhxcUGIGKxSaWpRXQ_5_0"/>
      <w:bookmarkStart w:id="381" w:name="Tc_R7V9kOxoekWLjoKV6pec4A_4_16"/>
      <w:bookmarkStart w:id="382" w:name="Tc_taU2gxWpXk6JQpFhbC5omQ_4_13"/>
      <w:bookmarkStart w:id="383" w:name="Tc_InwqskQ3k0iDRajEy1Q15w_4_10"/>
      <w:bookmarkStart w:id="384" w:name="Tc_4K2mrQ-X8UWREFm89u-zSg_4_7"/>
      <w:bookmarkStart w:id="385" w:name="Tc_DKtHk-dm_02tl2oaMl-RvA_4_4"/>
      <w:bookmarkStart w:id="386" w:name="Tc_DOWOweYX_Eif4RQCsMP3nw_4_2"/>
      <w:bookmarkStart w:id="387" w:name="Tc_fz0nOCNIY0W72l1z7vrx1A_3_13"/>
      <w:bookmarkStart w:id="388" w:name="Tc_6BefXX8CEEChLE7QkvuY2w_3_10"/>
      <w:bookmarkStart w:id="389" w:name="Tc_kCIsGEEOEkStaeyR6DoCGw_3_7"/>
      <w:bookmarkStart w:id="390" w:name="Tc_3Cq_j31UUkOVfcW5JUvwfQ_3_2"/>
      <w:bookmarkStart w:id="391" w:name="Tc_HOrZhf_jVUSP_olIMWpfig_2_10"/>
      <w:bookmarkStart w:id="392" w:name="Tc_AVFVCd6JP0uWNuLXdvQa0w_2_7"/>
      <w:bookmarkStart w:id="393" w:name="Tc_qFhsTzuqbkWEi-DmDpUlrQ_1_10"/>
      <w:bookmarkStart w:id="394" w:name="_2e7e20a5_a451_4611_9878_0bb7a6619791"/>
      <w:bookmarkStart w:id="395" w:name="Tc_sdNX1GeJCkiUwlaGuXF4CA_28_16"/>
      <w:bookmarkStart w:id="396" w:name="Tc_lxFk0afHp0Gjrt3dvvNVuA_28_13"/>
      <w:bookmarkStart w:id="397" w:name="Tc_F_7iz6FW20Gay_FqCiEftA_28_10"/>
      <w:bookmarkStart w:id="398" w:name="Tc_vzvmW1ky-0-qJ8A87OTMWg_28_7"/>
      <w:bookmarkStart w:id="399" w:name="Tc_DgS1DZaiMEOoKycbNJE0EQ_28_4"/>
      <w:bookmarkStart w:id="400" w:name="Tc_6611-g-4Wkauas4vor8_yw_28_0"/>
      <w:bookmarkStart w:id="401" w:name="Tc_1UVyFVT35k-hFnUnn3bZew_27_14"/>
      <w:bookmarkStart w:id="402" w:name="Tc_OB1kxPv010qFUtYYUb9bIA_27_8"/>
      <w:bookmarkStart w:id="403" w:name="Tc_gXgBf-VFtUeql7dlTh1avA_27_5"/>
      <w:bookmarkStart w:id="404" w:name="Tc_qegJpKFGp0e72dYbTyjFJA_27_2"/>
      <w:bookmarkStart w:id="405" w:name="Tc_fB3gV4QD10aXFn3OXVlTtg_27_0"/>
      <w:bookmarkStart w:id="406" w:name="Tc_1q3-qiBgQUejoeYP9Mk45Q_26_11"/>
      <w:bookmarkStart w:id="407" w:name="Tc_F4IizhfDV0iETLmGMjynPA_26_8"/>
      <w:bookmarkStart w:id="408" w:name="Tc_LyuXeEw_4kmrhMABkiEpjw_26_5"/>
      <w:bookmarkStart w:id="409" w:name="Tc_Z5zyEhtdbEK6nSQQDGHzyQ_26_2"/>
      <w:bookmarkStart w:id="410" w:name="Tc_p4ZY8569VkeWHKjkRooQ2A_26_0"/>
      <w:bookmarkStart w:id="411" w:name="Tc_m7kYCaXXOEW0ciYa0Roykw_25_14"/>
      <w:bookmarkStart w:id="412" w:name="Tc_ClaSqyXMeUaY2hniRCOqZA_25_11"/>
      <w:bookmarkStart w:id="413" w:name="Tc_PsUpRCtdQESkdlwsCsEctw_25_5"/>
      <w:bookmarkStart w:id="414" w:name="Tc_dZuEIUf5BE2v0OqTngIpbw_25_2"/>
      <w:bookmarkStart w:id="415" w:name="Tc_Wl7ruLAQ9ka3g6XziMErwg_25_0"/>
      <w:bookmarkStart w:id="416" w:name="Tc_0giklYA3LUGZfRg5App1Cg_24_17"/>
      <w:bookmarkStart w:id="417" w:name="Tc_lJLcG6Mm0EOo0ZRCaBW7aA_24_14"/>
      <w:bookmarkStart w:id="418" w:name="Tc_Rv-NfrYx60K2DDt-TYslaw_24_11"/>
      <w:bookmarkStart w:id="419" w:name="Tc_DAuVsYOml0idz4WNq8gt3Q_24_8"/>
      <w:bookmarkStart w:id="420" w:name="Tc_XNNnsCYsRUCZdBoSZA0czQ_24_5"/>
      <w:bookmarkStart w:id="421" w:name="Tc_Yk8jz3bR0U6uBTiN6MFwPw_24_0"/>
      <w:bookmarkStart w:id="422" w:name="Tc_SpYFtvwpaUix1pBFp1LwtA_23_14"/>
      <w:bookmarkStart w:id="423" w:name="Tc_0UmU2RBGFEi1rbbADTYs9w_23_11"/>
      <w:bookmarkStart w:id="424" w:name="Tc_IJ3BM2yrAEKK76P4tZZkMg_23_5"/>
      <w:bookmarkStart w:id="425" w:name="Tc_0fz1xQy55Ey8PJD6e2NAsw_23_0"/>
      <w:bookmarkStart w:id="426" w:name="Tc_Un35tLO4-Emw_DIRfy9M3g_22_14"/>
      <w:bookmarkStart w:id="427" w:name="Tc_yZjUTknk1kqnXh6YetBE4g_22_11"/>
      <w:bookmarkStart w:id="428" w:name="Tc_YsReskT0FEqia9pZeZLsFw_22_0"/>
      <w:bookmarkStart w:id="429" w:name="Tc_tK63kriiGU2--xePGyGP6w_21_14"/>
      <w:bookmarkStart w:id="430" w:name="Tc_6sAS6K-wSU-FKMe0RFtf8w_21_11"/>
      <w:bookmarkStart w:id="431" w:name="Tc_Pa96A7esa0G1VTd_GCdkHg_21_5"/>
      <w:bookmarkStart w:id="432" w:name="Tc_rVolQzjf00OnhWC3BGxGZQ_21_0"/>
      <w:bookmarkStart w:id="433" w:name="Tc_cDmnWrx2Z0W-glhmzBSE-Q_20_16"/>
      <w:bookmarkStart w:id="434" w:name="Tc_6L9vahljAUiJjIMqqFa0iQ_20_13"/>
      <w:bookmarkStart w:id="435" w:name="Tc_SNig5c7TgEqb_Kk57YJJ5Q_20_10"/>
      <w:bookmarkStart w:id="436" w:name="Tc_DcPP2ffY80WRXA-tCCGnWQ_20_7"/>
      <w:bookmarkStart w:id="437" w:name="Tc_MtXL7u8VZkSofFFbWnfKOQ_20_4"/>
      <w:bookmarkStart w:id="438" w:name="Tc_JFNvyo2XHEaMjAEVxNiNbg_20_0"/>
      <w:bookmarkStart w:id="439" w:name="Tc_7TP0kleoXkunOdydhNMhEQ_19_14"/>
      <w:bookmarkStart w:id="440" w:name="Tc_bgZcj54bO0CEuImVG2KB-w_19_8"/>
      <w:bookmarkStart w:id="441" w:name="Tc_jkkUFT71wEGHpFOYuYDvdA_19_5"/>
      <w:bookmarkStart w:id="442" w:name="Tc_uncoiUG3lUaS1y1iyqNXkQ_19_2"/>
      <w:bookmarkStart w:id="443" w:name="Tc_BUTCAwCsD0q7Yri-5r7KTg_19_0"/>
      <w:bookmarkStart w:id="444" w:name="Tc_tiYDbpCva0mvt2rxgyAkCg_18_11"/>
      <w:bookmarkStart w:id="445" w:name="Tc_1T0y_oBRCE6pwR56cvhdtw_18_8"/>
      <w:bookmarkStart w:id="446" w:name="Tc_iI1O4sFQIEi-s-5E7Y-5Bw_18_5"/>
      <w:bookmarkStart w:id="447" w:name="Tc_RfYwOSgmLUSfmIvdX1mY3g_18_2"/>
      <w:bookmarkStart w:id="448" w:name="Tc_GfblKQLUGUOCSl0sxlZScw_18_0"/>
      <w:bookmarkStart w:id="449" w:name="Tc_KppfUMcKGEydA-ib1mZWbA_17_14"/>
      <w:bookmarkStart w:id="450" w:name="Tc_bvLE5U7R-k6qBAZvcaW9Ew_17_11"/>
      <w:bookmarkStart w:id="451" w:name="Tc_wVvTDx0UWkSNVowXc3WPaA_17_5"/>
      <w:bookmarkStart w:id="452" w:name="Tc_ENys7BNcsE2HMWaaiCdcnw_17_2"/>
      <w:bookmarkStart w:id="453" w:name="Tc_FjN3Neo4KkeWwDJr9Ofe_Q_17_0"/>
      <w:bookmarkStart w:id="454" w:name="Tc_lfGbdeBtoEaKWqMkTceZeQ_16_14"/>
      <w:bookmarkStart w:id="455" w:name="Tc_Oc7j_IhUW0uvQePeq8ZWvA_16_11"/>
      <w:bookmarkStart w:id="456" w:name="Tc_ztFyZu74KEK63cxUKY86Ww_16_0"/>
      <w:bookmarkStart w:id="457" w:name="Tc_BUKXnljR4Uao2VIHBXDmUg_15_17"/>
      <w:bookmarkStart w:id="458" w:name="Tc_cFaRLb8sEUKcDOPY3bPzBA_15_14"/>
      <w:bookmarkStart w:id="459" w:name="Tc_tf3HfUYkZ0KXF1hVHvydLw_15_11"/>
      <w:bookmarkStart w:id="460" w:name="Tc_N6ZjJO0NK0CQzY2JOtStAA_15_8"/>
      <w:bookmarkStart w:id="461" w:name="Tc_gMEDPWsQfEm7DFVfD3v5MA_15_5"/>
      <w:bookmarkStart w:id="462" w:name="Tc_Qh2HzCdY9UqsOawl32C2yA_15_0"/>
      <w:bookmarkStart w:id="463" w:name="Tc_03xAgRiJzk2GBHccxJY9PA_14_14"/>
      <w:bookmarkStart w:id="464" w:name="Tc_K-UnBjeoM0-xlKxWtbSkaQ_14_11"/>
      <w:bookmarkStart w:id="465" w:name="Tc_E6VjFCPckEizr6urtrlVvQ_14_5"/>
      <w:bookmarkStart w:id="466" w:name="Tc_7aBSIJbP3kOBz-qnG2PQDw_14_0"/>
      <w:bookmarkStart w:id="467" w:name="Tc_SfERxnKxLkeZ-j_KsLni3Q_13_14"/>
      <w:bookmarkStart w:id="468" w:name="Tc_y3iPguL9okmrWOpuHZzweg_13_11"/>
      <w:bookmarkStart w:id="469" w:name="Tc_pct-Zkl4qE2-kBjUuprpOg_13_0"/>
      <w:bookmarkStart w:id="470" w:name="Tc_k7gb_Q8xJkePX1QtX5IXcg_12_16"/>
      <w:bookmarkStart w:id="471" w:name="Tc_gDYlWU1GL02D5_FmzoUPyg_12_13"/>
      <w:bookmarkStart w:id="472" w:name="Tc_pC-DcNN8cEede9Ae63K6iw_12_10"/>
      <w:bookmarkStart w:id="473" w:name="Tc_M0zKVqEbVEaI_QdaLqVZgA_12_7"/>
      <w:bookmarkStart w:id="474" w:name="Tc_TCLGPQTSCkaoxoFOtl1WMA_12_4"/>
      <w:bookmarkStart w:id="475" w:name="Tc__xd3U6hli0OBroIXWLs-lg_12_0"/>
      <w:bookmarkStart w:id="476" w:name="Tc_jHnzp3HClkCutuRY3Ljo0A_11_14"/>
      <w:bookmarkStart w:id="477" w:name="Tc_8g62BAnTa0Gn9B8Ur-5hXg_11_8"/>
      <w:bookmarkStart w:id="478" w:name="Tc_azDzIBkmok26HY340bUc4Q_11_5"/>
      <w:bookmarkStart w:id="479" w:name="Tc_Yd9tIvFN-k2XZnqCnRUkfQ_11_2"/>
      <w:bookmarkStart w:id="480" w:name="Tc_znaMdctYfEm-mlDypjYq1g_11_0"/>
      <w:bookmarkStart w:id="481" w:name="Tc_nQsvSUSyvESEAaghKBJ1aA_10_11"/>
      <w:bookmarkStart w:id="482" w:name="Tc_veNIoCXJkEGn4cM-s1JZLA_10_8"/>
      <w:bookmarkStart w:id="483" w:name="Tc_sYfxwCudY0ml8-AUp2B26w_10_5"/>
      <w:bookmarkStart w:id="484" w:name="Tc_RDULCzdTBEOVbvYrZSln5A_10_2"/>
      <w:bookmarkStart w:id="485" w:name="Tc_b8WhpN62EkWLpH2E8hOXlw_10_0"/>
      <w:bookmarkStart w:id="486" w:name="Tc_0y2UZ1ivL0Kzy1lNvNorGw_9_14"/>
      <w:bookmarkStart w:id="487" w:name="Tc_yzbJfDYdpUGC8_ZV-6PiOA_9_11"/>
      <w:bookmarkStart w:id="488" w:name="Tc_4r6KIkhOiUWFinumpfgGWg_9_5"/>
      <w:bookmarkStart w:id="489" w:name="Tc_EjmxtaytZkeZVSNPCom6GQ_9_2"/>
      <w:bookmarkStart w:id="490" w:name="Tc_cJDGVA1fx0WCS6E6Iw70Ow_9_0"/>
      <w:bookmarkStart w:id="491" w:name="Tc_0vJaapyDzkCnceDDeALBmA_8_17"/>
      <w:bookmarkStart w:id="492" w:name="Tc_gZXIZpZGfUCRbpyYvLkbOQ_8_14"/>
      <w:bookmarkStart w:id="493" w:name="Tc_ckv4kwGWxEigef3caoxIrw_8_11"/>
      <w:bookmarkStart w:id="494" w:name="Tc_Np1dPdejDUS32kiA17Qqfg_8_0"/>
      <w:bookmarkStart w:id="495" w:name="Tc_AjNfA38pjU-2aXILJ2zzhA_7_14"/>
      <w:bookmarkStart w:id="496" w:name="Tc_0wYToRkb6kSneBBxyx0oXQ_7_11"/>
      <w:bookmarkStart w:id="497" w:name="Tc_Ppi-YdDFiUaML7e0lTlMUQ_7_0"/>
      <w:bookmarkStart w:id="498" w:name="Tc_ik22e1Nco0SvgiRIwoe0RA_6_14"/>
      <w:bookmarkStart w:id="499" w:name="Tc_vL51tZudF0aDFwCjB7pdtA_6_11"/>
      <w:bookmarkStart w:id="500" w:name="Tc_xgAZwfBrkEWKTJQT-EThvA_6_5"/>
      <w:bookmarkStart w:id="501" w:name="Tc_2-ZdmM9WIEarJjqf7Wkjqw_6_0"/>
      <w:bookmarkStart w:id="502" w:name="Tc_L6mbyorrP0Gv1Hs90RpfGQ_5_16"/>
      <w:bookmarkStart w:id="503" w:name="Tc_CBCaMCEukkKtMugpK4Maww_5_13"/>
      <w:bookmarkStart w:id="504" w:name="Tc_v7qAjPuRaUyvIEblUYnlOQ_5_10"/>
      <w:bookmarkStart w:id="505" w:name="Tc_kzull0MAGEGW07yEsGDGWw_5_7"/>
      <w:bookmarkStart w:id="506" w:name="Tc_t8E_5SFtK0quaPB_VC9wNw_5_4"/>
      <w:bookmarkStart w:id="507" w:name="Tc_AxUiZPhxcUGIGKxSaWpRXQ_5_0"/>
      <w:bookmarkStart w:id="508" w:name="Tc_R7V9kOxoekWLjoKV6pec4A_4_16"/>
      <w:bookmarkStart w:id="509" w:name="Tc_taU2gxWpXk6JQpFhbC5omQ_4_13"/>
      <w:bookmarkStart w:id="510" w:name="Tc_InwqskQ3k0iDRajEy1Q15w_4_10"/>
      <w:bookmarkStart w:id="511" w:name="Tc_4K2mrQ-X8UWREFm89u-zSg_4_7"/>
      <w:bookmarkStart w:id="512" w:name="Tc_DKtHk-dm_02tl2oaMl-RvA_4_4"/>
      <w:bookmarkStart w:id="513" w:name="Tc_DOWOweYX_Eif4RQCsMP3nw_4_2"/>
      <w:bookmarkStart w:id="514" w:name="Tc_fz0nOCNIY0W72l1z7vrx1A_3_13"/>
      <w:bookmarkStart w:id="515" w:name="Tc_6BefXX8CEEChLE7QkvuY2w_3_10"/>
      <w:bookmarkStart w:id="516" w:name="Tc_kCIsGEEOEkStaeyR6DoCGw_3_7"/>
      <w:bookmarkStart w:id="517" w:name="Tc_3Cq_j31UUkOVfcW5JUvwfQ_3_2"/>
      <w:bookmarkStart w:id="518" w:name="Tc_HOrZhf_jVUSP_olIMWpfig_2_10"/>
      <w:bookmarkStart w:id="519" w:name="Tc_AVFVCd6JP0uWNuLXdvQa0w_2_7"/>
      <w:bookmarkStart w:id="520" w:name="Tc_qFhsTzuqbkWEi-DmDpUlrQ_1_10"/>
      <w:bookmarkStart w:id="521" w:name="_2e7e20a5_a451_4611_9878_0bb7a6619791"/>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tbl>
      <w:tblPr>
        <w:tblW w:w="10205" w:type="dxa"/>
        <w:jc w:val="left"/>
        <w:tblInd w:w="0" w:type="dxa"/>
        <w:tblLayout w:type="fixed"/>
        <w:tblCellMar>
          <w:top w:w="0" w:type="dxa"/>
          <w:left w:w="0" w:type="dxa"/>
          <w:bottom w:w="0" w:type="dxa"/>
          <w:right w:w="0" w:type="dxa"/>
        </w:tblCellMar>
      </w:tblPr>
      <w:tblGrid>
        <w:gridCol w:w="2416"/>
        <w:gridCol w:w="346"/>
        <w:gridCol w:w="685"/>
        <w:gridCol w:w="346"/>
        <w:gridCol w:w="230"/>
        <w:gridCol w:w="462"/>
        <w:gridCol w:w="346"/>
        <w:gridCol w:w="211"/>
        <w:gridCol w:w="790"/>
        <w:gridCol w:w="346"/>
        <w:gridCol w:w="370"/>
        <w:gridCol w:w="846"/>
        <w:gridCol w:w="346"/>
        <w:gridCol w:w="211"/>
        <w:gridCol w:w="790"/>
        <w:gridCol w:w="346"/>
        <w:gridCol w:w="220"/>
        <w:gridCol w:w="898"/>
      </w:tblGrid>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4975" cy="175260"/>
                      <wp:effectExtent l="0" t="0" r="0" b="0"/>
                      <wp:wrapNone/>
                      <wp:docPr id="27" name="Frame2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1650" cy="175260"/>
                      <wp:effectExtent l="0" t="0" r="0" b="0"/>
                      <wp:wrapNone/>
                      <wp:docPr id="33" name="Frame3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4950" cy="175260"/>
                      <wp:effectExtent l="0" t="0" r="0" b="0"/>
                      <wp:wrapNone/>
                      <wp:docPr id="35" name="Frame3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6" name="Frame3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1650" cy="175260"/>
                      <wp:effectExtent l="0" t="0" r="0" b="0"/>
                      <wp:wrapNone/>
                      <wp:docPr id="39" name="Frame3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9700" cy="175260"/>
                      <wp:effectExtent l="0" t="0" r="0" b="0"/>
                      <wp:wrapNone/>
                      <wp:docPr id="41" name="Frame4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0230" cy="175260"/>
                      <wp:effectExtent l="0" t="0" r="0" b="0"/>
                      <wp:wrapNone/>
                      <wp:docPr id="42" name="Frame4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pPr>
            <w:r>
              <w:t>​</w:t>
            </w:r>
          </w:p>
        </w:tc>
      </w:tr>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pPr>
            <w:r>
              <w:t>​</w:t>
            </w:r>
          </w:p>
        </w:tc>
        <w:tc>
          <w:tcPr>
            <w:tcW w:w="1001"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center"/>
            </w:pPr>
            <w:r>
              <w:t>​</w:t>
            </w:r>
          </w:p>
        </w:tc>
      </w:tr>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pPr>
            <w: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pPr>
            <w: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center"/>
            </w:pPr>
            <w:r>
              <w:t>​</w:t>
            </w:r>
          </w:p>
        </w:tc>
      </w:tr>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pPr>
            <w: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pPr>
            <w: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pPr>
            <w: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pPr>
            <w: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2, 2026</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14,762 </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215,269 </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89,704 </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304,851 </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pPr>
            <w: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pPr>
            <w:r>
              <w:t>—</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pPr>
            <w:r>
              <w:t> </w:t>
            </w:r>
          </w:p>
        </w:tc>
        <w:tc>
          <w:tcPr>
            <w:tcW w:w="68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pPr>
            <w: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3, 2026</w:t>
            </w:r>
          </w:p>
        </w:tc>
        <w:tc>
          <w:tcPr>
            <w:tcW w:w="346" w:type="dxa"/>
            <w:tcBorders/>
            <w:vAlign w:val="center"/>
          </w:tcPr>
          <w:p>
            <w:pPr>
              <w:pStyle w:val="TableContents"/>
              <w:bidi w:val="0"/>
              <w:spacing w:before="0" w:after="0"/>
              <w:ind w:left="0" w:right="0" w:hanging="0"/>
              <w:jc w:val="left"/>
            </w:pPr>
            <w:r>
              <w:t> </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14,966 </w:t>
            </w:r>
          </w:p>
        </w:tc>
        <w:tc>
          <w:tcPr>
            <w:tcW w:w="346" w:type="dxa"/>
            <w:tcBorders/>
            <w:vAlign w:val="center"/>
          </w:tcPr>
          <w:p>
            <w:pPr>
              <w:pStyle w:val="TableContents"/>
              <w:bidi w:val="0"/>
              <w:spacing w:before="0" w:after="0"/>
              <w:ind w:left="0" w:right="0" w:hanging="0"/>
              <w:jc w:val="left"/>
            </w:pPr>
            <w: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212,112 </w:t>
            </w:r>
          </w:p>
        </w:tc>
        <w:tc>
          <w:tcPr>
            <w:tcW w:w="34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98,234 </w:t>
            </w:r>
          </w:p>
        </w:tc>
        <w:tc>
          <w:tcPr>
            <w:tcW w:w="346" w:type="dxa"/>
            <w:tcBorders/>
            <w:vAlign w:val="center"/>
          </w:tcPr>
          <w:p>
            <w:pPr>
              <w:pStyle w:val="TableContents"/>
              <w:bidi w:val="0"/>
              <w:spacing w:before="0" w:after="0"/>
              <w:ind w:left="0" w:right="0" w:hanging="0"/>
              <w:jc w:val="left"/>
            </w:pPr>
            <w: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310,345 </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pPr>
            <w: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pPr>
            <w: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pPr>
            <w: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pPr>
            <w:r>
              <w:t>—</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9,571</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9,572</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pPr>
            <w:r>
              <w:t> </w:t>
            </w:r>
          </w:p>
        </w:tc>
        <w:tc>
          <w:tcPr>
            <w:tcW w:w="68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pPr>
            <w: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 2026</w:t>
            </w:r>
          </w:p>
        </w:tc>
        <w:tc>
          <w:tcPr>
            <w:tcW w:w="346" w:type="dxa"/>
            <w:tcBorders/>
            <w:vAlign w:val="center"/>
          </w:tcPr>
          <w:p>
            <w:pPr>
              <w:pStyle w:val="TableContents"/>
              <w:bidi w:val="0"/>
              <w:spacing w:before="0" w:after="0"/>
              <w:ind w:left="0" w:right="0" w:hanging="0"/>
              <w:jc w:val="left"/>
            </w:pPr>
            <w:r>
              <w:t> </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15,197 </w:t>
            </w:r>
          </w:p>
        </w:tc>
        <w:tc>
          <w:tcPr>
            <w:tcW w:w="346" w:type="dxa"/>
            <w:tcBorders/>
            <w:vAlign w:val="center"/>
          </w:tcPr>
          <w:p>
            <w:pPr>
              <w:pStyle w:val="TableContents"/>
              <w:bidi w:val="0"/>
              <w:spacing w:before="0" w:after="0"/>
              <w:ind w:left="0" w:right="0" w:hanging="0"/>
              <w:jc w:val="left"/>
            </w:pPr>
            <w: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227,805 </w:t>
            </w:r>
          </w:p>
        </w:tc>
        <w:tc>
          <w:tcPr>
            <w:tcW w:w="34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122,579 </w:t>
            </w:r>
          </w:p>
        </w:tc>
        <w:tc>
          <w:tcPr>
            <w:tcW w:w="346" w:type="dxa"/>
            <w:tcBorders/>
            <w:vAlign w:val="center"/>
          </w:tcPr>
          <w:p>
            <w:pPr>
              <w:pStyle w:val="TableContents"/>
              <w:bidi w:val="0"/>
              <w:spacing w:before="0" w:after="0"/>
              <w:ind w:left="0" w:right="0" w:hanging="0"/>
              <w:jc w:val="left"/>
            </w:pPr>
            <w: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350,465 </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vAlign w:val="center"/>
          </w:tcPr>
          <w:p>
            <w:pPr>
              <w:pStyle w:val="TableContents"/>
              <w:bidi w:val="0"/>
              <w:spacing w:before="0" w:after="0"/>
              <w:ind w:left="0" w:right="0" w:hanging="0"/>
              <w:jc w:val="left"/>
            </w:pPr>
            <w: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pPr>
            <w:r>
              <w:t>—</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pPr>
            <w:r>
              <w:t> </w:t>
            </w:r>
          </w:p>
        </w:tc>
        <w:tc>
          <w:tcPr>
            <w:tcW w:w="68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0"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pPr>
            <w:r>
              <w:t> </w:t>
            </w:r>
          </w:p>
        </w:tc>
        <w:tc>
          <w:tcPr>
            <w:tcW w:w="68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pPr>
            <w: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October 2, 2026</w:t>
            </w:r>
          </w:p>
        </w:tc>
        <w:tc>
          <w:tcPr>
            <w:tcW w:w="346" w:type="dxa"/>
            <w:tcBorders/>
            <w:vAlign w:val="center"/>
          </w:tcPr>
          <w:p>
            <w:pPr>
              <w:pStyle w:val="TableContents"/>
              <w:bidi w:val="0"/>
              <w:spacing w:before="0" w:after="0"/>
              <w:ind w:left="0" w:right="0" w:hanging="0"/>
              <w:jc w:val="left"/>
            </w:pPr>
            <w:r>
              <w:t> </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15,330 </w:t>
            </w:r>
          </w:p>
        </w:tc>
        <w:tc>
          <w:tcPr>
            <w:tcW w:w="346" w:type="dxa"/>
            <w:tcBorders/>
            <w:vAlign w:val="center"/>
          </w:tcPr>
          <w:p>
            <w:pPr>
              <w:pStyle w:val="TableContents"/>
              <w:bidi w:val="0"/>
              <w:spacing w:before="0" w:after="0"/>
              <w:ind w:left="0" w:right="0" w:hanging="0"/>
              <w:jc w:val="left"/>
            </w:pPr>
            <w: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236,502 </w:t>
            </w:r>
          </w:p>
        </w:tc>
        <w:tc>
          <w:tcPr>
            <w:tcW w:w="34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134,440 </w:t>
            </w:r>
          </w:p>
        </w:tc>
        <w:tc>
          <w:tcPr>
            <w:tcW w:w="346" w:type="dxa"/>
            <w:tcBorders/>
            <w:vAlign w:val="center"/>
          </w:tcPr>
          <w:p>
            <w:pPr>
              <w:pStyle w:val="TableContents"/>
              <w:bidi w:val="0"/>
              <w:spacing w:before="0" w:after="0"/>
              <w:ind w:left="0" w:right="0" w:hanging="0"/>
              <w:jc w:val="left"/>
            </w:pPr>
            <w: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371,095 </w:t>
            </w:r>
          </w:p>
        </w:tc>
      </w:tr>
    </w:tbl>
    <w:p>
      <w:pPr>
        <w:pStyle w:val="TextBody"/>
        <w:bidi w:val="0"/>
        <w:spacing w:before="0" w:after="0"/>
        <w:ind w:left="0" w:right="0" w:hanging="0"/>
        <w:jc w:val="center"/>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522" w:name="Tc_rPRDgQmtpkO-wSaZXxH-RQ_29_16"/>
      <w:bookmarkStart w:id="523" w:name="Tc_grc-KXNkgkO8jUPcI5UT7w_29_13"/>
      <w:bookmarkStart w:id="524" w:name="Tc_YRNaE4VUUkK8GmsW-A85LA_29_10"/>
      <w:bookmarkStart w:id="525" w:name="Tc__ZKxnYWgkUCzJuTJTnGwlQ_29_7"/>
      <w:bookmarkStart w:id="526" w:name="Tc_226OLpES6kGfpSnsA10KnQ_29_4"/>
      <w:bookmarkStart w:id="527" w:name="Tc_PkerikcvX0GtfbMlLuQCOQ_29_0"/>
      <w:bookmarkStart w:id="528" w:name="Tc_YWOyvPdvXkW0DeAyz-fCKA_28_14"/>
      <w:bookmarkStart w:id="529" w:name="Tc_j6CAh059HUanIuMjqQPtxA_28_8"/>
      <w:bookmarkStart w:id="530" w:name="Tc_uckRJM508U2VLywp9S_qUg_28_5"/>
      <w:bookmarkStart w:id="531" w:name="Tc_ZyN_XsJIhEGi4aBkJ1nRFg_28_2"/>
      <w:bookmarkStart w:id="532" w:name="Tc_J--BxCy5n0CYSuebHfz3AQ_28_0"/>
      <w:bookmarkStart w:id="533" w:name="Tc_iTjNgTR6FkWgdffk1rWQ7Q_27_11"/>
      <w:bookmarkStart w:id="534" w:name="Tc_qcxo1xOUvUyv92Os8m-TBw_27_8"/>
      <w:bookmarkStart w:id="535" w:name="Tc_gpoKDTk8YkCbjTXCxvbX6g_27_5"/>
      <w:bookmarkStart w:id="536" w:name="Tc_Fy68dCxkq0euaTdqNnAa9w_27_2"/>
      <w:bookmarkStart w:id="537" w:name="Tc_IAiN1qZgaUuO9uXEMFScnA_27_0"/>
      <w:bookmarkStart w:id="538" w:name="Tc_Q9cqa8auQEiUo7HvnRTOAg_26_14"/>
      <w:bookmarkStart w:id="539" w:name="Tc_Vh5qB7LeN0-m2oGPFHJn8w_26_11"/>
      <w:bookmarkStart w:id="540" w:name="Tc_YxodHNh630yRcij8y-Sihw_26_5"/>
      <w:bookmarkStart w:id="541" w:name="Tc_apCquGp28kuDaI-CawGW8w_26_2"/>
      <w:bookmarkStart w:id="542" w:name="Tc_ITdltfQ9T0iMT3jTYOaIvQ_26_0"/>
      <w:bookmarkStart w:id="543" w:name="Tc_OHHtS2mp70GzckgIfMHVow_25_17"/>
      <w:bookmarkStart w:id="544" w:name="Tc_-ewX89v-TkOQYWtQZeRA2g_25_14"/>
      <w:bookmarkStart w:id="545" w:name="Tc_sY9FlilYP0-nzzcWT0I7wA_25_11"/>
      <w:bookmarkStart w:id="546" w:name="Tc_y-tncV66A0Wc1Lw1ISOHMQ_25_0"/>
      <w:bookmarkStart w:id="547" w:name="Tc_jgaz_qzuVE6jvoGIxY9f_g_24_14"/>
      <w:bookmarkStart w:id="548" w:name="Tc_JkxgXMM9EEm-GGB1T3Q4Yw_24_11"/>
      <w:bookmarkStart w:id="549" w:name="Tc_QGlh3D3gEEOH07HqoC1rUA_24_5"/>
      <w:bookmarkStart w:id="550" w:name="Tc_N0OFlKMuuUOeK3X9auB5tA_24_0"/>
      <w:bookmarkStart w:id="551" w:name="Tc_T8otQEy4BU6bo8I9xf7n_g_23_14"/>
      <w:bookmarkStart w:id="552" w:name="Tc_E6YPQrWRaEid6nYcWma2ww_23_11"/>
      <w:bookmarkStart w:id="553" w:name="Tc_LapTg8oZd06sef2k53c3Ig_23_5"/>
      <w:bookmarkStart w:id="554" w:name="Tc_oC9mgID9T02Wdv_Ym2FPqg_23_0"/>
      <w:bookmarkStart w:id="555" w:name="Tc_0Lqwntb7UEqVyY_oI9LtzA_22_14"/>
      <w:bookmarkStart w:id="556" w:name="Tc_BaCh6YojHUiQ32Ngp7ATyw_22_11"/>
      <w:bookmarkStart w:id="557" w:name="Tc_fIWji5dj-USveO6SmweVlg_22_0"/>
      <w:bookmarkStart w:id="558" w:name="Tc_8EaO73Q_9kO5oEzM53pM9w_21_16"/>
      <w:bookmarkStart w:id="559" w:name="Tc_EHcibgLMhUyb734IXt5b8A_21_13"/>
      <w:bookmarkStart w:id="560" w:name="Tc_WLrvcJtAeEiASXk2dj8Waw_21_10"/>
      <w:bookmarkStart w:id="561" w:name="Tc_8QtJUmmPN06Dtvaq0neQTA_21_7"/>
      <w:bookmarkStart w:id="562" w:name="Tc_vlzuLtH1N0Cmbc-TDAp1Lg_21_4"/>
      <w:bookmarkStart w:id="563" w:name="Tc_ACF03GK2802I43nq8j0Ycg_21_0"/>
      <w:bookmarkStart w:id="564" w:name="Tc_7jczup15PkaAF_ilK-YEaw_20_14"/>
      <w:bookmarkStart w:id="565" w:name="Tc_xgXX7a8oiUOLLuhm3Di8ew_20_8"/>
      <w:bookmarkStart w:id="566" w:name="Tc_w3uvodZ-hE-fgv8cAVQVSw_20_5"/>
      <w:bookmarkStart w:id="567" w:name="Tc_fYRq_Y6-TUuqU94zjussgA_20_2"/>
      <w:bookmarkStart w:id="568" w:name="Tc_7jgcEbPsm0i9gf0fQysl9Q_20_0"/>
      <w:bookmarkStart w:id="569" w:name="Tc_4YMLe5Ykpk65krnCkAlvyQ_19_11"/>
      <w:bookmarkStart w:id="570" w:name="Tc_SqFb4RRMF0aVMY6slDbGQA_19_8"/>
      <w:bookmarkStart w:id="571" w:name="Tc_KuitVw1AvkKheMwgcG2v3Q_19_5"/>
      <w:bookmarkStart w:id="572" w:name="Tc_ZM-l7DN8EEqB9IavXqN77Q_19_2"/>
      <w:bookmarkStart w:id="573" w:name="Tc_4MqOSpQIEE6n1kn6vSZVHg_19_0"/>
      <w:bookmarkStart w:id="574" w:name="Tc_RAlpfa6GE02PcHFsqXe6tw_18_14"/>
      <w:bookmarkStart w:id="575" w:name="Tc_p2jzt8UDxEmaCnWkjywkWw_18_11"/>
      <w:bookmarkStart w:id="576" w:name="Tc_O_e_CpHqD0WLw6_1rmZktA_18_5"/>
      <w:bookmarkStart w:id="577" w:name="Tc_E8B3SqYDBUKYHsDyK8qkTA_18_2"/>
      <w:bookmarkStart w:id="578" w:name="Tc_TEVW2LJbRkeW1gCxpGd8-w_18_0"/>
      <w:bookmarkStart w:id="579" w:name="Tc_gEX2D-2yx0u7dIUQw-2scA_17_17"/>
      <w:bookmarkStart w:id="580" w:name="Tc_sFFmyjzmTkepRVidZK6sjQ_17_14"/>
      <w:bookmarkStart w:id="581" w:name="Tc_Kavofpkv7USNgJfRfxZLWA_17_11"/>
      <w:bookmarkStart w:id="582" w:name="Tc_t5RWsrDpUEuxuvLOEg1OZA_17_8"/>
      <w:bookmarkStart w:id="583" w:name="Tc_rCvL7HaVVUCz3FNfbPWmOQ_17_5"/>
      <w:bookmarkStart w:id="584" w:name="Tc_Hw3cw_oTT0aDUDhPczzX2A_17_0"/>
      <w:bookmarkStart w:id="585" w:name="Tc_fXDPHOY2TEKfJV2HFT1a9A_16_14"/>
      <w:bookmarkStart w:id="586" w:name="Tc__QUpKDlorUSXJnpl8J1tHw_16_11"/>
      <w:bookmarkStart w:id="587" w:name="Tc_wBGWRP_naEyqwc7gOurLog_16_5"/>
      <w:bookmarkStart w:id="588" w:name="Tc_onQljLdaXUKhW0yPVwAEHg_16_0"/>
      <w:bookmarkStart w:id="589" w:name="Tc_rzzbWRi6uU-sjFEe2WJQOA_15_14"/>
      <w:bookmarkStart w:id="590" w:name="Tc_DikrfD5klUqKF7K727VmyA_15_11"/>
      <w:bookmarkStart w:id="591" w:name="Tc_n0i6hwEELkCNO-tw6sA4JQ_15_0"/>
      <w:bookmarkStart w:id="592" w:name="Tc_3IGJyTpjv0mT71sTD7Faqw_14_16"/>
      <w:bookmarkStart w:id="593" w:name="Tc_QlOdLo4FbEupJr6JrVwtsw_14_13"/>
      <w:bookmarkStart w:id="594" w:name="Tc_wZKfHc7EOkuKdO7iTtZOew_14_10"/>
      <w:bookmarkStart w:id="595" w:name="Tc_IHAd58Q8akGr9GWK7ovxMw_14_7"/>
      <w:bookmarkStart w:id="596" w:name="Tc_T-YfoRlMg0yn9UXadWbzgA_14_4"/>
      <w:bookmarkStart w:id="597" w:name="Tc_qqo1_9k1VkaxQWhwn6e9OQ_14_0"/>
      <w:bookmarkStart w:id="598" w:name="Tc_piZyL72EzketNSb4h09SCw_13_14"/>
      <w:bookmarkStart w:id="599" w:name="Tc_hSnHGjrsNkWYkugzv5-xsw_13_8"/>
      <w:bookmarkStart w:id="600" w:name="Tc_J3Rmo0I5-ku9bMGUvd2EXQ_13_5"/>
      <w:bookmarkStart w:id="601" w:name="Tc_3GHmN73W3kC0oBcPGN9D1g_13_2"/>
      <w:bookmarkStart w:id="602" w:name="Tc_4TFS18wIoUqbE5OIff7zXQ_13_0"/>
      <w:bookmarkStart w:id="603" w:name="Tc_Y33EgkIw7keJLE10x7gYPg_12_11"/>
      <w:bookmarkStart w:id="604" w:name="Tc_yky8HWoevUKsoE_UrFc8zw_12_8"/>
      <w:bookmarkStart w:id="605" w:name="Tc_j4kKhmtLPEOhnmHuTAK4AQ_12_5"/>
      <w:bookmarkStart w:id="606" w:name="Tc_b2DNW_po40STijCLBp7wwg_12_2"/>
      <w:bookmarkStart w:id="607" w:name="Tc_OVE__zLuRkyX4vXr_hQKCQ_12_0"/>
      <w:bookmarkStart w:id="608" w:name="Tc_2Xke2-NGCUecWEAXXCD-wA_11_14"/>
      <w:bookmarkStart w:id="609" w:name="Tc_Y1TRpPXkjUaRaxlDFRNFbQ_11_11"/>
      <w:bookmarkStart w:id="610" w:name="Tc_wWPpTqHZ0EuNGzghA_jcJQ_11_5"/>
      <w:bookmarkStart w:id="611" w:name="Tc_z0gJm89op0OcFxZoFs1AYQ_11_2"/>
      <w:bookmarkStart w:id="612" w:name="Tc_UIpg3ZB2a0ivimzB3sCGwQ_11_0"/>
      <w:bookmarkStart w:id="613" w:name="Tc_sH1IvdYa0keNlOijScEctA_10_14"/>
      <w:bookmarkStart w:id="614" w:name="Tc_MicC1kDjgUKpX9p11Y80HQ_10_11"/>
      <w:bookmarkStart w:id="615" w:name="Tc_uR2ke-GAkEGsdGUMxGsaNw_10_0"/>
      <w:bookmarkStart w:id="616" w:name="Tc_CKL4Mdlx7U-qn3VWo1hyIQ_9_17"/>
      <w:bookmarkStart w:id="617" w:name="Tc_l0wLltoiAUmQc8cwk7FTuQ_9_14"/>
      <w:bookmarkStart w:id="618" w:name="Tc_ZF6Dj4-yHkmFLIBVapvwEQ_9_11"/>
      <w:bookmarkStart w:id="619" w:name="Tc_5MihFso8N0OOiUMClInHPg_9_0"/>
      <w:bookmarkStart w:id="620" w:name="Tc_BcL54rU80kG2lRohrswQWw_8_14"/>
      <w:bookmarkStart w:id="621" w:name="Tc_WlWgy85lX0qqmK5Ko_kgQA_8_11"/>
      <w:bookmarkStart w:id="622" w:name="Tc_wMPL0S-LHEO-aMFCW6ispg_8_0"/>
      <w:bookmarkStart w:id="623" w:name="Tc_yNTKDw8QqEyxey4a9gCIkw_7_14"/>
      <w:bookmarkStart w:id="624" w:name="Tc_oN0K91B7XkSFIUH_nUKHmQ_7_11"/>
      <w:bookmarkStart w:id="625" w:name="Tc_C6avlrSO5kWArbP_3dnbug_7_5"/>
      <w:bookmarkStart w:id="626" w:name="Tc_GeXob1nZ20yT6GUcIuRAlQ_7_0"/>
      <w:bookmarkStart w:id="627" w:name="Tc_OYZIZCXZi0mXTGV6lKITSg_6_14"/>
      <w:bookmarkStart w:id="628" w:name="Tc_Rax4aHCmH0-cmxZhNhJD9A_6_11"/>
      <w:bookmarkStart w:id="629" w:name="Tc_05G0T6bltkizp7WtWZRKhA_6_5"/>
      <w:bookmarkStart w:id="630" w:name="Tc_I3HbC8fvekiH2hgdP7N92g_6_0"/>
      <w:bookmarkStart w:id="631" w:name="Tc_i05IYHDkfkeue7-3WEXsUQ_5_16"/>
      <w:bookmarkStart w:id="632" w:name="Tc_U9zebnMa20GNEAq2ZfuwPA_5_13"/>
      <w:bookmarkStart w:id="633" w:name="Tc_FdTOVhkGOUCuvGUBHc1xfQ_5_10"/>
      <w:bookmarkStart w:id="634" w:name="Tc_FItshgXw9Uqc5lu7rZKTkw_5_7"/>
      <w:bookmarkStart w:id="635" w:name="Tc_HgLeYWrcCkyyohGyDKJsxA_5_4"/>
      <w:bookmarkStart w:id="636" w:name="Tc_llGXeegbG0OLiDcTpvW3Zw_5_0"/>
      <w:bookmarkStart w:id="637" w:name="Tc_TXJo7z90PUWHHKXhFR13bA_4_16"/>
      <w:bookmarkStart w:id="638" w:name="Tc_pnAML4ac5kiRR_zKVv-uJg_4_13"/>
      <w:bookmarkStart w:id="639" w:name="Tc_2GoxBmZLLUi-PkAn5X5CDA_4_10"/>
      <w:bookmarkStart w:id="640" w:name="Tc_k6bAVS8mlkiwqgpXuwJctg_4_7"/>
      <w:bookmarkStart w:id="641" w:name="Tc_qCbAZwzxGUW5nWc34etKKg_4_4"/>
      <w:bookmarkStart w:id="642" w:name="Tc_Y2aWuSIKgU283sZbiUT6kQ_4_2"/>
      <w:bookmarkStart w:id="643" w:name="Tc_8Wt3tOX1VkuFeCeo1L3wtw_3_13"/>
      <w:bookmarkStart w:id="644" w:name="Tc__D_n_AhbSUKODxNYFY8Ycg_3_10"/>
      <w:bookmarkStart w:id="645" w:name="Tc_4R5-2_dd8UCREjDTZHLBpg_3_7"/>
      <w:bookmarkStart w:id="646" w:name="Tc_hpXrt-0VA028qgcjzoR_9w_3_2"/>
      <w:bookmarkStart w:id="647" w:name="Tc_44uttKGNkECjUUlRjE4dig_2_10"/>
      <w:bookmarkStart w:id="648" w:name="Tc_kefGP6jqsU-lyHxaG6UjNA_2_7"/>
      <w:bookmarkStart w:id="649" w:name="Tc_uP5CtwjPDU6aD62m9H6Rpw_1_10"/>
      <w:bookmarkStart w:id="650" w:name="_3030306c_de9d_4eb6_bb95_3940f3be0f05"/>
      <w:bookmarkStart w:id="651" w:name="Tc_rPRDgQmtpkO-wSaZXxH-RQ_29_16"/>
      <w:bookmarkStart w:id="652" w:name="Tc_grc-KXNkgkO8jUPcI5UT7w_29_13"/>
      <w:bookmarkStart w:id="653" w:name="Tc_YRNaE4VUUkK8GmsW-A85LA_29_10"/>
      <w:bookmarkStart w:id="654" w:name="Tc__ZKxnYWgkUCzJuTJTnGwlQ_29_7"/>
      <w:bookmarkStart w:id="655" w:name="Tc_226OLpES6kGfpSnsA10KnQ_29_4"/>
      <w:bookmarkStart w:id="656" w:name="Tc_PkerikcvX0GtfbMlLuQCOQ_29_0"/>
      <w:bookmarkStart w:id="657" w:name="Tc_YWOyvPdvXkW0DeAyz-fCKA_28_14"/>
      <w:bookmarkStart w:id="658" w:name="Tc_j6CAh059HUanIuMjqQPtxA_28_8"/>
      <w:bookmarkStart w:id="659" w:name="Tc_uckRJM508U2VLywp9S_qUg_28_5"/>
      <w:bookmarkStart w:id="660" w:name="Tc_ZyN_XsJIhEGi4aBkJ1nRFg_28_2"/>
      <w:bookmarkStart w:id="661" w:name="Tc_J--BxCy5n0CYSuebHfz3AQ_28_0"/>
      <w:bookmarkStart w:id="662" w:name="Tc_iTjNgTR6FkWgdffk1rWQ7Q_27_11"/>
      <w:bookmarkStart w:id="663" w:name="Tc_qcxo1xOUvUyv92Os8m-TBw_27_8"/>
      <w:bookmarkStart w:id="664" w:name="Tc_gpoKDTk8YkCbjTXCxvbX6g_27_5"/>
      <w:bookmarkStart w:id="665" w:name="Tc_Fy68dCxkq0euaTdqNnAa9w_27_2"/>
      <w:bookmarkStart w:id="666" w:name="Tc_IAiN1qZgaUuO9uXEMFScnA_27_0"/>
      <w:bookmarkStart w:id="667" w:name="Tc_Q9cqa8auQEiUo7HvnRTOAg_26_14"/>
      <w:bookmarkStart w:id="668" w:name="Tc_Vh5qB7LeN0-m2oGPFHJn8w_26_11"/>
      <w:bookmarkStart w:id="669" w:name="Tc_YxodHNh630yRcij8y-Sihw_26_5"/>
      <w:bookmarkStart w:id="670" w:name="Tc_apCquGp28kuDaI-CawGW8w_26_2"/>
      <w:bookmarkStart w:id="671" w:name="Tc_ITdltfQ9T0iMT3jTYOaIvQ_26_0"/>
      <w:bookmarkStart w:id="672" w:name="Tc_OHHtS2mp70GzckgIfMHVow_25_17"/>
      <w:bookmarkStart w:id="673" w:name="Tc_-ewX89v-TkOQYWtQZeRA2g_25_14"/>
      <w:bookmarkStart w:id="674" w:name="Tc_sY9FlilYP0-nzzcWT0I7wA_25_11"/>
      <w:bookmarkStart w:id="675" w:name="Tc_y-tncV66A0Wc1Lw1ISOHMQ_25_0"/>
      <w:bookmarkStart w:id="676" w:name="Tc_jgaz_qzuVE6jvoGIxY9f_g_24_14"/>
      <w:bookmarkStart w:id="677" w:name="Tc_JkxgXMM9EEm-GGB1T3Q4Yw_24_11"/>
      <w:bookmarkStart w:id="678" w:name="Tc_QGlh3D3gEEOH07HqoC1rUA_24_5"/>
      <w:bookmarkStart w:id="679" w:name="Tc_N0OFlKMuuUOeK3X9auB5tA_24_0"/>
      <w:bookmarkStart w:id="680" w:name="Tc_T8otQEy4BU6bo8I9xf7n_g_23_14"/>
      <w:bookmarkStart w:id="681" w:name="Tc_E6YPQrWRaEid6nYcWma2ww_23_11"/>
      <w:bookmarkStart w:id="682" w:name="Tc_LapTg8oZd06sef2k53c3Ig_23_5"/>
      <w:bookmarkStart w:id="683" w:name="Tc_oC9mgID9T02Wdv_Ym2FPqg_23_0"/>
      <w:bookmarkStart w:id="684" w:name="Tc_0Lqwntb7UEqVyY_oI9LtzA_22_14"/>
      <w:bookmarkStart w:id="685" w:name="Tc_BaCh6YojHUiQ32Ngp7ATyw_22_11"/>
      <w:bookmarkStart w:id="686" w:name="Tc_fIWji5dj-USveO6SmweVlg_22_0"/>
      <w:bookmarkStart w:id="687" w:name="Tc_8EaO73Q_9kO5oEzM53pM9w_21_16"/>
      <w:bookmarkStart w:id="688" w:name="Tc_EHcibgLMhUyb734IXt5b8A_21_13"/>
      <w:bookmarkStart w:id="689" w:name="Tc_WLrvcJtAeEiASXk2dj8Waw_21_10"/>
      <w:bookmarkStart w:id="690" w:name="Tc_8QtJUmmPN06Dtvaq0neQTA_21_7"/>
      <w:bookmarkStart w:id="691" w:name="Tc_vlzuLtH1N0Cmbc-TDAp1Lg_21_4"/>
      <w:bookmarkStart w:id="692" w:name="Tc_ACF03GK2802I43nq8j0Ycg_21_0"/>
      <w:bookmarkStart w:id="693" w:name="Tc_7jczup15PkaAF_ilK-YEaw_20_14"/>
      <w:bookmarkStart w:id="694" w:name="Tc_xgXX7a8oiUOLLuhm3Di8ew_20_8"/>
      <w:bookmarkStart w:id="695" w:name="Tc_w3uvodZ-hE-fgv8cAVQVSw_20_5"/>
      <w:bookmarkStart w:id="696" w:name="Tc_fYRq_Y6-TUuqU94zjussgA_20_2"/>
      <w:bookmarkStart w:id="697" w:name="Tc_7jgcEbPsm0i9gf0fQysl9Q_20_0"/>
      <w:bookmarkStart w:id="698" w:name="Tc_4YMLe5Ykpk65krnCkAlvyQ_19_11"/>
      <w:bookmarkStart w:id="699" w:name="Tc_SqFb4RRMF0aVMY6slDbGQA_19_8"/>
      <w:bookmarkStart w:id="700" w:name="Tc_KuitVw1AvkKheMwgcG2v3Q_19_5"/>
      <w:bookmarkStart w:id="701" w:name="Tc_ZM-l7DN8EEqB9IavXqN77Q_19_2"/>
      <w:bookmarkStart w:id="702" w:name="Tc_4MqOSpQIEE6n1kn6vSZVHg_19_0"/>
      <w:bookmarkStart w:id="703" w:name="Tc_RAlpfa6GE02PcHFsqXe6tw_18_14"/>
      <w:bookmarkStart w:id="704" w:name="Tc_p2jzt8UDxEmaCnWkjywkWw_18_11"/>
      <w:bookmarkStart w:id="705" w:name="Tc_O_e_CpHqD0WLw6_1rmZktA_18_5"/>
      <w:bookmarkStart w:id="706" w:name="Tc_E8B3SqYDBUKYHsDyK8qkTA_18_2"/>
      <w:bookmarkStart w:id="707" w:name="Tc_TEVW2LJbRkeW1gCxpGd8-w_18_0"/>
      <w:bookmarkStart w:id="708" w:name="Tc_gEX2D-2yx0u7dIUQw-2scA_17_17"/>
      <w:bookmarkStart w:id="709" w:name="Tc_sFFmyjzmTkepRVidZK6sjQ_17_14"/>
      <w:bookmarkStart w:id="710" w:name="Tc_Kavofpkv7USNgJfRfxZLWA_17_11"/>
      <w:bookmarkStart w:id="711" w:name="Tc_t5RWsrDpUEuxuvLOEg1OZA_17_8"/>
      <w:bookmarkStart w:id="712" w:name="Tc_rCvL7HaVVUCz3FNfbPWmOQ_17_5"/>
      <w:bookmarkStart w:id="713" w:name="Tc_Hw3cw_oTT0aDUDhPczzX2A_17_0"/>
      <w:bookmarkStart w:id="714" w:name="Tc_fXDPHOY2TEKfJV2HFT1a9A_16_14"/>
      <w:bookmarkStart w:id="715" w:name="Tc__QUpKDlorUSXJnpl8J1tHw_16_11"/>
      <w:bookmarkStart w:id="716" w:name="Tc_wBGWRP_naEyqwc7gOurLog_16_5"/>
      <w:bookmarkStart w:id="717" w:name="Tc_onQljLdaXUKhW0yPVwAEHg_16_0"/>
      <w:bookmarkStart w:id="718" w:name="Tc_rzzbWRi6uU-sjFEe2WJQOA_15_14"/>
      <w:bookmarkStart w:id="719" w:name="Tc_DikrfD5klUqKF7K727VmyA_15_11"/>
      <w:bookmarkStart w:id="720" w:name="Tc_n0i6hwEELkCNO-tw6sA4JQ_15_0"/>
      <w:bookmarkStart w:id="721" w:name="Tc_3IGJyTpjv0mT71sTD7Faqw_14_16"/>
      <w:bookmarkStart w:id="722" w:name="Tc_QlOdLo4FbEupJr6JrVwtsw_14_13"/>
      <w:bookmarkStart w:id="723" w:name="Tc_wZKfHc7EOkuKdO7iTtZOew_14_10"/>
      <w:bookmarkStart w:id="724" w:name="Tc_IHAd58Q8akGr9GWK7ovxMw_14_7"/>
      <w:bookmarkStart w:id="725" w:name="Tc_T-YfoRlMg0yn9UXadWbzgA_14_4"/>
      <w:bookmarkStart w:id="726" w:name="Tc_qqo1_9k1VkaxQWhwn6e9OQ_14_0"/>
      <w:bookmarkStart w:id="727" w:name="Tc_piZyL72EzketNSb4h09SCw_13_14"/>
      <w:bookmarkStart w:id="728" w:name="Tc_hSnHGjrsNkWYkugzv5-xsw_13_8"/>
      <w:bookmarkStart w:id="729" w:name="Tc_J3Rmo0I5-ku9bMGUvd2EXQ_13_5"/>
      <w:bookmarkStart w:id="730" w:name="Tc_3GHmN73W3kC0oBcPGN9D1g_13_2"/>
      <w:bookmarkStart w:id="731" w:name="Tc_4TFS18wIoUqbE5OIff7zXQ_13_0"/>
      <w:bookmarkStart w:id="732" w:name="Tc_Y33EgkIw7keJLE10x7gYPg_12_11"/>
      <w:bookmarkStart w:id="733" w:name="Tc_yky8HWoevUKsoE_UrFc8zw_12_8"/>
      <w:bookmarkStart w:id="734" w:name="Tc_j4kKhmtLPEOhnmHuTAK4AQ_12_5"/>
      <w:bookmarkStart w:id="735" w:name="Tc_b2DNW_po40STijCLBp7wwg_12_2"/>
      <w:bookmarkStart w:id="736" w:name="Tc_OVE__zLuRkyX4vXr_hQKCQ_12_0"/>
      <w:bookmarkStart w:id="737" w:name="Tc_2Xke2-NGCUecWEAXXCD-wA_11_14"/>
      <w:bookmarkStart w:id="738" w:name="Tc_Y1TRpPXkjUaRaxlDFRNFbQ_11_11"/>
      <w:bookmarkStart w:id="739" w:name="Tc_wWPpTqHZ0EuNGzghA_jcJQ_11_5"/>
      <w:bookmarkStart w:id="740" w:name="Tc_z0gJm89op0OcFxZoFs1AYQ_11_2"/>
      <w:bookmarkStart w:id="741" w:name="Tc_UIpg3ZB2a0ivimzB3sCGwQ_11_0"/>
      <w:bookmarkStart w:id="742" w:name="Tc_sH1IvdYa0keNlOijScEctA_10_14"/>
      <w:bookmarkStart w:id="743" w:name="Tc_MicC1kDjgUKpX9p11Y80HQ_10_11"/>
      <w:bookmarkStart w:id="744" w:name="Tc_uR2ke-GAkEGsdGUMxGsaNw_10_0"/>
      <w:bookmarkStart w:id="745" w:name="Tc_CKL4Mdlx7U-qn3VWo1hyIQ_9_17"/>
      <w:bookmarkStart w:id="746" w:name="Tc_l0wLltoiAUmQc8cwk7FTuQ_9_14"/>
      <w:bookmarkStart w:id="747" w:name="Tc_ZF6Dj4-yHkmFLIBVapvwEQ_9_11"/>
      <w:bookmarkStart w:id="748" w:name="Tc_5MihFso8N0OOiUMClInHPg_9_0"/>
      <w:bookmarkStart w:id="749" w:name="Tc_BcL54rU80kG2lRohrswQWw_8_14"/>
      <w:bookmarkStart w:id="750" w:name="Tc_WlWgy85lX0qqmK5Ko_kgQA_8_11"/>
      <w:bookmarkStart w:id="751" w:name="Tc_wMPL0S-LHEO-aMFCW6ispg_8_0"/>
      <w:bookmarkStart w:id="752" w:name="Tc_yNTKDw8QqEyxey4a9gCIkw_7_14"/>
      <w:bookmarkStart w:id="753" w:name="Tc_oN0K91B7XkSFIUH_nUKHmQ_7_11"/>
      <w:bookmarkStart w:id="754" w:name="Tc_C6avlrSO5kWArbP_3dnbug_7_5"/>
      <w:bookmarkStart w:id="755" w:name="Tc_GeXob1nZ20yT6GUcIuRAlQ_7_0"/>
      <w:bookmarkStart w:id="756" w:name="Tc_OYZIZCXZi0mXTGV6lKITSg_6_14"/>
      <w:bookmarkStart w:id="757" w:name="Tc_Rax4aHCmH0-cmxZhNhJD9A_6_11"/>
      <w:bookmarkStart w:id="758" w:name="Tc_05G0T6bltkizp7WtWZRKhA_6_5"/>
      <w:bookmarkStart w:id="759" w:name="Tc_I3HbC8fvekiH2hgdP7N92g_6_0"/>
      <w:bookmarkStart w:id="760" w:name="Tc_i05IYHDkfkeue7-3WEXsUQ_5_16"/>
      <w:bookmarkStart w:id="761" w:name="Tc_U9zebnMa20GNEAq2ZfuwPA_5_13"/>
      <w:bookmarkStart w:id="762" w:name="Tc_FdTOVhkGOUCuvGUBHc1xfQ_5_10"/>
      <w:bookmarkStart w:id="763" w:name="Tc_FItshgXw9Uqc5lu7rZKTkw_5_7"/>
      <w:bookmarkStart w:id="764" w:name="Tc_HgLeYWrcCkyyohGyDKJsxA_5_4"/>
      <w:bookmarkStart w:id="765" w:name="Tc_llGXeegbG0OLiDcTpvW3Zw_5_0"/>
      <w:bookmarkStart w:id="766" w:name="Tc_TXJo7z90PUWHHKXhFR13bA_4_16"/>
      <w:bookmarkStart w:id="767" w:name="Tc_pnAML4ac5kiRR_zKVv-uJg_4_13"/>
      <w:bookmarkStart w:id="768" w:name="Tc_2GoxBmZLLUi-PkAn5X5CDA_4_10"/>
      <w:bookmarkStart w:id="769" w:name="Tc_k6bAVS8mlkiwqgpXuwJctg_4_7"/>
      <w:bookmarkStart w:id="770" w:name="Tc_qCbAZwzxGUW5nWc34etKKg_4_4"/>
      <w:bookmarkStart w:id="771" w:name="Tc_Y2aWuSIKgU283sZbiUT6kQ_4_2"/>
      <w:bookmarkStart w:id="772" w:name="Tc_8Wt3tOX1VkuFeCeo1L3wtw_3_13"/>
      <w:bookmarkStart w:id="773" w:name="Tc__D_n_AhbSUKODxNYFY8Ycg_3_10"/>
      <w:bookmarkStart w:id="774" w:name="Tc_4R5-2_dd8UCREjDTZHLBpg_3_7"/>
      <w:bookmarkStart w:id="775" w:name="Tc_hpXrt-0VA028qgcjzoR_9w_3_2"/>
      <w:bookmarkStart w:id="776" w:name="Tc_44uttKGNkECjUUlRjE4dig_2_10"/>
      <w:bookmarkStart w:id="777" w:name="Tc_kefGP6jqsU-lyHxaG6UjNA_2_7"/>
      <w:bookmarkStart w:id="778" w:name="Tc_uP5CtwjPDU6aD62m9H6Rpw_1_10"/>
      <w:bookmarkStart w:id="779" w:name="_3030306c_de9d_4eb6_bb95_3940f3be0f05"/>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tbl>
      <w:tblPr>
        <w:tblW w:w="10205" w:type="dxa"/>
        <w:jc w:val="left"/>
        <w:tblInd w:w="0" w:type="dxa"/>
        <w:tblLayout w:type="fixed"/>
        <w:tblCellMar>
          <w:top w:w="0" w:type="dxa"/>
          <w:left w:w="0" w:type="dxa"/>
          <w:bottom w:w="0" w:type="dxa"/>
          <w:right w:w="0" w:type="dxa"/>
        </w:tblCellMar>
      </w:tblPr>
      <w:tblGrid>
        <w:gridCol w:w="2526"/>
        <w:gridCol w:w="346"/>
        <w:gridCol w:w="686"/>
        <w:gridCol w:w="346"/>
        <w:gridCol w:w="230"/>
        <w:gridCol w:w="462"/>
        <w:gridCol w:w="346"/>
        <w:gridCol w:w="211"/>
        <w:gridCol w:w="791"/>
        <w:gridCol w:w="346"/>
        <w:gridCol w:w="370"/>
        <w:gridCol w:w="846"/>
        <w:gridCol w:w="346"/>
        <w:gridCol w:w="211"/>
        <w:gridCol w:w="686"/>
        <w:gridCol w:w="346"/>
        <w:gridCol w:w="211"/>
        <w:gridCol w:w="899"/>
      </w:tblGrid>
      <w:tr>
        <w:tc>
          <w:tcPr>
            <w:tcW w:w="25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5610" cy="175260"/>
                      <wp:effectExtent l="0" t="0" r="0" b="0"/>
                      <wp:wrapNone/>
                      <wp:docPr id="44" name="Frame4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2285" cy="175260"/>
                      <wp:effectExtent l="0" t="0" r="0" b="0"/>
                      <wp:wrapNone/>
                      <wp:docPr id="50" name="Frame5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4950" cy="175260"/>
                      <wp:effectExtent l="0" t="0" r="0" b="0"/>
                      <wp:wrapNone/>
                      <wp:docPr id="52" name="Frame5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37210" cy="175260"/>
                      <wp:effectExtent l="0" t="0" r="0" b="0"/>
                      <wp:wrapNone/>
                      <wp:docPr id="53" name="Frame5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5610" cy="175260"/>
                      <wp:effectExtent l="0" t="0" r="0" b="0"/>
                      <wp:wrapNone/>
                      <wp:docPr id="56" name="Frame5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0865" cy="175260"/>
                      <wp:effectExtent l="0" t="0" r="0" b="0"/>
                      <wp:wrapNone/>
                      <wp:docPr id="59" name="Frame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5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pPr>
            <w:r>
              <w:t>​</w:t>
            </w:r>
          </w:p>
        </w:tc>
      </w:tr>
      <w:tr>
        <w:tc>
          <w:tcPr>
            <w:tcW w:w="25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pPr>
            <w:r>
              <w:t>​</w:t>
            </w:r>
          </w:p>
        </w:tc>
        <w:tc>
          <w:tcPr>
            <w:tcW w:w="897"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center"/>
            </w:pPr>
            <w:r>
              <w:t>​</w:t>
            </w:r>
          </w:p>
        </w:tc>
      </w:tr>
      <w:tr>
        <w:tc>
          <w:tcPr>
            <w:tcW w:w="25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pPr>
            <w: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pPr>
            <w: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center"/>
            </w:pPr>
            <w:r>
              <w:t>​</w:t>
            </w:r>
          </w:p>
        </w:tc>
      </w:tr>
      <w:tr>
        <w:tc>
          <w:tcPr>
            <w:tcW w:w="25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pPr>
            <w: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pPr>
            <w: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pPr>
            <w: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27, 2024</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14,169 </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197,368 </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37,147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234,343 </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pPr>
            <w:r>
              <w:t>—</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4, 2025</w:t>
            </w:r>
          </w:p>
        </w:tc>
        <w:tc>
          <w:tcPr>
            <w:tcW w:w="346" w:type="dxa"/>
            <w:tcBorders/>
            <w:vAlign w:val="center"/>
          </w:tcPr>
          <w:p>
            <w:pPr>
              <w:pStyle w:val="TableContents"/>
              <w:bidi w:val="0"/>
              <w:spacing w:before="0" w:after="0"/>
              <w:ind w:left="0" w:right="0" w:hanging="0"/>
              <w:jc w:val="left"/>
            </w:pPr>
            <w: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14,497 </w:t>
            </w:r>
          </w:p>
        </w:tc>
        <w:tc>
          <w:tcPr>
            <w:tcW w:w="346" w:type="dxa"/>
            <w:tcBorders/>
            <w:vAlign w:val="center"/>
          </w:tcPr>
          <w:p>
            <w:pPr>
              <w:pStyle w:val="TableContents"/>
              <w:bidi w:val="0"/>
              <w:spacing w:before="0" w:after="0"/>
              <w:ind w:left="0" w:right="0" w:hanging="0"/>
              <w:jc w:val="left"/>
            </w:pPr>
            <w: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204,036 </w:t>
            </w:r>
          </w:p>
        </w:tc>
        <w:tc>
          <w:tcPr>
            <w:tcW w:w="34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41,834 </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245,516 </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pPr>
            <w:r>
              <w:t>—</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4, 2025</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14,611 </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208,830 </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57,270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265,935 </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pPr>
            <w:r>
              <w:t>—</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vAlign w:val="center"/>
          </w:tcPr>
          <w:p>
            <w:pPr>
              <w:pStyle w:val="TableContents"/>
              <w:bidi w:val="0"/>
              <w:spacing w:before="0" w:after="0"/>
              <w:ind w:left="0" w:right="0" w:hanging="0"/>
              <w:jc w:val="left"/>
            </w:pPr>
            <w:r>
              <w:t>​</w:t>
            </w:r>
          </w:p>
        </w:tc>
        <w:tc>
          <w:tcPr>
            <w:tcW w:w="46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shd w:fill="CCEEFF" w:val="clear"/>
            <w:vAlign w:val="center"/>
          </w:tcPr>
          <w:p>
            <w:pPr>
              <w:pStyle w:val="TableContents"/>
              <w:bidi w:val="0"/>
              <w:spacing w:before="0" w:after="0"/>
              <w:ind w:left="0" w:right="0" w:hanging="0"/>
              <w:jc w:val="left"/>
            </w:pPr>
            <w:r>
              <w:t>​</w:t>
            </w:r>
          </w:p>
        </w:tc>
        <w:tc>
          <w:tcPr>
            <w:tcW w:w="46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13,721</w:t>
            </w:r>
          </w:p>
        </w:tc>
      </w:tr>
      <w:t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October 3, 2025</w:t>
            </w:r>
          </w:p>
        </w:tc>
        <w:tc>
          <w:tcPr>
            <w:tcW w:w="346" w:type="dxa"/>
            <w:tcBorders/>
            <w:shd w:fill="CCEEFF" w:val="clear"/>
            <w:vAlign w:val="center"/>
          </w:tcPr>
          <w:p>
            <w:pPr>
              <w:pStyle w:val="TableContents"/>
              <w:bidi w:val="0"/>
              <w:spacing w:before="0" w:after="0"/>
              <w:ind w:left="0" w:right="0" w:hanging="0"/>
              <w:jc w:val="left"/>
            </w:pPr>
            <w: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14,754 </w:t>
            </w:r>
          </w:p>
        </w:tc>
        <w:tc>
          <w:tcPr>
            <w:tcW w:w="346" w:type="dxa"/>
            <w:tcBorders/>
            <w:shd w:fill="CCEEFF" w:val="clear"/>
            <w:vAlign w:val="center"/>
          </w:tcPr>
          <w:p>
            <w:pPr>
              <w:pStyle w:val="TableContents"/>
              <w:bidi w:val="0"/>
              <w:spacing w:before="0" w:after="0"/>
              <w:ind w:left="0" w:right="0" w:hanging="0"/>
              <w:jc w:val="left"/>
            </w:pPr>
            <w: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212,284 </w:t>
            </w:r>
          </w:p>
        </w:tc>
        <w:tc>
          <w:tcPr>
            <w:tcW w:w="346" w:type="dxa"/>
            <w:tcBorders/>
            <w:shd w:fill="CCEEFF" w:val="clear"/>
            <w:vAlign w:val="center"/>
          </w:tcPr>
          <w:p>
            <w:pPr>
              <w:pStyle w:val="TableContents"/>
              <w:bidi w:val="0"/>
              <w:spacing w:before="0" w:after="0"/>
              <w:ind w:left="0" w:right="0" w:hanging="0"/>
              <w:jc w:val="left"/>
            </w:pPr>
            <w: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70,991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283,092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14"/>
        </w:rPr>
      </w:pPr>
      <w:bookmarkStart w:id="780" w:name="_518d3c0c_b05f_4747_9d65_77fa598df99f"/>
      <w:bookmarkEnd w:id="780"/>
      <w:r>
        <w:rPr>
          <w:rFonts w:ascii="Times New Roman;Times;serif" w:hAnsi="Times New Roman;Times;serif"/>
          <w:b/>
          <w:sz w:val="14"/>
        </w:rPr>
        <w:t>WILLDAN GROUP, INC. AND SUBSIDIARIES</w:t>
      </w:r>
    </w:p>
    <w:p>
      <w:pPr>
        <w:pStyle w:val="TextBody"/>
        <w:bidi w:val="0"/>
        <w:spacing w:lineRule="atLeast" w:line="200" w:before="0" w:after="0"/>
        <w:ind w:left="0" w:right="0" w:hanging="0"/>
        <w:jc w:val="center"/>
        <w:rPr>
          <w:rFonts w:ascii="Times New Roman;Times;serif" w:hAnsi="Times New Roman;Times;serif"/>
          <w:b/>
          <w:sz w:val="14"/>
        </w:rPr>
      </w:pPr>
      <w:bookmarkStart w:id="781" w:name="CONSOLIDATEDSTATEMENTSOFCASHFLOWS_554577"/>
      <w:bookmarkEnd w:id="781"/>
      <w:r>
        <w:rPr>
          <w:rFonts w:ascii="Times New Roman;Times;serif" w:hAnsi="Times New Roman;Times;serif"/>
          <w:b/>
          <w:sz w:val="14"/>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TextBody"/>
        <w:bidi w:val="0"/>
        <w:spacing w:lineRule="atLeast" w:line="200" w:before="0" w:after="0"/>
        <w:ind w:left="0" w:right="0" w:hanging="0"/>
        <w:jc w:val="center"/>
        <w:rPr>
          <w:rFonts w:ascii="Times New Roman;Times;serif" w:hAnsi="Times New Roman;Times;serif"/>
          <w:b/>
          <w:sz w:val="14"/>
        </w:rPr>
      </w:pPr>
      <w:r>
        <w:rPr>
          <w:rFonts w:ascii="Times New Roman;Times;serif" w:hAnsi="Times New Roman;Times;serif"/>
          <w:b/>
          <w:sz w:val="14"/>
        </w:rPr>
        <w:t>(Unaudited)</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782" w:name="Tc_tT5Ep4LjXUOR3k7JGZS67A_57_0"/>
      <w:bookmarkStart w:id="783" w:name="Tc_ZNuDhygrdUqsHAdGQFyX7g_56_6"/>
      <w:bookmarkStart w:id="784" w:name="Tc_z2MY-0ACuU-nI5ejijOwFg_56_0"/>
      <w:bookmarkStart w:id="785" w:name="Tc_6gkpfbXtm0yELHPn9qXTVA_55_0"/>
      <w:bookmarkStart w:id="786" w:name="Tc_zaAzV7daVEicxCSU91dIsQ_54_5"/>
      <w:bookmarkStart w:id="787" w:name="Tc_xxLj5Wq6i0CP5k5IHA80Gg_54_2"/>
      <w:bookmarkStart w:id="788" w:name="Tc_q9jZC4w3HU2RIVbP1an_dw_54_0"/>
      <w:bookmarkStart w:id="789" w:name="Tc_VIqUoyJN6ESnoxY2qoMsmQ_53_0"/>
      <w:bookmarkStart w:id="790" w:name="Tc_oTY1ADkvlUytIDdMkt7lgQ_52_0"/>
      <w:bookmarkStart w:id="791" w:name="Tc_8ajjCcnUpUetjXiTqeml2g_51_5"/>
      <w:bookmarkStart w:id="792" w:name="Tc_6V4hJ0OkLESNXjpw-aABPQ_51_2"/>
      <w:bookmarkStart w:id="793" w:name="Tc_CHPxMh0hr0uG8a4Tfg2iPg_51_0"/>
      <w:bookmarkStart w:id="794" w:name="Tc_UBIiTRmeB0a30wpSWJqjww_50_0"/>
      <w:bookmarkStart w:id="795" w:name="Tc_kBW0PLiWjE6hQGTYp6ut2w_49_0"/>
      <w:bookmarkStart w:id="796" w:name="Tc_alZAHISa6kC7bUjKBcDxDg_48_5"/>
      <w:bookmarkStart w:id="797" w:name="Tc_vSkruAApJUuGXbO9zUj5VQ_48_2"/>
      <w:bookmarkStart w:id="798" w:name="Tc_6aOw_MyVE0OOmEKKI2UJLQ_48_0"/>
      <w:bookmarkStart w:id="799" w:name="Tc_PxwsEkQmy0OqWFj7pSL1aA_47_0"/>
      <w:bookmarkStart w:id="800" w:name="Tc_t29n8V2OvUWX59Kd6kIVaQ_46_0"/>
      <w:bookmarkStart w:id="801" w:name="Tc_8mX1izVObEKzTLMEpMPEhA_45_0"/>
      <w:bookmarkStart w:id="802" w:name="Tc_RQdSDy5yL0KjW9aDfrRQfg_44_0"/>
      <w:bookmarkStart w:id="803" w:name="Tc_2iXaAaSjP0G9jpn8H8FI2A_43_0"/>
      <w:bookmarkStart w:id="804" w:name="Tc_ja6J3FXj9UW-OKUFmEr0sQ_42_0"/>
      <w:bookmarkStart w:id="805" w:name="Tc_GE2XnNzwfkCiBMEoM25O8g_41_0"/>
      <w:bookmarkStart w:id="806" w:name="Tc_GREmkCEHnkqwQs3Y6ko9wQ_40_0"/>
      <w:bookmarkStart w:id="807" w:name="Tc_ZGWAksO1BUWxpWxDWH3Bkw_39_6"/>
      <w:bookmarkStart w:id="808" w:name="Tc_5b8c0t_AeUCxOCqc7rsfDw_39_0"/>
      <w:bookmarkStart w:id="809" w:name="Tc_N-s6VRFuF0-paJIqhlBk7w_38_6"/>
      <w:bookmarkStart w:id="810" w:name="Tc_R-vjWofw30-OOpQEp7SKIw_38_0"/>
      <w:bookmarkStart w:id="811" w:name="Tc_3SGIT1tK3UmbPSqXGqjcYw_37_3"/>
      <w:bookmarkStart w:id="812" w:name="Tc_lzDCUGB180-0LzxRA0xJ0A_37_0"/>
      <w:bookmarkStart w:id="813" w:name="Tc_vE_YhvOKKEOfD8or1Bc9lw_36_3"/>
      <w:bookmarkStart w:id="814" w:name="Tc_Weyjmgn8Sk6nQ_nQZnUOyA_36_0"/>
      <w:bookmarkStart w:id="815" w:name="Tc_YUYo7wY5fEee8hqKAzgrBw_35_3"/>
      <w:bookmarkStart w:id="816" w:name="Tc_lIUJjWPctUSU0qphKDgD3A_35_0"/>
      <w:bookmarkStart w:id="817" w:name="Tc_I3WbG94I60yvtJuJYgZzKw_34_3"/>
      <w:bookmarkStart w:id="818" w:name="Tc_p1C8pzCCYkO_Qz1hZft8CA_34_0"/>
      <w:bookmarkStart w:id="819" w:name="Tc_AP-YhasDE0SVtHCXA5ZinQ_33_6"/>
      <w:bookmarkStart w:id="820" w:name="Tc_51EN7LQCVkGlUOBgyi86cQ_33_0"/>
      <w:bookmarkStart w:id="821" w:name="Tc_kBbnt0-Sz06Ww3wcKKkLSQ_32_6"/>
      <w:bookmarkStart w:id="822" w:name="Tc_40Y3nb_w_ECaUQw4Xb--tQ_32_0"/>
      <w:bookmarkStart w:id="823" w:name="Tc_jxr9a2ZKrUmLqaOCrDC0sA_31_6"/>
      <w:bookmarkStart w:id="824" w:name="Tc_VXW49OYi3UCCI_QwGyt6Eg_31_0"/>
      <w:bookmarkStart w:id="825" w:name="Tc__EID3UbJ_0uIR7iDdWMuUA_30_0"/>
      <w:bookmarkStart w:id="826" w:name="Tc_hkEgn-wtI0OopSbDZiN0jA_29_0"/>
      <w:bookmarkStart w:id="827" w:name="Tc_8X7k6kdTMESIMU6LUKerAA_28_0"/>
      <w:bookmarkStart w:id="828" w:name="Tc_e9ogC9AvhEuQ2uhuDHEhww_27_0"/>
      <w:bookmarkStart w:id="829" w:name="Tc_4-bf2U8xREqWmZC2gCmwwA_26_0"/>
      <w:bookmarkStart w:id="830" w:name="Tc_33grVetZPEe37etBhN47ng_25_0"/>
      <w:bookmarkStart w:id="831" w:name="Tc_x3Efr2Nd8ECOUUbjw1BN1A_24_0"/>
      <w:bookmarkStart w:id="832" w:name="Tc_BGnA-XQ2c0u9KcWoqjUEMQ_23_0"/>
      <w:bookmarkStart w:id="833" w:name="Tc_xoRnNZQxlkyJxTgPgyf1eA_22_0"/>
      <w:bookmarkStart w:id="834" w:name="Tc_5EuHd51gWEamYn1Tgr2ksw_21_0"/>
      <w:bookmarkStart w:id="835" w:name="Tc_x2VULUjhlUS6kHJaCTHg0g_20_0"/>
      <w:bookmarkStart w:id="836" w:name="Tc_Dz8_5zI6L0m8iZtY8jev9g_19_0"/>
      <w:bookmarkStart w:id="837" w:name="Tc_fxQTeL_4r0ey39baNXzT5w_18_0"/>
      <w:bookmarkStart w:id="838" w:name="Tc_Yw5hAgPn10u7Ht135hsMcg_17_0"/>
      <w:bookmarkStart w:id="839" w:name="Tc_OUIZCeNgeUSTTS9Gdos9Fw_16_0"/>
      <w:bookmarkStart w:id="840" w:name="Tc_KWlMHidL1kupGVonlHLlOw_15_0"/>
      <w:bookmarkStart w:id="841" w:name="Tc_uAHAAxzq8kK_OSl8f6Rq4Q_14_0"/>
      <w:bookmarkStart w:id="842" w:name="Tc_w_OtTF4Nf0ePQeWDtDrocw_13_0"/>
      <w:bookmarkStart w:id="843" w:name="Tc_Nalx74vgcEK8G7EvthreOA_12_0"/>
      <w:bookmarkStart w:id="844" w:name="Tc_p9xsHk1FDUqRxaJ-j75caA_11_0"/>
      <w:bookmarkStart w:id="845" w:name="Tc_alC9vlZ_QEqmZVprfEu6iA_10_0"/>
      <w:bookmarkStart w:id="846" w:name="Tc__UuqlZrTXUqeBUzIHF0ryw_9_0"/>
      <w:bookmarkStart w:id="847" w:name="Tc_UgGT-dLYEkiNqmWMndUN_Q_8_0"/>
      <w:bookmarkStart w:id="848" w:name="Tc_Y55uphKjd0qT06QW-78CZw_7_0"/>
      <w:bookmarkStart w:id="849" w:name="Tc_G9gAkF_PSUCqyRrP6iJvgQ_6_0"/>
      <w:bookmarkStart w:id="850" w:name="Tc_rFbJLL-Su0qXA2zxH_9Nsw_5_5"/>
      <w:bookmarkStart w:id="851" w:name="Tc_J_MMUmrWXkaQltC5lCCz0w_5_2"/>
      <w:bookmarkStart w:id="852" w:name="Tc_V_wPnJ5H10GiUO7PLZBcYw_5_0"/>
      <w:bookmarkStart w:id="853" w:name="Tc_mH93pWddH0uLiq6jg0Hkcg_4_0"/>
      <w:bookmarkStart w:id="854" w:name="Tc_7wsDWrVNakemlVTZ3_7Ajw_3_5"/>
      <w:bookmarkStart w:id="855" w:name="Tc_WBQBKTWxDkWRrJr6xehQ1w_3_2"/>
      <w:bookmarkStart w:id="856" w:name="Tc_iFSwxEEHJketcqOZEaxIdA_2_5"/>
      <w:bookmarkStart w:id="857" w:name="Tc_He8d2mb0h0KhV2oJ2scgrQ_2_2"/>
      <w:bookmarkStart w:id="858" w:name="Tc_j8zzQNorAEqjqONN4cuuVw_1_2"/>
      <w:bookmarkStart w:id="859" w:name="_31a030d4_5118_4071_9295_08e350874241"/>
      <w:bookmarkStart w:id="860" w:name="Tc_tT5Ep4LjXUOR3k7JGZS67A_57_0"/>
      <w:bookmarkStart w:id="861" w:name="Tc_ZNuDhygrdUqsHAdGQFyX7g_56_6"/>
      <w:bookmarkStart w:id="862" w:name="Tc_z2MY-0ACuU-nI5ejijOwFg_56_0"/>
      <w:bookmarkStart w:id="863" w:name="Tc_6gkpfbXtm0yELHPn9qXTVA_55_0"/>
      <w:bookmarkStart w:id="864" w:name="Tc_zaAzV7daVEicxCSU91dIsQ_54_5"/>
      <w:bookmarkStart w:id="865" w:name="Tc_xxLj5Wq6i0CP5k5IHA80Gg_54_2"/>
      <w:bookmarkStart w:id="866" w:name="Tc_q9jZC4w3HU2RIVbP1an_dw_54_0"/>
      <w:bookmarkStart w:id="867" w:name="Tc_VIqUoyJN6ESnoxY2qoMsmQ_53_0"/>
      <w:bookmarkStart w:id="868" w:name="Tc_oTY1ADkvlUytIDdMkt7lgQ_52_0"/>
      <w:bookmarkStart w:id="869" w:name="Tc_8ajjCcnUpUetjXiTqeml2g_51_5"/>
      <w:bookmarkStart w:id="870" w:name="Tc_6V4hJ0OkLESNXjpw-aABPQ_51_2"/>
      <w:bookmarkStart w:id="871" w:name="Tc_CHPxMh0hr0uG8a4Tfg2iPg_51_0"/>
      <w:bookmarkStart w:id="872" w:name="Tc_UBIiTRmeB0a30wpSWJqjww_50_0"/>
      <w:bookmarkStart w:id="873" w:name="Tc_kBW0PLiWjE6hQGTYp6ut2w_49_0"/>
      <w:bookmarkStart w:id="874" w:name="Tc_alZAHISa6kC7bUjKBcDxDg_48_5"/>
      <w:bookmarkStart w:id="875" w:name="Tc_vSkruAApJUuGXbO9zUj5VQ_48_2"/>
      <w:bookmarkStart w:id="876" w:name="Tc_6aOw_MyVE0OOmEKKI2UJLQ_48_0"/>
      <w:bookmarkStart w:id="877" w:name="Tc_PxwsEkQmy0OqWFj7pSL1aA_47_0"/>
      <w:bookmarkStart w:id="878" w:name="Tc_t29n8V2OvUWX59Kd6kIVaQ_46_0"/>
      <w:bookmarkStart w:id="879" w:name="Tc_8mX1izVObEKzTLMEpMPEhA_45_0"/>
      <w:bookmarkStart w:id="880" w:name="Tc_RQdSDy5yL0KjW9aDfrRQfg_44_0"/>
      <w:bookmarkStart w:id="881" w:name="Tc_2iXaAaSjP0G9jpn8H8FI2A_43_0"/>
      <w:bookmarkStart w:id="882" w:name="Tc_ja6J3FXj9UW-OKUFmEr0sQ_42_0"/>
      <w:bookmarkStart w:id="883" w:name="Tc_GE2XnNzwfkCiBMEoM25O8g_41_0"/>
      <w:bookmarkStart w:id="884" w:name="Tc_GREmkCEHnkqwQs3Y6ko9wQ_40_0"/>
      <w:bookmarkStart w:id="885" w:name="Tc_ZGWAksO1BUWxpWxDWH3Bkw_39_6"/>
      <w:bookmarkStart w:id="886" w:name="Tc_5b8c0t_AeUCxOCqc7rsfDw_39_0"/>
      <w:bookmarkStart w:id="887" w:name="Tc_N-s6VRFuF0-paJIqhlBk7w_38_6"/>
      <w:bookmarkStart w:id="888" w:name="Tc_R-vjWofw30-OOpQEp7SKIw_38_0"/>
      <w:bookmarkStart w:id="889" w:name="Tc_3SGIT1tK3UmbPSqXGqjcYw_37_3"/>
      <w:bookmarkStart w:id="890" w:name="Tc_lzDCUGB180-0LzxRA0xJ0A_37_0"/>
      <w:bookmarkStart w:id="891" w:name="Tc_vE_YhvOKKEOfD8or1Bc9lw_36_3"/>
      <w:bookmarkStart w:id="892" w:name="Tc_Weyjmgn8Sk6nQ_nQZnUOyA_36_0"/>
      <w:bookmarkStart w:id="893" w:name="Tc_YUYo7wY5fEee8hqKAzgrBw_35_3"/>
      <w:bookmarkStart w:id="894" w:name="Tc_lIUJjWPctUSU0qphKDgD3A_35_0"/>
      <w:bookmarkStart w:id="895" w:name="Tc_I3WbG94I60yvtJuJYgZzKw_34_3"/>
      <w:bookmarkStart w:id="896" w:name="Tc_p1C8pzCCYkO_Qz1hZft8CA_34_0"/>
      <w:bookmarkStart w:id="897" w:name="Tc_AP-YhasDE0SVtHCXA5ZinQ_33_6"/>
      <w:bookmarkStart w:id="898" w:name="Tc_51EN7LQCVkGlUOBgyi86cQ_33_0"/>
      <w:bookmarkStart w:id="899" w:name="Tc_kBbnt0-Sz06Ww3wcKKkLSQ_32_6"/>
      <w:bookmarkStart w:id="900" w:name="Tc_40Y3nb_w_ECaUQw4Xb--tQ_32_0"/>
      <w:bookmarkStart w:id="901" w:name="Tc_jxr9a2ZKrUmLqaOCrDC0sA_31_6"/>
      <w:bookmarkStart w:id="902" w:name="Tc_VXW49OYi3UCCI_QwGyt6Eg_31_0"/>
      <w:bookmarkStart w:id="903" w:name="Tc__EID3UbJ_0uIR7iDdWMuUA_30_0"/>
      <w:bookmarkStart w:id="904" w:name="Tc_hkEgn-wtI0OopSbDZiN0jA_29_0"/>
      <w:bookmarkStart w:id="905" w:name="Tc_8X7k6kdTMESIMU6LUKerAA_28_0"/>
      <w:bookmarkStart w:id="906" w:name="Tc_e9ogC9AvhEuQ2uhuDHEhww_27_0"/>
      <w:bookmarkStart w:id="907" w:name="Tc_4-bf2U8xREqWmZC2gCmwwA_26_0"/>
      <w:bookmarkStart w:id="908" w:name="Tc_33grVetZPEe37etBhN47ng_25_0"/>
      <w:bookmarkStart w:id="909" w:name="Tc_x3Efr2Nd8ECOUUbjw1BN1A_24_0"/>
      <w:bookmarkStart w:id="910" w:name="Tc_BGnA-XQ2c0u9KcWoqjUEMQ_23_0"/>
      <w:bookmarkStart w:id="911" w:name="Tc_xoRnNZQxlkyJxTgPgyf1eA_22_0"/>
      <w:bookmarkStart w:id="912" w:name="Tc_5EuHd51gWEamYn1Tgr2ksw_21_0"/>
      <w:bookmarkStart w:id="913" w:name="Tc_x2VULUjhlUS6kHJaCTHg0g_20_0"/>
      <w:bookmarkStart w:id="914" w:name="Tc_Dz8_5zI6L0m8iZtY8jev9g_19_0"/>
      <w:bookmarkStart w:id="915" w:name="Tc_fxQTeL_4r0ey39baNXzT5w_18_0"/>
      <w:bookmarkStart w:id="916" w:name="Tc_Yw5hAgPn10u7Ht135hsMcg_17_0"/>
      <w:bookmarkStart w:id="917" w:name="Tc_OUIZCeNgeUSTTS9Gdos9Fw_16_0"/>
      <w:bookmarkStart w:id="918" w:name="Tc_KWlMHidL1kupGVonlHLlOw_15_0"/>
      <w:bookmarkStart w:id="919" w:name="Tc_uAHAAxzq8kK_OSl8f6Rq4Q_14_0"/>
      <w:bookmarkStart w:id="920" w:name="Tc_w_OtTF4Nf0ePQeWDtDrocw_13_0"/>
      <w:bookmarkStart w:id="921" w:name="Tc_Nalx74vgcEK8G7EvthreOA_12_0"/>
      <w:bookmarkStart w:id="922" w:name="Tc_p9xsHk1FDUqRxaJ-j75caA_11_0"/>
      <w:bookmarkStart w:id="923" w:name="Tc_alC9vlZ_QEqmZVprfEu6iA_10_0"/>
      <w:bookmarkStart w:id="924" w:name="Tc__UuqlZrTXUqeBUzIHF0ryw_9_0"/>
      <w:bookmarkStart w:id="925" w:name="Tc_UgGT-dLYEkiNqmWMndUN_Q_8_0"/>
      <w:bookmarkStart w:id="926" w:name="Tc_Y55uphKjd0qT06QW-78CZw_7_0"/>
      <w:bookmarkStart w:id="927" w:name="Tc_G9gAkF_PSUCqyRrP6iJvgQ_6_0"/>
      <w:bookmarkStart w:id="928" w:name="Tc_rFbJLL-Su0qXA2zxH_9Nsw_5_5"/>
      <w:bookmarkStart w:id="929" w:name="Tc_J_MMUmrWXkaQltC5lCCz0w_5_2"/>
      <w:bookmarkStart w:id="930" w:name="Tc_V_wPnJ5H10GiUO7PLZBcYw_5_0"/>
      <w:bookmarkStart w:id="931" w:name="Tc_mH93pWddH0uLiq6jg0Hkcg_4_0"/>
      <w:bookmarkStart w:id="932" w:name="Tc_7wsDWrVNakemlVTZ3_7Ajw_3_5"/>
      <w:bookmarkStart w:id="933" w:name="Tc_WBQBKTWxDkWRrJr6xehQ1w_3_2"/>
      <w:bookmarkStart w:id="934" w:name="Tc_iFSwxEEHJketcqOZEaxIdA_2_5"/>
      <w:bookmarkStart w:id="935" w:name="Tc_He8d2mb0h0KhV2oJ2scgrQ_2_2"/>
      <w:bookmarkStart w:id="936" w:name="Tc_j8zzQNorAEqjqONN4cuuVw_1_2"/>
      <w:bookmarkStart w:id="937" w:name="_31a030d4_5118_4071_9295_08e350874241"/>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tbl>
      <w:tblPr>
        <w:tblW w:w="9367" w:type="dxa"/>
        <w:jc w:val="left"/>
        <w:tblInd w:w="0" w:type="dxa"/>
        <w:tblLayout w:type="fixed"/>
        <w:tblCellMar>
          <w:top w:w="0" w:type="dxa"/>
          <w:left w:w="0" w:type="dxa"/>
          <w:bottom w:w="0" w:type="dxa"/>
          <w:right w:w="0" w:type="dxa"/>
        </w:tblCellMar>
      </w:tblPr>
      <w:tblGrid>
        <w:gridCol w:w="6796"/>
        <w:gridCol w:w="346"/>
        <w:gridCol w:w="196"/>
        <w:gridCol w:w="721"/>
        <w:gridCol w:w="346"/>
        <w:gridCol w:w="196"/>
        <w:gridCol w:w="766"/>
      </w:tblGrid>
      <w:tr>
        <w:tc>
          <w:tcPr>
            <w:tcW w:w="6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15460" cy="175260"/>
                      <wp:effectExtent l="0" t="0" r="0" b="0"/>
                      <wp:wrapNone/>
                      <wp:docPr id="60" name="Frame60"/>
                      <a:graphic xmlns:a="http://schemas.openxmlformats.org/drawingml/2006/main">
                        <a:graphicData uri="http://schemas.microsoft.com/office/word/2010/wordprocessingShape">
                          <wps:wsp>
                            <wps:cNvSpPr txBox="1"/>
                            <wps:spPr>
                              <a:xfrm>
                                <a:off x="0" y="0"/>
                                <a:ext cx="431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6410" cy="175260"/>
                      <wp:effectExtent l="0" t="0" r="0" b="0"/>
                      <wp:wrapNone/>
                      <wp:docPr id="66" name="Frame6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6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6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6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lef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44,736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33,844</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(used in)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lef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13,857</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items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(4,152)</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sale/disposal of equipment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doubtful accounts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8,755</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and fair value adjustments of contingent consideration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effects from business acquisitions: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5,637</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assets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(27,501)</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(5,040)</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12,214</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3,527</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40,904</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lef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equipment, software, and leasehold improvements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(6,924)</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equipment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acquisitions, net of cash acquired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(55,845)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(33,431)</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(60,958)</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(40,327)</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lef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contingent consideration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Receipt of restricted cash</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on restricted cash</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notes payable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debt issuance costs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made to retire prior credit agreement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(90,000)</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 to fund new credit agreement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88,414</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 under revolving credit facility</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under revolving credit facility</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766" w:type="dxa"/>
            <w:tcBorders/>
            <w:vAlign w:val="center"/>
          </w:tcPr>
          <w:p>
            <w:pPr>
              <w:pStyle w:val="TableContents"/>
              <w:bidi w:val="0"/>
              <w:spacing w:before="0" w:after="0"/>
              <w:ind w:left="0" w:right="0" w:hanging="0"/>
              <w:jc w:val="righ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outstanding debt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(39,039)</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option exercise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2,498</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sales of common stock under employee stock purchase plan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3,249</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pay taxes on stock grants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(9,130)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(5,137)</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financing activities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4,304</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(41,626)</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(23,708)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(41,049)</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74,158</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42,211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33,109</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disclosures of cash flow information: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lef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(received) during the period for:</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lef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4,828</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2,471</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disclosures of noncash investing and financing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pPr>
            <w:r>
              <w:t>​</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related to business acquisitions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5,557</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related to business acquisitions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11,638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12,150</w:t>
            </w:r>
          </w:p>
        </w:tc>
      </w:tr>
      <w:t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working capital adjustment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66" w:type="dxa"/>
            <w:tcBorders/>
            <w:shd w:fill="CCEEFF" w:val="clear"/>
            <w:vAlign w:val="center"/>
          </w:tcPr>
          <w:p>
            <w:pPr>
              <w:pStyle w:val="TableContents"/>
              <w:bidi w:val="0"/>
              <w:spacing w:before="0" w:after="0"/>
              <w:ind w:left="0" w:right="0" w:hanging="0"/>
              <w:jc w:val="right"/>
            </w:pPr>
            <w:r>
              <w:t>—</w:t>
            </w:r>
          </w:p>
        </w:tc>
      </w:tr>
      <w:t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Equipment acquired under finance leases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1,264</w:t>
            </w:r>
          </w:p>
        </w:tc>
      </w:tr>
    </w:tbl>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See accompanying notes to Condensed Consolidated Financial Statements.</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938" w:name="ORGANIZATIONANDOPERATIONSOFTHECOMPANY_11"/>
      <w:bookmarkEnd w:id="938"/>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January 2, 2026.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January 2, 2026.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2026, which ends on January 1, 2027, will be comprised of 52 weeks, with all quarters consisting of 13 weeks each. Fiscal year 2025, which ended on January 2, 2026, was comprised of 53 weeks, with the first quarter consisting of 14 weeks and the remaining quarters consisting of 13 weeks each.</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prior year amounts have been reclassified in the condensed consolidated financial statements to conform to the current year presentation.</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Financial Accounting Standards Board (“FASB”) issued Accounting Standards Update (“ASU”) No. 2025-12, “Codification Improvements” (“ASU 2025-12”). ASU 2025-12 addresses suggestions received from stakeholders on the Accounting Standards Codification and to make other incremental improvements to generally accepted accounting principles (“GAAP”). ASU 2025-12 provides changes to the Codification that (1) clarify, (2) correct errors, or (3) make minor improvements. The amendments are effective for the annual reporting periods beginning after</w:t>
      </w:r>
      <w:r>
        <w:rPr>
          <w:rFonts w:ascii="Times New Roman;Times;serif" w:hAnsi="Times New Roman;Times;serif"/>
          <w:sz w:val="24"/>
        </w:rPr>
        <w:t> </w:t>
      </w:r>
      <w:r>
        <w:rPr>
          <w:rFonts w:ascii="Times New Roman;Times;serif" w:hAnsi="Times New Roman;Times;serif"/>
          <w:sz w:val="20"/>
        </w:rPr>
        <w:t>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2025-12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2025-11, “Interim Reporting (Topic 270): Narrow-Scope Improvements” (“ASU 2025-11”). The ASU 2025-11 amendments are intended to improve the guidance in Topic 270, Interim Reporting, by improving the navigability of the required interim disclosures and clarifying when that guidance is applicable. The amendments also provide additional guidance on what disclosures should be provided in interim reporting periods. The amendments are effective for the annual reporting periods beginning after December 15, 2027,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2027, with early adoption</w:t>
      </w:r>
      <w:r>
        <w:rPr>
          <w:rFonts w:ascii="Times New Roman;Times;serif" w:hAnsi="Times New Roman;Times;serif"/>
          <w:sz w:val="24"/>
        </w:rPr>
        <w:t> </w:t>
      </w:r>
      <w:r>
        <w:rPr>
          <w:rFonts w:ascii="Times New Roman;Times;serif" w:hAnsi="Times New Roman;Times;serif"/>
          <w:sz w:val="20"/>
        </w:rPr>
        <w:t>permitted either (1) prospectively or (2) retrospectively. The Company does not believe the amendments in ASU 2025-11 will have a material impact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September 2025, the FASB issued ASU No. 2025-06, “Intangibles – Goodwill and Other – Internal-Use Software (Subtopic 350-40): Targeted Improvements to the Accounting for Internal Software” (“ASU 2025-06”).</w:t>
      </w:r>
      <w:r>
        <w:rPr>
          <w:rFonts w:ascii="Times New Roman;Times;serif" w:hAnsi="Times New Roman;Times;serif"/>
          <w:color w:val="EE0000"/>
          <w:sz w:val="24"/>
        </w:rPr>
        <w:t xml:space="preserve"> </w:t>
      </w:r>
      <w:r>
        <w:rPr>
          <w:rFonts w:ascii="Times New Roman;Times;serif" w:hAnsi="Times New Roman;Times;serif"/>
          <w:sz w:val="20"/>
        </w:rPr>
        <w:t>ASU 2025-06 removes references to prescriptive and sequential software development stages which are referred to as “project stages” throughout Subtopic 350-40. The amendment introduces a principles-based approach to capitalization of internal-use software costs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The amendments are effective for the annual reporting periods beginning after</w:t>
      </w:r>
      <w:r>
        <w:rPr>
          <w:rFonts w:ascii="Times New Roman;Times;serif" w:hAnsi="Times New Roman;Times;serif"/>
          <w:sz w:val="24"/>
        </w:rPr>
        <w:t xml:space="preserve"> </w:t>
      </w:r>
      <w:r>
        <w:rPr>
          <w:rFonts w:ascii="Times New Roman;Times;serif" w:hAnsi="Times New Roman;Times;serif"/>
          <w:sz w:val="20"/>
        </w:rPr>
        <w:t>December 15, 2027, and interim periods within those fiscal year reporting periods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2025-06 will have a material impact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May 2025, the FASB issued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annual reporting periods beginning after December 15, 2026,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2026,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2025-03 will have a material impact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0"/>
        </w:rPr>
        <w:t>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pPr>
      <w: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pPr>
            <w: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pPr>
            <w: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pPr>
            <w: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pPr>
            <w: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pPr>
            <w: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pPr>
      <w:r>
        <w:t> </w:t>
      </w:r>
    </w:p>
    <w:p>
      <w:pPr>
        <w:pStyle w:val="TextBody"/>
        <w:bidi w:val="0"/>
        <w:spacing w:before="0" w:after="16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on the vast majority of the Company’s contracts is recognized over time because of the continuous transfer of control to the customer. Revenue on </w:t>
      </w:r>
      <w:r>
        <w:rPr>
          <w:rFonts w:ascii="Times New Roman;Times;serif" w:hAnsi="Times New Roman;Times;serif"/>
          <w:b w:val="false"/>
          <w:i w:val="false"/>
          <w:caps w:val="false"/>
          <w:smallCaps w:val="false"/>
          <w:sz w:val="20"/>
        </w:rPr>
        <w:t>fixed price</w:t>
      </w:r>
      <w:r>
        <w:rPr>
          <w:rFonts w:ascii="Times New Roman;Times;serif" w:hAnsi="Times New Roman;Times;serif"/>
          <w:sz w:val="20"/>
        </w:rPr>
        <w:t xml:space="preserv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the Company’s </w:t>
      </w:r>
      <w:r>
        <w:rPr>
          <w:rFonts w:ascii="Times New Roman;Times;serif" w:hAnsi="Times New Roman;Times;serif"/>
          <w:b w:val="false"/>
          <w:i w:val="false"/>
          <w:caps w:val="false"/>
          <w:smallCaps w:val="false"/>
          <w:sz w:val="20"/>
        </w:rPr>
        <w:t>fixed price</w:t>
      </w:r>
      <w:r>
        <w:rPr>
          <w:rFonts w:ascii="Times New Roman;Times;serif" w:hAnsi="Times New Roman;Times;serif"/>
          <w:sz w:val="20"/>
        </w:rPr>
        <w:t xml:space="preserve"> contracts involve a high degree of subcontracted fixed price effort and, usually, are relatively short in duration, thereby lowering the risks of not properly estimating the percent complete. As of October 2, 2026, the Company had $492.6 million related to remaining performance obligations of fixed price contracts of which $157.8 million related to fixed price contract obligations in excess of twelve months.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In cases where the standalone selling price of the software licenses is not present,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1.0% to 2.0%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price are based largely on assessments of legal enforceability, the Company’s performance, and all information (historical, current and forecasted) that is reasonably available to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represents amounts withheld from billings to the Company’s clients pursuant to provisions in the contracts and may not be paid to the Company until specific tasks are completed or the project is completed and, in some instances, for even longer periods. As of October 2, 2026, contract assets and contract liabilities included retainage of $20.4 million, and $5.3 million, respectively. As of January 2, 2026, contract assets included retainage of $29.5 million and there was no retainage included in contract liabilities.</w:t>
      </w:r>
    </w:p>
    <w:p>
      <w:pPr>
        <w:pStyle w:val="TextBody"/>
        <w:bidi w:val="0"/>
        <w:spacing w:before="0" w:after="0"/>
        <w:ind w:left="0" w:right="0" w:hanging="0"/>
        <w:jc w:val="left"/>
      </w:pPr>
      <w:r>
        <w:t> </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939" w:name="Tc_GOjCWCqg0kW137Eybd2IIg_11_5"/>
      <w:bookmarkStart w:id="940" w:name="Tc_PRjzKKAaq0afNKWHd4d_qg_11_2"/>
      <w:bookmarkStart w:id="941" w:name="Tc_Zsa7sLwMLUSk82S95YSCBg_11_0"/>
      <w:bookmarkStart w:id="942" w:name="Tc_ViCvqkzYaEmgL6zCpdudTw_10_0"/>
      <w:bookmarkStart w:id="943" w:name="Tc_T4czM0GWq0yWC9vtFd1glQ_9_0"/>
      <w:bookmarkStart w:id="944" w:name="Tc_Q64tzLhjhUG_h4UayXwI2w_8_0"/>
      <w:bookmarkStart w:id="945" w:name="Tc_Zi5ILlXKN0StckkDTWlZHg_7_0"/>
      <w:bookmarkStart w:id="946" w:name="Tc_9vTTp9DVD0uYSGeZA_cgeQ_6_0"/>
      <w:bookmarkStart w:id="947" w:name="Tc_pd8d9YskDUKOosnweUTXxA_5_0"/>
      <w:bookmarkStart w:id="948" w:name="Tc_qsBhLiLhz0aWWQoGnX6LAQ_4_5"/>
      <w:bookmarkStart w:id="949" w:name="Tc_DtKiV8WmHUOalgDqIRirOw_4_2"/>
      <w:bookmarkStart w:id="950" w:name="Tc_CZWHu6VB8E2gtTbKj1YMIw_4_0"/>
      <w:bookmarkStart w:id="951" w:name="Tc_W8AZNy7QHkefKwwovHN9Rw_3_2"/>
      <w:bookmarkStart w:id="952" w:name="Tc_shQHMjPCJEihtnjvc6Lv1g_2_5"/>
      <w:bookmarkStart w:id="953" w:name="Tc_SZsp3gdANU-Gv6YgEQJ5kg_2_2"/>
      <w:bookmarkStart w:id="954" w:name="Tc_3xPociDww0q2r4QfK4EZog_1_5"/>
      <w:bookmarkStart w:id="955" w:name="Tc_cG3ahNvXXEewHpO9XdZ-_w_1_2"/>
      <w:bookmarkStart w:id="956" w:name="_153c3283_4be2_41ef_b17e_d5f6aa64dd38"/>
      <w:bookmarkStart w:id="957" w:name="Tc_mf6XhS3YykimECyOkRkyfA_6_5"/>
      <w:bookmarkStart w:id="958" w:name="Tc_o9i4EAQRd02GOA4-Vh9C8w_6_2"/>
      <w:bookmarkStart w:id="959" w:name="Tc_h5UqyxhT7k2atRvIZ_tMfQ_6_0"/>
      <w:bookmarkStart w:id="960" w:name="Tc_aW5pVxKLp0GBzi_mJirVvA_5_6"/>
      <w:bookmarkStart w:id="961" w:name="Tc_s4y9d18UPEC9eYZT9SWdBQ_4_5"/>
      <w:bookmarkStart w:id="962" w:name="Tc__fdtEgJ2tU-kEMv553LoaQ_4_2"/>
      <w:bookmarkStart w:id="963" w:name="Tc_FPHUqBZ7X0Wm5WjZ1EzRXw_4_0"/>
      <w:bookmarkStart w:id="964" w:name="Tc_1FOrVd-cCUm1kwUosC8FEQ_3_2"/>
      <w:bookmarkStart w:id="965" w:name="Tc_FU55ZA5EY0ybTaGa0thUtA_2_5"/>
      <w:bookmarkStart w:id="966" w:name="Tc_FMWJOepBJkWK0CxLP51jMg_2_2"/>
      <w:bookmarkStart w:id="967" w:name="Tc_5Ewth97FY0mF5_tvu9MboA_1_5"/>
      <w:bookmarkStart w:id="968" w:name="Tc_LXE4pnv6M0KP299f-T2dlw_1_2"/>
      <w:bookmarkStart w:id="969" w:name="_a1d3449c_e5a1_4daf_8130_e12757f6eaf4"/>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b/>
          <w:sz w:val="20"/>
        </w:rPr>
        <w:t>4. SUPPLEMENTAL FINANCIAL STATEMENT DATA</w:t>
      </w:r>
    </w:p>
    <w:p>
      <w:pPr>
        <w:pStyle w:val="TextBody"/>
        <w:pBdr/>
        <w:shd w:fill="FFFFFF" w:val="clear"/>
        <w:bidi w:val="0"/>
        <w:spacing w:before="0" w:after="0"/>
        <w:ind w:left="0" w:right="0" w:firstLine="360"/>
        <w:jc w:val="left"/>
        <w:rPr>
          <w:rFonts w:ascii="Times New Roman;Times;serif" w:hAnsi="Times New Roman;Times;serif"/>
          <w:i/>
          <w:color w:val="212529"/>
          <w:sz w:val="20"/>
        </w:rPr>
      </w:pPr>
      <w:r>
        <w:rPr>
          <w:rFonts w:ascii="Times New Roman;Times;serif" w:hAnsi="Times New Roman;Times;serif"/>
          <w:i/>
          <w:color w:val="212529"/>
          <w:sz w:val="20"/>
        </w:rPr>
        <w:t>Restricted Cash</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7622"/>
        <w:gridCol w:w="346"/>
        <w:gridCol w:w="211"/>
        <w:gridCol w:w="676"/>
        <w:gridCol w:w="346"/>
        <w:gridCol w:w="211"/>
        <w:gridCol w:w="793"/>
      </w:tblGrid>
      <w:tr>
        <w:tc>
          <w:tcPr>
            <w:tcW w:w="7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839970" cy="175260"/>
                      <wp:effectExtent l="0" t="0" r="0" b="0"/>
                      <wp:wrapNone/>
                      <wp:docPr id="70" name="Frame70"/>
                      <a:graphic xmlns:a="http://schemas.openxmlformats.org/drawingml/2006/main">
                        <a:graphicData uri="http://schemas.microsoft.com/office/word/2010/wordprocessingShape">
                          <wps:wsp>
                            <wps:cNvSpPr txBox="1"/>
                            <wps:spPr>
                              <a:xfrm>
                                <a:off x="0" y="0"/>
                                <a:ext cx="4839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3555" cy="175260"/>
                      <wp:effectExtent l="0" t="0" r="0" b="0"/>
                      <wp:wrapNone/>
                      <wp:docPr id="76" name="Frame7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762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c>
          <w:tcPr>
            <w:tcW w:w="762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762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7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r>
      <w:tr>
        <w:tc>
          <w:tcPr>
            <w:tcW w:w="76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7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65,919</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pPr>
      <w:r>
        <w:t>​</w:t>
      </w:r>
    </w:p>
    <w:tbl>
      <w:tblPr>
        <w:tblW w:w="6487" w:type="dxa"/>
        <w:jc w:val="left"/>
        <w:tblInd w:w="0" w:type="dxa"/>
        <w:tblLayout w:type="fixed"/>
        <w:tblCellMar>
          <w:top w:w="0" w:type="dxa"/>
          <w:left w:w="0" w:type="dxa"/>
          <w:bottom w:w="0" w:type="dxa"/>
          <w:right w:w="0" w:type="dxa"/>
        </w:tblCellMar>
      </w:tblPr>
      <w:tblGrid>
        <w:gridCol w:w="3736"/>
        <w:gridCol w:w="346"/>
        <w:gridCol w:w="211"/>
        <w:gridCol w:w="796"/>
        <w:gridCol w:w="346"/>
        <w:gridCol w:w="211"/>
        <w:gridCol w:w="841"/>
      </w:tblGrid>
      <w:t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34035" cy="175260"/>
                      <wp:effectExtent l="0" t="0" r="0" b="0"/>
                      <wp:wrapNone/>
                      <wp:docPr id="83" name="Frame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c>
          <w:tcPr>
            <w:tcW w:w="37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37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63,848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59,687</w:t>
            </w:r>
          </w:p>
        </w:tc>
      </w:tr>
      <w:t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r>
      <w:t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80,711</w:t>
            </w:r>
          </w:p>
        </w:tc>
      </w:tr>
      <w:t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(49,220)</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28,370</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31,491</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$1.2 million and $1.5 million of amortization expense related to equipment held under finance leases for the nine months ended October 2, 2026 and for fiscal year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970" w:name="Tc_v7JNA43v9kqGD3M6N-QOog_10_11"/>
      <w:bookmarkStart w:id="971" w:name="Tc_iWbpIracNUiyiBuhl6VAQw_10_8"/>
      <w:bookmarkStart w:id="972" w:name="Tc_EcTevlcpikWLygWqvbY3Zg_10_5"/>
      <w:bookmarkStart w:id="973" w:name="Tc_J7LpldgOSUeykCL9z1F99g_10_2"/>
      <w:bookmarkStart w:id="974" w:name="Tc_Y2npdwCt80i6Atl8GwbcAw_10_0"/>
      <w:bookmarkStart w:id="975" w:name="Tc_y_ocYhM3tU2m7QbAum9b5g_9_16"/>
      <w:bookmarkStart w:id="976" w:name="Tc_DQXQwgAaGE2o5Xg9C7ekLw_9_0"/>
      <w:bookmarkStart w:id="977" w:name="Tc_twU1IOkx1UqgfiNMGWDuTQ_8_16"/>
      <w:bookmarkStart w:id="978" w:name="Tc_bWrwJSRdw0qVYJ4G189Q2g_8_0"/>
      <w:bookmarkStart w:id="979" w:name="Tc_bvVXMYJ2XkKLY7WFuhBruw_7_16"/>
      <w:bookmarkStart w:id="980" w:name="Tc_uSR82ExiVUSJNlf4TzQ2pA_7_0"/>
      <w:bookmarkStart w:id="981" w:name="Tc_UpAFg6X3aUqhoNX0WH9ToA_6_11"/>
      <w:bookmarkStart w:id="982" w:name="Tc_tMV0yWuENECpSqY62jxUNw_6_8"/>
      <w:bookmarkStart w:id="983" w:name="Tc_Lexlc9lQe0eyodh2Pk9iMA_6_5"/>
      <w:bookmarkStart w:id="984" w:name="Tc_xWd0j8tf9EmHA6qwZKJdXg_6_2"/>
      <w:bookmarkStart w:id="985" w:name="Tc_AczRLLFgtEKLxFnE94mpWQ_6_0"/>
      <w:bookmarkStart w:id="986" w:name="Tc_qd34B-v_GkOONl_Pc0K4Sg_5_0"/>
      <w:bookmarkStart w:id="987" w:name="Tc_m2dkat2XwkePlEusAjN40A_4_14"/>
      <w:bookmarkStart w:id="988" w:name="Tc_JmJ0MhZEKEGvNFmeGgEnGQ_4_2"/>
      <w:bookmarkStart w:id="989" w:name="Tc_A-q5PnM-mEmsPL_ZOUNIqA_3_14"/>
      <w:bookmarkStart w:id="990" w:name="Tc_F2kelB1AxEuBfQ55thTU6w_3_11"/>
      <w:bookmarkStart w:id="991" w:name="Tc_4Ujyk3-C3keKy41HgR6AWg_3_8"/>
      <w:bookmarkStart w:id="992" w:name="Tc_c0lJltxIgUyE6Uq54ZgvIQ_3_5"/>
      <w:bookmarkStart w:id="993" w:name="Tc_RJq9UqPNFEuLNREKlxD15Q_3_2"/>
      <w:bookmarkStart w:id="994" w:name="Tc_iAIxPA8sfU-LBvFRDfkyoA_2_14"/>
      <w:bookmarkStart w:id="995" w:name="Tc_4-Rf5eEjzk-2BafrQzh4fA_2_11"/>
      <w:bookmarkStart w:id="996" w:name="Tc_yaUcDqMO3UWixybj_GtZwQ_2_8"/>
      <w:bookmarkStart w:id="997" w:name="Tc_yvz7XROfNku7iq-5how_mQ_2_5"/>
      <w:bookmarkStart w:id="998" w:name="Tc_V0wnu_aMr0GNF8iZ4x9Rdg_2_2"/>
      <w:bookmarkStart w:id="999" w:name="Tc_417M9dI98Uqx_JdBXZudSw_1_8"/>
      <w:bookmarkStart w:id="1000" w:name="Tc_jTmqYLNn102K6anCQ1I0AA_1_2"/>
      <w:bookmarkStart w:id="1001" w:name="_1cd3588f_16f6_4fdc_a8cc_9eb9826051be"/>
      <w:bookmarkStart w:id="1002" w:name="Tc_oXLcNY2NS0qEtcU70JnOrw_7_11"/>
      <w:bookmarkStart w:id="1003" w:name="Tc_O7kZFM8QuEux1Y99s2JGmw_7_8"/>
      <w:bookmarkStart w:id="1004" w:name="Tc_SEiR4n_yuUePQZ6GMFZw3Q_7_5"/>
      <w:bookmarkStart w:id="1005" w:name="Tc_mM4Z2Smmy0CIwsETZNoGWA_7_2"/>
      <w:bookmarkStart w:id="1006" w:name="Tc_Rr9Zx3odzUKL0F2y4AZQRQ_6_6"/>
      <w:bookmarkStart w:id="1007" w:name="Tc_LsYrlBmZLUOCTt4rQs2NWg_6_0"/>
      <w:bookmarkStart w:id="1008" w:name="Tc_sRXVIs_fLU2sBc_34T9gAw_5_11"/>
      <w:bookmarkStart w:id="1009" w:name="Tc_43bfATxUuUOfQg-LKSPqug_5_8"/>
      <w:bookmarkStart w:id="1010" w:name="Tc_brPjXgQX80u_-Sp-VHRNXA_5_5"/>
      <w:bookmarkStart w:id="1011" w:name="Tc_4dhARgT860Wplf1JS2okDw_5_2"/>
      <w:bookmarkStart w:id="1012" w:name="Tc_h2L_12bxoEGdWdzJWmmeMQ_5_0"/>
      <w:bookmarkStart w:id="1013" w:name="Tc_uQW8xO3BgkWtH5fTTyNi-w_4_0"/>
      <w:bookmarkStart w:id="1014" w:name="Tc_Op5AdJJhHEG1aOB3MjFBcA_3_2"/>
      <w:bookmarkStart w:id="1015" w:name="Tc_HqeKue-aBESt_tF7hioVQQ_2_11"/>
      <w:bookmarkStart w:id="1016" w:name="Tc_qf4Hn7AIpESUqEapRtT3cQ_2_8"/>
      <w:bookmarkStart w:id="1017" w:name="Tc_kGkB_U-4n0iZaUAInvT2VQ_2_5"/>
      <w:bookmarkStart w:id="1018" w:name="Tc_wpNvt0SKaEWv1OnEHz1zeQ_2_2"/>
      <w:bookmarkStart w:id="1019" w:name="Tc_1n7zi0aHe0WgZfT3IdzDQw_1_11"/>
      <w:bookmarkStart w:id="1020" w:name="Tc_eVC7pxJMrUimX-VRMLlFuQ_1_8"/>
      <w:bookmarkStart w:id="1021" w:name="Tc_bX9oGfUhcUaIiMXdIlfrdg_1_5"/>
      <w:bookmarkStart w:id="1022" w:name="Tc_y5xXeObKPEe4OrSVQWVtaQ_1_2"/>
      <w:bookmarkStart w:id="1023" w:name="_c85b4554_c045_4ea0_bbf4_63b84da8ef05"/>
      <w:bookmarkStart w:id="1024" w:name="Tc_R11zQW6Za0mhXBea6PTYow_10_5"/>
      <w:bookmarkStart w:id="1025" w:name="Tc_7-vDQJ2jfkWbd1HF4XDMqw_10_2"/>
      <w:bookmarkStart w:id="1026" w:name="Tc_UEvpFU6DoEuMlE7MfHHc5Q_10_0"/>
      <w:bookmarkStart w:id="1027" w:name="Tc_rtxUaO0hQk6Nen9f7wYdkw_9_0"/>
      <w:bookmarkStart w:id="1028" w:name="Tc_Onttcsq_HUGHZ_X2J5LFZg_8_6"/>
      <w:bookmarkStart w:id="1029" w:name="Tc_DUVQwyrClkCS6m406TEpJg_8_0"/>
      <w:bookmarkStart w:id="1030" w:name="Tc_jXU6snmYMEeHfNuvZX4pNg_7_0"/>
      <w:bookmarkStart w:id="1031" w:name="Tc__R-Dg2O-X0mhIs0XG9LHnw_6_0"/>
      <w:bookmarkStart w:id="1032" w:name="Tc_YxSRCE1Yw0Cv1bl7TiWCTQ_5_0"/>
      <w:bookmarkStart w:id="1033" w:name="Tc_kT2QRzHGvU2-xxXRrtpUdQ_4_5"/>
      <w:bookmarkStart w:id="1034" w:name="Tc_rSYbm_Ujj0CBzQgu4KvDYw_4_2"/>
      <w:bookmarkStart w:id="1035" w:name="Tc_jr8xezFurESS0cC4CoNklQ_4_0"/>
      <w:bookmarkStart w:id="1036" w:name="Tc_HwZ2WohaMUyEvzdeN1rioQ_3_2"/>
      <w:bookmarkStart w:id="1037" w:name="Tc_MU32K9oiA0WmGtrLY9x23g_2_5"/>
      <w:bookmarkStart w:id="1038" w:name="Tc_bGmNF-SOJEGV-yp2VqicDg_2_2"/>
      <w:bookmarkStart w:id="1039" w:name="Tc_uyKYwggK3kix7TBN647ZYA_1_5"/>
      <w:bookmarkStart w:id="1040" w:name="Tc_Pyk7CUBqTUySLwNYxc-CNw_1_2"/>
      <w:bookmarkStart w:id="1041" w:name="_bd42a2c9_737b_415e_b15d_0fc85bb90588"/>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i/>
          <w:sz w:val="20"/>
        </w:rPr>
        <w:t>Accrued Liabilities</w:t>
      </w:r>
    </w:p>
    <w:p>
      <w:pPr>
        <w:pStyle w:val="TextBody"/>
        <w:bidi w:val="0"/>
        <w:spacing w:before="0" w:after="0"/>
        <w:ind w:left="0" w:right="0" w:hanging="0"/>
        <w:jc w:val="left"/>
      </w:pPr>
      <w:r>
        <w:t>​</w:t>
      </w:r>
    </w:p>
    <w:tbl>
      <w:tblPr>
        <w:tblW w:w="5599" w:type="dxa"/>
        <w:jc w:val="left"/>
        <w:tblInd w:w="0" w:type="dxa"/>
        <w:tblLayout w:type="fixed"/>
        <w:tblCellMar>
          <w:top w:w="0" w:type="dxa"/>
          <w:left w:w="0" w:type="dxa"/>
          <w:bottom w:w="0" w:type="dxa"/>
          <w:right w:w="0" w:type="dxa"/>
        </w:tblCellMar>
      </w:tblPr>
      <w:tblGrid>
        <w:gridCol w:w="3016"/>
        <w:gridCol w:w="346"/>
        <w:gridCol w:w="211"/>
        <w:gridCol w:w="676"/>
        <w:gridCol w:w="346"/>
        <w:gridCol w:w="211"/>
        <w:gridCol w:w="793"/>
      </w:tblGrid>
      <w:t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15160" cy="175260"/>
                      <wp:effectExtent l="0" t="0" r="0" b="0"/>
                      <wp:wrapNone/>
                      <wp:docPr id="84" name="Frame8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3555" cy="175260"/>
                      <wp:effectExtent l="0" t="0" r="0" b="0"/>
                      <wp:wrapNone/>
                      <wp:docPr id="90" name="Frame9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0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c>
          <w:tcPr>
            <w:tcW w:w="30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30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37,123</w:t>
            </w:r>
          </w:p>
        </w:tc>
      </w:tr>
      <w:t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27,478</w:t>
            </w:r>
          </w:p>
        </w:tc>
      </w:tr>
      <w:t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r>
      <w:t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5,534</w:t>
            </w:r>
          </w:p>
        </w:tc>
      </w:tr>
      <w:t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Utility incentives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3" w:type="dxa"/>
            <w:tcBorders/>
            <w:shd w:fill="CCEEFF" w:val="clear"/>
            <w:vAlign w:val="center"/>
          </w:tcPr>
          <w:p>
            <w:pPr>
              <w:pStyle w:val="TableContents"/>
              <w:bidi w:val="0"/>
              <w:spacing w:before="0" w:after="0"/>
              <w:ind w:left="0" w:right="0" w:hanging="0"/>
              <w:jc w:val="right"/>
            </w:pPr>
            <w:r>
              <w:t>—</w:t>
            </w:r>
          </w:p>
        </w:tc>
      </w:tr>
      <w:t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w:t>
            </w:r>
          </w:p>
        </w:tc>
      </w:tr>
      <w:t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82,434</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pPr>
      <w:r>
        <w:t>​</w:t>
      </w:r>
    </w:p>
    <w:tbl>
      <w:tblPr>
        <w:tblW w:w="8050" w:type="dxa"/>
        <w:jc w:val="left"/>
        <w:tblInd w:w="0" w:type="dxa"/>
        <w:tblLayout w:type="fixed"/>
        <w:tblCellMar>
          <w:top w:w="0" w:type="dxa"/>
          <w:left w:w="0" w:type="dxa"/>
          <w:bottom w:w="0" w:type="dxa"/>
          <w:right w:w="0" w:type="dxa"/>
        </w:tblCellMar>
      </w:tblPr>
      <w:tblGrid>
        <w:gridCol w:w="2431"/>
        <w:gridCol w:w="346"/>
        <w:gridCol w:w="211"/>
        <w:gridCol w:w="781"/>
        <w:gridCol w:w="346"/>
        <w:gridCol w:w="271"/>
        <w:gridCol w:w="869"/>
        <w:gridCol w:w="346"/>
        <w:gridCol w:w="270"/>
        <w:gridCol w:w="736"/>
        <w:gridCol w:w="346"/>
        <w:gridCol w:w="211"/>
        <w:gridCol w:w="886"/>
      </w:tblGrid>
      <w:t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2085" cy="175260"/>
                      <wp:effectExtent l="0" t="0" r="0" b="0"/>
                      <wp:wrapNone/>
                      <wp:docPr id="96" name="Frame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51815" cy="175260"/>
                      <wp:effectExtent l="0" t="0" r="0" b="0"/>
                      <wp:wrapNone/>
                      <wp:docPr id="97" name="Frame9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1450" cy="175260"/>
                      <wp:effectExtent l="0" t="0" r="0" b="0"/>
                      <wp:wrapNone/>
                      <wp:docPr id="99" name="Frame9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67360" cy="175260"/>
                      <wp:effectExtent l="0" t="0" r="0" b="0"/>
                      <wp:wrapNone/>
                      <wp:docPr id="100" name="Frame1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2610" cy="175260"/>
                      <wp:effectExtent l="0" t="0" r="0" b="0"/>
                      <wp:wrapNone/>
                      <wp:docPr id="103" name="Frame1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left"/>
            </w:pPr>
            <w: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46" w:type="dxa"/>
            <w:tcBorders/>
            <w:vAlign w:val="center"/>
          </w:tcPr>
          <w:p>
            <w:pPr>
              <w:pStyle w:val="TableContents"/>
              <w:bidi w:val="0"/>
              <w:spacing w:before="0" w:after="0"/>
              <w:ind w:left="0" w:right="0" w:hanging="0"/>
              <w:jc w:val="left"/>
            </w:pPr>
            <w: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r>
      <w:tr>
        <w:tc>
          <w:tcPr>
            <w:tcW w:w="24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24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273"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86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70"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left"/>
            </w:pPr>
            <w:r>
              <w:t>​</w:t>
            </w:r>
          </w:p>
        </w:tc>
      </w:tr>
      <w:t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170,835</w:t>
            </w:r>
          </w:p>
        </w:tc>
        <w:tc>
          <w:tcPr>
            <w:tcW w:w="34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35,122</w:t>
            </w:r>
          </w:p>
        </w:tc>
        <w:tc>
          <w:tcPr>
            <w:tcW w:w="346" w:type="dxa"/>
            <w:tcBorders/>
            <w:vAlign w:val="center"/>
          </w:tcPr>
          <w:p>
            <w:pPr>
              <w:pStyle w:val="TableContents"/>
              <w:bidi w:val="0"/>
              <w:spacing w:before="0" w:after="0"/>
              <w:ind w:left="0" w:right="0" w:hanging="0"/>
              <w:jc w:val="left"/>
            </w:pPr>
            <w: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214,436</w:t>
            </w:r>
          </w:p>
        </w:tc>
      </w:tr>
      <w:t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w:t>
            </w:r>
          </w:p>
        </w:tc>
        <w:tc>
          <w:tcPr>
            <w:tcW w:w="346"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r>
      <w:tr>
        <w:tc>
          <w:tcPr>
            <w:tcW w:w="24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179,530</w:t>
            </w:r>
          </w:p>
        </w:tc>
        <w:tc>
          <w:tcPr>
            <w:tcW w:w="346" w:type="dxa"/>
            <w:tcBorders/>
            <w:vAlign w:val="center"/>
          </w:tcPr>
          <w:p>
            <w:pPr>
              <w:pStyle w:val="TableContents"/>
              <w:bidi w:val="0"/>
              <w:spacing w:before="0" w:after="0"/>
              <w:ind w:left="0" w:right="0" w:hanging="0"/>
              <w:jc w:val="left"/>
            </w:pPr>
            <w: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35,122</w:t>
            </w:r>
          </w:p>
        </w:tc>
        <w:tc>
          <w:tcPr>
            <w:tcW w:w="346" w:type="dxa"/>
            <w:tcBorders/>
            <w:vAlign w:val="center"/>
          </w:tcPr>
          <w:p>
            <w:pPr>
              <w:pStyle w:val="TableContents"/>
              <w:bidi w:val="0"/>
              <w:spacing w:before="0" w:after="0"/>
              <w:ind w:left="0" w:right="0" w:hanging="0"/>
              <w:jc w:val="left"/>
            </w:pPr>
            <w: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223,204</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October 2,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pPr>
      <w:r>
        <w:t>​</w:t>
      </w:r>
    </w:p>
    <w:tbl>
      <w:tblPr>
        <w:tblW w:w="9308" w:type="dxa"/>
        <w:jc w:val="left"/>
        <w:tblInd w:w="0" w:type="dxa"/>
        <w:tblLayout w:type="fixed"/>
        <w:tblCellMar>
          <w:top w:w="0" w:type="dxa"/>
          <w:left w:w="0" w:type="dxa"/>
          <w:bottom w:w="0" w:type="dxa"/>
          <w:right w:w="0" w:type="dxa"/>
        </w:tblCellMar>
      </w:tblPr>
      <w:tblGrid>
        <w:gridCol w:w="2176"/>
        <w:gridCol w:w="346"/>
        <w:gridCol w:w="211"/>
        <w:gridCol w:w="781"/>
        <w:gridCol w:w="346"/>
        <w:gridCol w:w="257"/>
        <w:gridCol w:w="824"/>
        <w:gridCol w:w="346"/>
        <w:gridCol w:w="211"/>
        <w:gridCol w:w="781"/>
        <w:gridCol w:w="346"/>
        <w:gridCol w:w="257"/>
        <w:gridCol w:w="824"/>
        <w:gridCol w:w="346"/>
        <w:gridCol w:w="361"/>
        <w:gridCol w:w="109"/>
        <w:gridCol w:w="166"/>
        <w:gridCol w:w="109"/>
        <w:gridCol w:w="511"/>
      </w:tblGrid>
      <w:t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8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8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left"/>
            </w:pPr>
            <w:r>
              <w:t>​</w: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 2026</w:t>
            </w:r>
          </w:p>
        </w:tc>
        <w:tc>
          <w:tcPr>
            <w:tcW w:w="346" w:type="dxa"/>
            <w:tcBorders/>
            <w:vAlign w:val="center"/>
          </w:tcPr>
          <w:p>
            <w:pPr>
              <w:pStyle w:val="TableContents"/>
              <w:bidi w:val="0"/>
              <w:spacing w:before="0" w:after="0"/>
              <w:ind w:left="0" w:right="0" w:hanging="0"/>
              <w:jc w:val="center"/>
            </w:pPr>
            <w: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 2026</w:t>
            </w:r>
          </w:p>
        </w:tc>
        <w:tc>
          <w:tcPr>
            <w:tcW w:w="346" w:type="dxa"/>
            <w:tcBorders/>
            <w:vAlign w:val="center"/>
          </w:tcPr>
          <w:p>
            <w:pPr>
              <w:pStyle w:val="TableContents"/>
              <w:bidi w:val="0"/>
              <w:spacing w:before="0" w:after="0"/>
              <w:ind w:left="0" w:right="0" w:hanging="0"/>
              <w:jc w:val="center"/>
            </w:pPr>
            <w:r>
              <w:t>​</w:t>
            </w:r>
          </w:p>
        </w:tc>
        <w:tc>
          <w:tcPr>
            <w:tcW w:w="36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16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511" w:type="dxa"/>
            <w:tcBorders/>
            <w:vAlign w:val="center"/>
          </w:tcPr>
          <w:p>
            <w:pPr>
              <w:pStyle w:val="TableContents"/>
              <w:bidi w:val="0"/>
              <w:spacing w:before="0" w:after="0"/>
              <w:ind w:left="0" w:right="0" w:hanging="0"/>
              <w:jc w:val="center"/>
            </w:pPr>
            <w:r>
              <w:t>​</w: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pPr>
            <w: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pPr>
            <w: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pPr>
            <w: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1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518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pPr>
            <w: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46" w:type="dxa"/>
            <w:tcBorders/>
            <w:shd w:fill="CCEEFF" w:val="clear"/>
            <w:vAlign w:val="center"/>
          </w:tcPr>
          <w:p>
            <w:pPr>
              <w:pStyle w:val="TableContents"/>
              <w:bidi w:val="0"/>
              <w:spacing w:before="0" w:after="0"/>
              <w:ind w:left="0" w:right="0" w:hanging="0"/>
              <w:jc w:val="center"/>
            </w:pPr>
            <w:r>
              <w:t>​</w:t>
            </w:r>
          </w:p>
        </w:tc>
        <w:tc>
          <w:tcPr>
            <w:tcW w:w="211" w:type="dxa"/>
            <w:tcBorders/>
            <w:shd w:fill="CCEEFF" w:val="clear"/>
            <w:vAlign w:val="center"/>
          </w:tcPr>
          <w:p>
            <w:pPr>
              <w:pStyle w:val="TableContents"/>
              <w:bidi w:val="0"/>
              <w:spacing w:before="0" w:after="0"/>
              <w:ind w:left="0" w:right="0" w:hanging="0"/>
              <w:jc w:val="center"/>
            </w:pPr>
            <w:r>
              <w:t>​</w:t>
            </w:r>
          </w:p>
        </w:tc>
        <w:tc>
          <w:tcPr>
            <w:tcW w:w="781"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57" w:type="dxa"/>
            <w:tcBorders/>
            <w:shd w:fill="CCEEFF" w:val="clear"/>
            <w:vAlign w:val="center"/>
          </w:tcPr>
          <w:p>
            <w:pPr>
              <w:pStyle w:val="TableContents"/>
              <w:bidi w:val="0"/>
              <w:spacing w:before="0" w:after="0"/>
              <w:ind w:left="0" w:right="0" w:hanging="0"/>
              <w:jc w:val="center"/>
            </w:pPr>
            <w:r>
              <w:t>​</w:t>
            </w:r>
          </w:p>
        </w:tc>
        <w:tc>
          <w:tcPr>
            <w:tcW w:w="824"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11" w:type="dxa"/>
            <w:tcBorders/>
            <w:shd w:fill="CCEEFF" w:val="clear"/>
            <w:vAlign w:val="center"/>
          </w:tcPr>
          <w:p>
            <w:pPr>
              <w:pStyle w:val="TableContents"/>
              <w:bidi w:val="0"/>
              <w:spacing w:before="0" w:after="0"/>
              <w:ind w:left="0" w:right="0" w:hanging="0"/>
              <w:jc w:val="center"/>
            </w:pPr>
            <w:r>
              <w:t>​</w:t>
            </w:r>
          </w:p>
        </w:tc>
        <w:tc>
          <w:tcPr>
            <w:tcW w:w="781"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57" w:type="dxa"/>
            <w:tcBorders/>
            <w:shd w:fill="CCEEFF" w:val="clear"/>
            <w:vAlign w:val="center"/>
          </w:tcPr>
          <w:p>
            <w:pPr>
              <w:pStyle w:val="TableContents"/>
              <w:bidi w:val="0"/>
              <w:spacing w:before="0" w:after="0"/>
              <w:ind w:left="0" w:right="0" w:hanging="0"/>
              <w:jc w:val="center"/>
            </w:pPr>
            <w:r>
              <w:t>​</w:t>
            </w:r>
          </w:p>
        </w:tc>
        <w:tc>
          <w:tcPr>
            <w:tcW w:w="824"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361" w:type="dxa"/>
            <w:tcBorders/>
            <w:shd w:fill="CCEEFF" w:val="clear"/>
            <w:vAlign w:val="center"/>
          </w:tcPr>
          <w:p>
            <w:pPr>
              <w:pStyle w:val="TableContents"/>
              <w:bidi w:val="0"/>
              <w:spacing w:before="0" w:after="0"/>
              <w:ind w:left="0" w:right="0" w:hanging="0"/>
              <w:jc w:val="center"/>
            </w:pPr>
            <w:r>
              <w:t>​</w:t>
            </w:r>
          </w:p>
        </w:tc>
        <w:tc>
          <w:tcPr>
            <w:tcW w:w="109" w:type="dxa"/>
            <w:tcBorders/>
            <w:shd w:fill="CCEEFF" w:val="clear"/>
            <w:vAlign w:val="center"/>
          </w:tcPr>
          <w:p>
            <w:pPr>
              <w:pStyle w:val="TableContents"/>
              <w:bidi w:val="0"/>
              <w:spacing w:before="0" w:after="0"/>
              <w:ind w:left="0" w:right="0" w:hanging="0"/>
              <w:jc w:val="center"/>
            </w:pPr>
            <w:r>
              <w:t>​</w:t>
            </w:r>
          </w:p>
        </w:tc>
        <w:tc>
          <w:tcPr>
            <w:tcW w:w="166" w:type="dxa"/>
            <w:tcBorders/>
            <w:shd w:fill="CCEEFF" w:val="clear"/>
            <w:vAlign w:val="center"/>
          </w:tcPr>
          <w:p>
            <w:pPr>
              <w:pStyle w:val="TableContents"/>
              <w:bidi w:val="0"/>
              <w:spacing w:before="0" w:after="0"/>
              <w:ind w:left="0" w:right="0" w:hanging="0"/>
              <w:jc w:val="center"/>
            </w:pPr>
            <w:r>
              <w:t>​</w:t>
            </w:r>
          </w:p>
        </w:tc>
        <w:tc>
          <w:tcPr>
            <w:tcW w:w="109" w:type="dxa"/>
            <w:tcBorders/>
            <w:shd w:fill="CCEEFF" w:val="clear"/>
            <w:vAlign w:val="center"/>
          </w:tcPr>
          <w:p>
            <w:pPr>
              <w:pStyle w:val="TableContents"/>
              <w:bidi w:val="0"/>
              <w:spacing w:before="0" w:after="0"/>
              <w:ind w:left="0" w:right="0" w:hanging="0"/>
              <w:jc w:val="center"/>
            </w:pPr>
            <w:r>
              <w:t>​</w:t>
            </w:r>
          </w:p>
        </w:tc>
        <w:tc>
          <w:tcPr>
            <w:tcW w:w="511" w:type="dxa"/>
            <w:tcBorders/>
            <w:shd w:fill="CCEEFF" w:val="clear"/>
            <w:vAlign w:val="center"/>
          </w:tcPr>
          <w:p>
            <w:pPr>
              <w:pStyle w:val="TableContents"/>
              <w:bidi w:val="0"/>
              <w:spacing w:before="0" w:after="0"/>
              <w:ind w:left="0" w:right="0" w:hanging="0"/>
              <w:jc w:val="center"/>
            </w:pPr>
            <w:r>
              <w:t>​</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vAlign w:val="center"/>
          </w:tcPr>
          <w:p>
            <w:pPr>
              <w:pStyle w:val="TableContents"/>
              <w:bidi w:val="0"/>
              <w:spacing w:before="0" w:after="0"/>
              <w:ind w:left="0" w:right="0" w:hanging="0"/>
              <w:jc w:val="left"/>
            </w:pPr>
            <w: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21,408</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shd w:fill="CCEEFF" w:val="clear"/>
            <w:vAlign w:val="center"/>
          </w:tcPr>
          <w:p>
            <w:pPr>
              <w:pStyle w:val="TableContents"/>
              <w:bidi w:val="0"/>
              <w:spacing w:before="0" w:after="0"/>
              <w:ind w:left="0" w:right="0" w:hanging="0"/>
              <w:jc w:val="lef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shd w:fill="CCEEFF" w:val="clear"/>
            <w:vAlign w:val="center"/>
          </w:tcPr>
          <w:p>
            <w:pPr>
              <w:pStyle w:val="TableContents"/>
              <w:bidi w:val="0"/>
              <w:spacing w:before="0" w:after="0"/>
              <w:ind w:left="0" w:right="0" w:hanging="0"/>
              <w:jc w:val="left"/>
            </w:pPr>
            <w: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14,285</w:t>
            </w:r>
          </w:p>
        </w:tc>
        <w:tc>
          <w:tcPr>
            <w:tcW w:w="346" w:type="dxa"/>
            <w:tcBorders/>
            <w:shd w:fill="CCEEFF" w:val="clear"/>
            <w:vAlign w:val="center"/>
          </w:tcPr>
          <w:p>
            <w:pPr>
              <w:pStyle w:val="TableContents"/>
              <w:bidi w:val="0"/>
              <w:spacing w:before="0" w:after="0"/>
              <w:ind w:left="0" w:right="0" w:hanging="0"/>
              <w:jc w:val="left"/>
            </w:pPr>
            <w: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pPr>
            <w: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pPr>
            <w: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right"/>
            </w:pPr>
            <w: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right"/>
            </w:pPr>
            <w: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pPr>
            <w: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pPr>
            <w: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pPr>
            <w: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103,102</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73,400</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43,414</w:t>
            </w:r>
          </w:p>
        </w:tc>
        <w:tc>
          <w:tcPr>
            <w:tcW w:w="346" w:type="dxa"/>
            <w:tcBorders/>
            <w:shd w:fill="CCEEFF" w:val="clear"/>
            <w:vAlign w:val="center"/>
          </w:tcPr>
          <w:p>
            <w:pPr>
              <w:pStyle w:val="TableContents"/>
              <w:bidi w:val="0"/>
              <w:spacing w:before="0" w:after="0"/>
              <w:ind w:left="0" w:right="0" w:hanging="0"/>
              <w:jc w:val="left"/>
            </w:pPr>
            <w: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right"/>
            </w:pPr>
            <w: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pPr>
            <w: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137,947</w:t>
            </w:r>
          </w:p>
        </w:tc>
        <w:tc>
          <w:tcPr>
            <w:tcW w:w="346" w:type="dxa"/>
            <w:tcBorders/>
            <w:vAlign w:val="center"/>
          </w:tcPr>
          <w:p>
            <w:pPr>
              <w:pStyle w:val="TableContents"/>
              <w:bidi w:val="0"/>
              <w:spacing w:before="0" w:after="0"/>
              <w:ind w:left="0" w:right="0" w:hanging="0"/>
              <w:jc w:val="left"/>
            </w:pPr>
            <w: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78,115</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104,608</w:t>
            </w:r>
          </w:p>
        </w:tc>
        <w:tc>
          <w:tcPr>
            <w:tcW w:w="346" w:type="dxa"/>
            <w:tcBorders/>
            <w:vAlign w:val="center"/>
          </w:tcPr>
          <w:p>
            <w:pPr>
              <w:pStyle w:val="TableContents"/>
              <w:bidi w:val="0"/>
              <w:spacing w:before="0" w:after="0"/>
              <w:ind w:left="0" w:right="0" w:hanging="0"/>
              <w:jc w:val="left"/>
            </w:pPr>
            <w: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69,087</w:t>
            </w:r>
          </w:p>
        </w:tc>
        <w:tc>
          <w:tcPr>
            <w:tcW w:w="346" w:type="dxa"/>
            <w:tcBorders/>
            <w:vAlign w:val="center"/>
          </w:tcPr>
          <w:p>
            <w:pPr>
              <w:pStyle w:val="TableContents"/>
              <w:bidi w:val="0"/>
              <w:spacing w:before="0" w:after="0"/>
              <w:ind w:left="0" w:right="0" w:hanging="0"/>
              <w:jc w:val="left"/>
            </w:pPr>
            <w:r>
              <w:t>​</w:t>
            </w:r>
          </w:p>
        </w:tc>
        <w:tc>
          <w:tcPr>
            <w:tcW w:w="36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had a total notional amount of $50.0 million, a fixed annual interest rate of 4.77%, and expired on September 29,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its expiration, changes in the fair value of the Company’s interest rate swap agreement were immaterial to the Company’s condensed consolidated financial statements and were included in accrued liabilities in the condensed consolidated balance sheet.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its expiration, the effective portion of the Company’s interest rate swap agreement designated as a cash flow hedge was immaterial to the Company’s condensed consolidated financial statements, and all amounts were reclassified from accumulated other comprehensive income to interest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October 2, 2026, the Company had no derivative financial instruments in place.</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42" w:name="Tc_0kGpEK9ptUij0zqJHcCaHg_11_5"/>
      <w:bookmarkStart w:id="1043" w:name="Tc_zooFdybYbkmsw04rrc-QTg_11_2"/>
      <w:bookmarkStart w:id="1044" w:name="Tc_s3D3pte8c0i_K0Pt6acFWw_11_0"/>
      <w:bookmarkStart w:id="1045" w:name="Tc_c8BR73Hfl02xDRnU6cSMPQ_10_0"/>
      <w:bookmarkStart w:id="1046" w:name="Tc_8NWvLCvo4Eyh2UmcDRLzeA_9_0"/>
      <w:bookmarkStart w:id="1047" w:name="Tc_O2XbAhUCgEWhtbfu0kad0Q_8_0"/>
      <w:bookmarkStart w:id="1048" w:name="Tc_Ww9vk_pD-kiWPtrjblyhxw_7_0"/>
      <w:bookmarkStart w:id="1049" w:name="Tc_8U2ntA1h0EWWjee6jlgYJw_6_6"/>
      <w:bookmarkStart w:id="1050" w:name="Tc_LLanh37awkWUzp_rJyOXDQ_6_3"/>
      <w:bookmarkStart w:id="1051" w:name="Tc_mw-o4TJZGEeVIF9wxTJCcw_6_0"/>
      <w:bookmarkStart w:id="1052" w:name="Tc_uwHp3bt_U0yKWltEZSZ_NA_5_6"/>
      <w:bookmarkStart w:id="1053" w:name="Tc_pHFn7RHJkESsFZGF96-jNg_5_0"/>
      <w:bookmarkStart w:id="1054" w:name="Tc_Y01atqHK3k-pakvJEYdPbQ_4_5"/>
      <w:bookmarkStart w:id="1055" w:name="Tc_BzdmBjOTSkSsGhuYgQV64w_4_2"/>
      <w:bookmarkStart w:id="1056" w:name="Tc_eul8Zuj9AESmLioFLlMZzw_4_0"/>
      <w:bookmarkStart w:id="1057" w:name="Tc_ODMrSicyYE-q439xrkJSZw_3_2"/>
      <w:bookmarkStart w:id="1058" w:name="Tc_YxRoYkvASUaqX8ORKXht3w_3_0"/>
      <w:bookmarkStart w:id="1059" w:name="Tc_9r-idySAEE6nc9Wa-gNPfg_2_5"/>
      <w:bookmarkStart w:id="1060" w:name="Tc_n0dI2vu5skKq_YYoh4azkA_2_2"/>
      <w:bookmarkStart w:id="1061" w:name="Tc_30oeraun4UCLT76aEN8kyQ_1_5"/>
      <w:bookmarkStart w:id="1062" w:name="Tc_agXxSvQvP0OKi5CubhXt4Q_1_2"/>
      <w:bookmarkStart w:id="1063" w:name="_312434a6_89dd_444a_a51f_21c2cb80edd3"/>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pPr>
      <w:r>
        <w:t>​</w:t>
      </w:r>
    </w:p>
    <w:tbl>
      <w:tblPr>
        <w:tblW w:w="7069" w:type="dxa"/>
        <w:jc w:val="left"/>
        <w:tblInd w:w="0" w:type="dxa"/>
        <w:tblLayout w:type="fixed"/>
        <w:tblCellMar>
          <w:top w:w="0" w:type="dxa"/>
          <w:left w:w="0" w:type="dxa"/>
          <w:bottom w:w="0" w:type="dxa"/>
          <w:right w:w="0" w:type="dxa"/>
        </w:tblCellMar>
      </w:tblPr>
      <w:tblGrid>
        <w:gridCol w:w="4486"/>
        <w:gridCol w:w="346"/>
        <w:gridCol w:w="211"/>
        <w:gridCol w:w="676"/>
        <w:gridCol w:w="346"/>
        <w:gridCol w:w="211"/>
        <w:gridCol w:w="793"/>
      </w:tblGrid>
      <w:t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848610" cy="175260"/>
                      <wp:effectExtent l="0" t="0" r="0" b="0"/>
                      <wp:wrapNone/>
                      <wp:docPr id="107" name="Frame10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3555" cy="175260"/>
                      <wp:effectExtent l="0" t="0" r="0" b="0"/>
                      <wp:wrapNone/>
                      <wp:docPr id="113" name="Frame11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4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  ​ ​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c>
          <w:tcPr>
            <w:tcW w:w="44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Credit Agreement</w:t>
            </w:r>
          </w:p>
        </w:tc>
        <w:tc>
          <w:tcPr>
            <w:tcW w:w="346" w:type="dxa"/>
            <w:tcBorders/>
            <w:vAlign w:val="center"/>
          </w:tcPr>
          <w:p>
            <w:pPr>
              <w:pStyle w:val="TableContents"/>
              <w:bidi w:val="0"/>
              <w:spacing w:before="0" w:after="0"/>
              <w:ind w:left="0" w:right="0" w:hanging="0"/>
              <w:jc w:val="left"/>
            </w:pPr>
            <w: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 A</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3" w:type="dxa"/>
            <w:tcBorders/>
            <w:vAlign w:val="center"/>
          </w:tcPr>
          <w:p>
            <w:pPr>
              <w:pStyle w:val="TableContents"/>
              <w:bidi w:val="0"/>
              <w:spacing w:before="0" w:after="0"/>
              <w:ind w:left="0" w:right="0" w:hanging="0"/>
              <w:jc w:val="right"/>
            </w:pPr>
            <w:r>
              <w:t>—</w:t>
            </w:r>
          </w:p>
        </w:tc>
      </w:tr>
      <w:t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r>
      <w:t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48,462</w:t>
            </w:r>
          </w:p>
        </w:tc>
      </w:tr>
      <w:t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59,137</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45,962</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Amended and Restated Credit Agreement (the “Amended and Restated Credit Agreement”) governing the Company’s Revolving Credit Facility and Delayed Draw Term Loan under the Amended and Restated Credit Agreement (the “Credit Facilities”) require the Company to comply with certain financial obligations, including a maximum Net Leverage Ratio and a minimum Fixed Charge Coverage Ratio (as defined in the Amended and Restated Credit Agreement). The Amended and Restated Credit Agreement also contains customary restrictive covenants. As of October 2, 2026, the Company was in compliance with all these covenants.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as of October 2, 2026, the Company’s composite interest rate, exclusive of the effects of upfront fees, undrawn fees and issuance cost amortization, was 5.50%.</w:t>
      </w:r>
    </w:p>
    <w:p>
      <w:pPr>
        <w:pStyle w:val="TextBody"/>
        <w:bidi w:val="0"/>
        <w:spacing w:before="28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64" w:name="xxx"/>
      <w:bookmarkEnd w:id="1064"/>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2034. In addition, the Company is obligated under finance leases for certain furniture and office equipment that expire at various dates through 2031.</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October 2, 2026,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065" w:name="Tc_UemENSNPnkKQICPn6I-71A_26_7"/>
      <w:bookmarkStart w:id="1066" w:name="Tc_C7UGuZSBWUqIVnS9xL94xA_26_4"/>
      <w:bookmarkStart w:id="1067" w:name="Tc_xTLfgFWpbUeiR8PhqzqPTw_26_0"/>
      <w:bookmarkStart w:id="1068" w:name="Tc_H7SI9u0Svk6E2PjYM48vTg_25_7"/>
      <w:bookmarkStart w:id="1069" w:name="Tc_0FdynZlItEGc6MMAhyqwVA_25_4"/>
      <w:bookmarkStart w:id="1070" w:name="Tc_E8UrV4LlxUydq03gUrtHlg_25_0"/>
      <w:bookmarkStart w:id="1071" w:name="Tc_ba9AVi8-10S8yLQC0NDLRw_24_0"/>
      <w:bookmarkStart w:id="1072" w:name="Tc_KXMFAg4gT0-sFjh5Mqx5yw_22_0"/>
      <w:bookmarkStart w:id="1073" w:name="Tc_AJE1VLnU50ikNGCmIJL2pg_21_0"/>
      <w:bookmarkStart w:id="1074" w:name="Tc_c5xNQghGQ0asUGlsHwEukg_20_0"/>
      <w:bookmarkStart w:id="1075" w:name="Tc_EgnQnB1NnkGyGKCdkweyRg_18_5"/>
      <w:bookmarkStart w:id="1076" w:name="Tc_4cGlHCJqTk2l6YMhi0VRDA_18_2"/>
      <w:bookmarkStart w:id="1077" w:name="Tc_69MSbV8tqUSq16wK1oJirg_18_0"/>
      <w:bookmarkStart w:id="1078" w:name="Tc_XXxF1IbNn0K2gWFVzzf-WA_17_0"/>
      <w:bookmarkStart w:id="1079" w:name="Tc_7Q9kf5cAcUmjdKaPrCQaWg_16_5"/>
      <w:bookmarkStart w:id="1080" w:name="Tc_0BKdSjj4n0e_wAa3py3p5A_16_2"/>
      <w:bookmarkStart w:id="1081" w:name="Tc_MutS_nMkV0GMFCDuNOgE1Q_16_0"/>
      <w:bookmarkStart w:id="1082" w:name="Tc_8kqAAovGhkCnMHOQWKjHjA_14_5"/>
      <w:bookmarkStart w:id="1083" w:name="Tc_6UlU-u1lQk2DycRt5ksY8A_14_2"/>
      <w:bookmarkStart w:id="1084" w:name="Tc_fr3v7mCEx0ytol_91jNppg_13_0"/>
      <w:bookmarkStart w:id="1085" w:name="Tc_QsfB9QPOEkOyz1vg7vp3QA_12_5"/>
      <w:bookmarkStart w:id="1086" w:name="Tc_sbQVwCPeS0a_WL4PI5kTHQ_12_2"/>
      <w:bookmarkStart w:id="1087" w:name="Tc_7YCYmxFge0WkMFZ-eBXoqA_12_0"/>
      <w:bookmarkStart w:id="1088" w:name="Tc_HZ_-S1Syc0W73FGjJISF2Q_11_0"/>
      <w:bookmarkStart w:id="1089" w:name="Tc_ZWkKGFgQZUy6FEOpveBgfw_9_5"/>
      <w:bookmarkStart w:id="1090" w:name="Tc_uqvB140C6k2dcR7kYBK1FA_9_2"/>
      <w:bookmarkStart w:id="1091" w:name="Tc_rN8RuS9StEWeP38ru91uvQ_9_0"/>
      <w:bookmarkStart w:id="1092" w:name="Tc_JI0SY02aTUKijJx6a3iVDg_8_0"/>
      <w:bookmarkStart w:id="1093" w:name="Tc_P1P-LcAyKUyKjlx4KH62QQ_7_5"/>
      <w:bookmarkStart w:id="1094" w:name="Tc_92qbp0ojE0Ok3TVQxMHbew_7_2"/>
      <w:bookmarkStart w:id="1095" w:name="Tc_h3s2Nb18HUWYiEuIjT54Vg_7_0"/>
      <w:bookmarkStart w:id="1096" w:name="Tc_bZodj8ejyEmtYAwVpbwSnw_5_5"/>
      <w:bookmarkStart w:id="1097" w:name="Tc_C4H2Zk8dYEyVOUsUa7JT_A_5_2"/>
      <w:bookmarkStart w:id="1098" w:name="Tc_IwTkX-JZjkyEv2j_7IkYtw_5_0"/>
      <w:bookmarkStart w:id="1099" w:name="Tc_C81efFMLhk-MPpDXE9Q4LA_4_0"/>
      <w:bookmarkStart w:id="1100" w:name="Tc_YQn_xvhN_EeR2fpDe5mbgw_3_2"/>
      <w:bookmarkStart w:id="1101" w:name="Tc_kvpv05kuBUmvG4Q7F7_gig_2_5"/>
      <w:bookmarkStart w:id="1102" w:name="Tc_1rIM-lPgTkqEaORRELM2Xg_2_2"/>
      <w:bookmarkStart w:id="1103" w:name="Tc_KlIWtvIO3Uq6VgwYIrDA8w_1_5"/>
      <w:bookmarkStart w:id="1104" w:name="Tc_k-9EwXlSbU-E8HcdHyT_uA_1_2"/>
      <w:bookmarkStart w:id="1105" w:name="_5c1f5a99_fb42_44fe_9155_061cb791ebd0"/>
      <w:bookmarkStart w:id="1106" w:name="Tc_OCWBZ28EH0WwgV7BAfNMNA_10_10"/>
      <w:bookmarkStart w:id="1107" w:name="Tc_BSyrP0COMEuDdC-j5-MAxg_10_7"/>
      <w:bookmarkStart w:id="1108" w:name="Tc_IffaWY3X2UKqOsq_uQTIKw_10_4"/>
      <w:bookmarkStart w:id="1109" w:name="Tc_lDptrCcO1EOCTOOHCRD-LQ_10_1"/>
      <w:bookmarkStart w:id="1110" w:name="Tc_OqlCiXX-E0Cx2cV1nX0Z1A_10_0"/>
      <w:bookmarkStart w:id="1111" w:name="Tc_RkN3vnufYkeZVmSwbK8BvA_9_0"/>
      <w:bookmarkStart w:id="1112" w:name="Tc_ezScnXISyUazGjOspq1elQ_8_0"/>
      <w:bookmarkStart w:id="1113" w:name="Tc_LTMK2t0pHEuziKXySD9EfQ_7_0"/>
      <w:bookmarkStart w:id="1114" w:name="Tc_FN9SFCaOcUqDnApSXvPuEA_6_0"/>
      <w:bookmarkStart w:id="1115" w:name="Tc_G3bTDkyf4kOVjTUjgVRhpg_5_10"/>
      <w:bookmarkStart w:id="1116" w:name="Tc_g-FDRKB2IkGbV2EzAkDJbA_5_7"/>
      <w:bookmarkStart w:id="1117" w:name="Tc_ROhd8_jv_02qlzSLDh3QXw_5_4"/>
      <w:bookmarkStart w:id="1118" w:name="Tc_07yzWhvV40eT7bwIefEeew_5_1"/>
      <w:bookmarkStart w:id="1119" w:name="Tc_c4SqcQeW8Ua73OpwCYDdOA_5_0"/>
      <w:bookmarkStart w:id="1120" w:name="Tc_qo6WC-Ia6kapMTH_wGQb2g_4_7"/>
      <w:bookmarkStart w:id="1121" w:name="Tc_unL173WX-E-EEb9XE6FVsA_4_1"/>
      <w:bookmarkStart w:id="1122" w:name="Tc_kOx4DCfSF024hAVP_Url1w_3_10"/>
      <w:bookmarkStart w:id="1123" w:name="Tc_ooGTI--Gdk2VcE415Szb_Q_3_7"/>
      <w:bookmarkStart w:id="1124" w:name="Tc_6EuR1VofK0ykHkUitXensw_3_4"/>
      <w:bookmarkStart w:id="1125" w:name="Tc_GXJ8ofSxfUWNDTv5szMlPQ_3_1"/>
      <w:bookmarkStart w:id="1126" w:name="Tc_aUCPMRWNeECljbq2oECW_w_2_10"/>
      <w:bookmarkStart w:id="1127" w:name="Tc_AqkrdhmXa0uatZq2uRYW7w_2_7"/>
      <w:bookmarkStart w:id="1128" w:name="Tc_J0zinYDPXU6V0g41N6oMdg_2_4"/>
      <w:bookmarkStart w:id="1129" w:name="Tc_7bpiPSgN_UiSDxFcQmlU6A_2_1"/>
      <w:bookmarkStart w:id="1130" w:name="Tc_aKRg-D2FE0KK_aUYMZMr5A_1_7"/>
      <w:bookmarkStart w:id="1131" w:name="Tc_Lr5JqLqw8k-RhRzm83UW2w_1_1"/>
      <w:bookmarkStart w:id="1132" w:name="_9ee4b882_7b2c_4a23_9a8c_86e8929a3c68"/>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r>
        <w:rPr>
          <w:rFonts w:ascii="Times New Roman;Times;serif" w:hAnsi="Times New Roman;Times;serif"/>
          <w:sz w:val="20"/>
        </w:rPr>
        <w:t>The following is a summary of the Company’s lease expense:</w:t>
      </w:r>
    </w:p>
    <w:p>
      <w:pPr>
        <w:pStyle w:val="TextBody"/>
        <w:bidi w:val="0"/>
        <w:spacing w:before="0" w:after="0"/>
        <w:ind w:left="0" w:right="0" w:hanging="0"/>
        <w:jc w:val="left"/>
      </w:pPr>
      <w:r>
        <w:t>​</w:t>
      </w:r>
    </w:p>
    <w:tbl>
      <w:tblPr>
        <w:tblW w:w="6874" w:type="dxa"/>
        <w:jc w:val="left"/>
        <w:tblInd w:w="0" w:type="dxa"/>
        <w:tblLayout w:type="fixed"/>
        <w:tblCellMar>
          <w:top w:w="0" w:type="dxa"/>
          <w:left w:w="0" w:type="dxa"/>
          <w:bottom w:w="0" w:type="dxa"/>
          <w:right w:w="0" w:type="dxa"/>
        </w:tblCellMar>
      </w:tblPr>
      <w:tblGrid>
        <w:gridCol w:w="2251"/>
        <w:gridCol w:w="239"/>
        <w:gridCol w:w="646"/>
        <w:gridCol w:w="346"/>
        <w:gridCol w:w="239"/>
        <w:gridCol w:w="646"/>
        <w:gridCol w:w="346"/>
        <w:gridCol w:w="239"/>
        <w:gridCol w:w="646"/>
        <w:gridCol w:w="346"/>
        <w:gridCol w:w="218"/>
        <w:gridCol w:w="712"/>
      </w:tblGrid>
      <w:t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29385" cy="175260"/>
                      <wp:effectExtent l="0" t="0" r="0" b="0"/>
                      <wp:wrapNone/>
                      <wp:docPr id="114" name="Frame11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1765" cy="175260"/>
                      <wp:effectExtent l="0" t="0" r="0" b="0"/>
                      <wp:wrapNone/>
                      <wp:docPr id="115" name="Frame1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10210" cy="175260"/>
                      <wp:effectExtent l="0" t="0" r="0" b="0"/>
                      <wp:wrapNone/>
                      <wp:docPr id="116" name="Frame11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1765" cy="175260"/>
                      <wp:effectExtent l="0" t="0" r="0" b="0"/>
                      <wp:wrapNone/>
                      <wp:docPr id="118" name="Frame1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10210" cy="175260"/>
                      <wp:effectExtent l="0" t="0" r="0" b="0"/>
                      <wp:wrapNone/>
                      <wp:docPr id="119" name="Frame11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1765" cy="175260"/>
                      <wp:effectExtent l="0" t="0" r="0" b="0"/>
                      <wp:wrapNone/>
                      <wp:docPr id="121" name="Frame12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10210" cy="175260"/>
                      <wp:effectExtent l="0" t="0" r="0" b="0"/>
                      <wp:wrapNone/>
                      <wp:docPr id="122" name="Frame12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8430" cy="175260"/>
                      <wp:effectExtent l="0" t="0" r="0" b="0"/>
                      <wp:wrapNone/>
                      <wp:docPr id="124" name="Frame12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52120" cy="175260"/>
                      <wp:effectExtent l="0" t="0" r="0" b="0"/>
                      <wp:wrapNone/>
                      <wp:docPr id="125" name="Frame125"/>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251" w:type="dxa"/>
            <w:tcBorders/>
            <w:vAlign w:val="center"/>
          </w:tcPr>
          <w:p>
            <w:pPr>
              <w:pStyle w:val="TableContents"/>
              <w:bidi w:val="0"/>
              <w:spacing w:before="0" w:after="0"/>
              <w:ind w:left="0" w:right="0" w:hanging="0"/>
              <w:jc w:val="left"/>
            </w:pPr>
            <w:r>
              <w:t>​</w:t>
            </w:r>
          </w:p>
        </w:tc>
        <w:tc>
          <w:tcPr>
            <w:tcW w:w="21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2251" w:type="dxa"/>
            <w:tcBorders/>
            <w:vAlign w:val="center"/>
          </w:tcPr>
          <w:p>
            <w:pPr>
              <w:pStyle w:val="TableContents"/>
              <w:bidi w:val="0"/>
              <w:spacing w:before="0" w:after="0"/>
              <w:ind w:left="0" w:right="0" w:hanging="0"/>
              <w:jc w:val="left"/>
            </w:pPr>
            <w: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346" w:type="dxa"/>
            <w:tcBorders/>
            <w:vAlign w:val="center"/>
          </w:tcPr>
          <w:p>
            <w:pPr>
              <w:pStyle w:val="TableContents"/>
              <w:bidi w:val="0"/>
              <w:spacing w:before="0" w:after="0"/>
              <w:ind w:left="0" w:right="0" w:hanging="0"/>
              <w:jc w:val="left"/>
            </w:pPr>
            <w: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2251" w:type="dxa"/>
            <w:tcBorders/>
            <w:vAlign w:val="center"/>
          </w:tcPr>
          <w:p>
            <w:pPr>
              <w:pStyle w:val="TableContents"/>
              <w:bidi w:val="0"/>
              <w:spacing w:before="0" w:after="0"/>
              <w:ind w:left="0" w:right="0" w:hanging="0"/>
              <w:jc w:val="left"/>
            </w:pPr>
            <w: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2251" w:type="dxa"/>
            <w:tcBorders/>
            <w:vAlign w:val="center"/>
          </w:tcPr>
          <w:p>
            <w:pPr>
              <w:pStyle w:val="TableContents"/>
              <w:bidi w:val="0"/>
              <w:spacing w:before="0" w:after="0"/>
              <w:ind w:left="0" w:right="0" w:hanging="0"/>
              <w:jc w:val="left"/>
            </w:pPr>
            <w:r>
              <w:t>​</w:t>
            </w:r>
          </w:p>
        </w:tc>
        <w:tc>
          <w:tcPr>
            <w:tcW w:w="211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pPr>
            <w: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righ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pPr>
            <w:r>
              <w:t>​</w:t>
            </w:r>
          </w:p>
        </w:tc>
        <w:tc>
          <w:tcPr>
            <w:tcW w:w="712" w:type="dxa"/>
            <w:tcBorders/>
            <w:shd w:fill="CCEEFF" w:val="clear"/>
            <w:vAlign w:val="center"/>
          </w:tcPr>
          <w:p>
            <w:pPr>
              <w:pStyle w:val="TableContents"/>
              <w:bidi w:val="0"/>
              <w:spacing w:before="0" w:after="0"/>
              <w:ind w:left="0" w:right="0" w:hanging="0"/>
              <w:jc w:val="left"/>
            </w:pPr>
            <w:r>
              <w:t>​</w:t>
            </w:r>
          </w:p>
        </w:tc>
      </w:tr>
      <w:t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pPr>
            <w: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vAlign w:val="center"/>
          </w:tcPr>
          <w:p>
            <w:pPr>
              <w:pStyle w:val="TableContents"/>
              <w:bidi w:val="0"/>
              <w:spacing w:before="0" w:after="0"/>
              <w:ind w:left="0" w:right="0" w:hanging="0"/>
              <w:jc w:val="left"/>
            </w:pPr>
            <w: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46" w:type="dxa"/>
            <w:tcBorders/>
            <w:vAlign w:val="center"/>
          </w:tcPr>
          <w:p>
            <w:pPr>
              <w:pStyle w:val="TableContents"/>
              <w:bidi w:val="0"/>
              <w:spacing w:before="0" w:after="0"/>
              <w:ind w:left="0" w:right="0" w:hanging="0"/>
              <w:jc w:val="left"/>
            </w:pPr>
            <w: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5,771</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hanging="0"/>
        <w:jc w:val="left"/>
      </w:pPr>
      <w:r>
        <w:t>​</w:t>
      </w:r>
    </w:p>
    <w:tbl>
      <w:tblPr>
        <w:tblW w:w="8651" w:type="dxa"/>
        <w:jc w:val="left"/>
        <w:tblInd w:w="0" w:type="dxa"/>
        <w:tblLayout w:type="fixed"/>
        <w:tblCellMar>
          <w:top w:w="0" w:type="dxa"/>
          <w:left w:w="0" w:type="dxa"/>
          <w:bottom w:w="0" w:type="dxa"/>
          <w:right w:w="0" w:type="dxa"/>
        </w:tblCellMar>
      </w:tblPr>
      <w:tblGrid>
        <w:gridCol w:w="6076"/>
        <w:gridCol w:w="109"/>
        <w:gridCol w:w="211"/>
        <w:gridCol w:w="691"/>
        <w:gridCol w:w="346"/>
        <w:gridCol w:w="211"/>
        <w:gridCol w:w="691"/>
        <w:gridCol w:w="316"/>
      </w:tblGrid>
      <w:t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58260" cy="175260"/>
                      <wp:effectExtent l="0" t="0" r="0" b="0"/>
                      <wp:wrapNone/>
                      <wp:docPr id="126" name="Frame12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785" cy="175260"/>
                      <wp:effectExtent l="0" t="0" r="0" b="0"/>
                      <wp:wrapNone/>
                      <wp:docPr id="129" name="Frame1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785" cy="175260"/>
                      <wp:effectExtent l="0" t="0" r="0" b="0"/>
                      <wp:wrapNone/>
                      <wp:docPr id="132" name="Frame1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0660" cy="175260"/>
                      <wp:effectExtent l="0" t="0" r="0" b="0"/>
                      <wp:wrapNone/>
                      <wp:docPr id="133" name="Frame1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16" w:type="dxa"/>
            <w:tcBorders/>
            <w:vAlign w:val="center"/>
          </w:tcPr>
          <w:p>
            <w:pPr>
              <w:pStyle w:val="TableContents"/>
              <w:bidi w:val="0"/>
              <w:spacing w:before="0" w:after="0"/>
              <w:ind w:left="0" w:right="0" w:hanging="0"/>
              <w:jc w:val="center"/>
            </w:pPr>
            <w:r>
              <w:t>​</w: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pPr>
            <w:r>
              <w:t>​</w: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16" w:type="dxa"/>
            <w:tcBorders/>
            <w:shd w:fill="CCEEFF" w:val="clear"/>
            <w:vAlign w:val="center"/>
          </w:tcPr>
          <w:p>
            <w:pPr>
              <w:pStyle w:val="TableContents"/>
              <w:bidi w:val="0"/>
              <w:spacing w:before="0" w:after="0"/>
              <w:ind w:left="0" w:right="0" w:hanging="0"/>
              <w:jc w:val="lef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17,136</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pPr>
            <w:r>
              <w:t>​</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18,686</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18,432</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pPr>
            <w:r>
              <w:t>​</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16" w:type="dxa"/>
            <w:tcBorders/>
            <w:vAlign w:val="center"/>
          </w:tcPr>
          <w:p>
            <w:pPr>
              <w:pStyle w:val="TableContents"/>
              <w:bidi w:val="0"/>
              <w:spacing w:before="0" w:after="0"/>
              <w:ind w:left="0" w:right="0" w:hanging="0"/>
              <w:jc w:val="right"/>
            </w:pPr>
            <w: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16" w:type="dxa"/>
            <w:tcBorders/>
            <w:shd w:fill="CCEEFF" w:val="clear"/>
            <w:vAlign w:val="center"/>
          </w:tcPr>
          <w:p>
            <w:pPr>
              <w:pStyle w:val="TableContents"/>
              <w:bidi w:val="0"/>
              <w:spacing w:before="0" w:after="0"/>
              <w:ind w:left="0" w:right="0" w:hanging="0"/>
              <w:jc w:val="right"/>
            </w:pPr>
            <w:r>
              <w:t>​</w:t>
            </w:r>
          </w:p>
        </w:tc>
      </w:tr>
      <w:t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Rent expense was $1.7 million and $5.0 million for the three and nine months ended October 2, 2026, respectively, as compared to $1.6 million and $5.1 million for the three and nine months ended October 3, 2025, respectively.</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133" w:name="Tc_4ZTallE5Yk2B-rjKF1IYDg_14_5"/>
      <w:bookmarkStart w:id="1134" w:name="Tc_mF24-nTkD0Gbm_Mn81uKEg_14_2"/>
      <w:bookmarkStart w:id="1135" w:name="Tc_xCtHAUmzlEi4LvFdyvMikg_14_0"/>
      <w:bookmarkStart w:id="1136" w:name="Tc_0OYsEHVq9kyOHhncgh5aeg_13_0"/>
      <w:bookmarkStart w:id="1137" w:name="Tc_88v2Jv4YFkWF_Fq4SYljyQ_12_0"/>
      <w:bookmarkStart w:id="1138" w:name="Tc_Hw9BSlgMjU2_7emaLc5Oaw_11_0"/>
      <w:bookmarkStart w:id="1139" w:name="Tc_fibydsoPIkiLPUs2UZEdXw_10_0"/>
      <w:bookmarkStart w:id="1140" w:name="Tc_T5J7uCSfPkSqSCN2Hyxaww_9_0"/>
      <w:bookmarkStart w:id="1141" w:name="Tc_wh7TTpT6PEyXmBFR7Qi5HA_8_0"/>
      <w:bookmarkStart w:id="1142" w:name="Tc_iRRkccYopE-tD-OGkOlx0A_7_0"/>
      <w:bookmarkStart w:id="1143" w:name="Tc_PX5zolSoPUeeY2uHWfviKQ_6_0"/>
      <w:bookmarkStart w:id="1144" w:name="Tc_JbcISp4ht0q0s3fSNexwZQ_5_0"/>
      <w:bookmarkStart w:id="1145" w:name="Tc_u2ci9BQiLUehgHDt97wPEg_4_5"/>
      <w:bookmarkStart w:id="1146" w:name="Tc_nb0I0aBr8E6VF5MBxHpvxw_4_2"/>
      <w:bookmarkStart w:id="1147" w:name="Tc_hIhY0VX4i0uxhs0BlYhGMw_4_0"/>
      <w:bookmarkStart w:id="1148" w:name="Tc_usQKBLORTE2gg6f9UfNBlQ_3_0"/>
      <w:bookmarkStart w:id="1149" w:name="Tc_c1h_sidAL0-t0fiHYvdGFQ_2_2"/>
      <w:bookmarkStart w:id="1150" w:name="Tc_Xl2HksYvxU6PdAac3b5YVg_1_5"/>
      <w:bookmarkStart w:id="1151" w:name="Tc_DQhEYgoNBkeNnxSSwi2AFQ_1_2"/>
      <w:bookmarkStart w:id="1152" w:name="_1e3a943f_a13e_4b2f_85fa_69288b81f6cd"/>
      <w:bookmarkStart w:id="1153" w:name="Tc_nVLndtZaEk2iuDVnl5q4AQ_11_5"/>
      <w:bookmarkStart w:id="1154" w:name="Tc_13ljw3PEo0qqQCv98_EVzw_11_2"/>
      <w:bookmarkStart w:id="1155" w:name="Tc_q7Bagb88qkWCSUpY_ae5Mg_11_0"/>
      <w:bookmarkStart w:id="1156" w:name="Tc_QlUY92jDq0iiZAcX5j651g_10_0"/>
      <w:bookmarkStart w:id="1157" w:name="Tc_xFXYl57i_EqV1nqYOOuHCw_8_0"/>
      <w:bookmarkStart w:id="1158" w:name="Tc_37D6JX_aWkudoR2YDxaq-g_7_0"/>
      <w:bookmarkStart w:id="1159" w:name="Tc_JRJgo5n730uchIr6WPunXg_6_5"/>
      <w:bookmarkStart w:id="1160" w:name="Tc_KZfjrPruiE-9DmzE0cQTow_6_2"/>
      <w:bookmarkStart w:id="1161" w:name="Tc_Nb_E4Pnj6UWuKwNfkKlZ8A_6_0"/>
      <w:bookmarkStart w:id="1162" w:name="Tc_9D64oT3MCESaPjR31TwW5g_5_0"/>
      <w:bookmarkStart w:id="1163" w:name="Tc_R3xYyBKi-kChtboIHzbX8g_4_2"/>
      <w:bookmarkStart w:id="1164" w:name="Tc_zllOQ2heeUWI4CUWdY1mMA_3_5"/>
      <w:bookmarkStart w:id="1165" w:name="Tc_lgogwymJkE-hwCa3n0kyYA_3_2"/>
      <w:bookmarkStart w:id="1166" w:name="Tc_A7Lr6s24NkG3JeOW-b47Yg_2_5"/>
      <w:bookmarkStart w:id="1167" w:name="Tc_URSoWMEGBkiQM-VaDymZyw_2_2"/>
      <w:bookmarkStart w:id="1168" w:name="Tc_irrgGJiCiEu0rjj2Vuojog_1_2"/>
      <w:bookmarkStart w:id="1169" w:name="_49b25e5b_8c25_4169_902e_110e24caa58e"/>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sz w:val="20"/>
        </w:rPr>
        <w:t>The following is a summary of other information and supplemental cash flow information related to finance and operating leases:</w:t>
      </w:r>
    </w:p>
    <w:p>
      <w:pPr>
        <w:pStyle w:val="TextBody"/>
        <w:bidi w:val="0"/>
        <w:spacing w:before="0" w:after="0"/>
        <w:ind w:left="0" w:right="0" w:hanging="0"/>
        <w:jc w:val="left"/>
      </w:pPr>
      <w:r>
        <w:t>​</w:t>
      </w:r>
    </w:p>
    <w:tbl>
      <w:tblPr>
        <w:tblW w:w="8136" w:type="dxa"/>
        <w:jc w:val="left"/>
        <w:tblInd w:w="0" w:type="dxa"/>
        <w:tblLayout w:type="fixed"/>
        <w:tblCellMar>
          <w:top w:w="0" w:type="dxa"/>
          <w:left w:w="0" w:type="dxa"/>
          <w:bottom w:w="0" w:type="dxa"/>
          <w:right w:w="0" w:type="dxa"/>
        </w:tblCellMar>
      </w:tblPr>
      <w:tblGrid>
        <w:gridCol w:w="5866"/>
        <w:gridCol w:w="109"/>
        <w:gridCol w:w="239"/>
        <w:gridCol w:w="646"/>
        <w:gridCol w:w="346"/>
        <w:gridCol w:w="221"/>
        <w:gridCol w:w="709"/>
      </w:tblGrid>
      <w:t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24910" cy="175260"/>
                      <wp:effectExtent l="0" t="0" r="0" b="0"/>
                      <wp:wrapNone/>
                      <wp:docPr id="134" name="Frame13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51765" cy="175260"/>
                      <wp:effectExtent l="0" t="0" r="0" b="0"/>
                      <wp:wrapNone/>
                      <wp:docPr id="136" name="Frame13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10210" cy="175260"/>
                      <wp:effectExtent l="0" t="0" r="0" b="0"/>
                      <wp:wrapNone/>
                      <wp:docPr id="137" name="Frame13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0335" cy="175260"/>
                      <wp:effectExtent l="0" t="0" r="0" b="0"/>
                      <wp:wrapNone/>
                      <wp:docPr id="139" name="Frame1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50215" cy="175260"/>
                      <wp:effectExtent l="0" t="0" r="0" b="0"/>
                      <wp:wrapNone/>
                      <wp:docPr id="140" name="Frame14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8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58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58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86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21" w:type="dxa"/>
            <w:tcBorders/>
            <w:shd w:fill="CCEEFF" w:val="clear"/>
            <w:vAlign w:val="center"/>
          </w:tcPr>
          <w:p>
            <w:pPr>
              <w:pStyle w:val="TableContents"/>
              <w:bidi w:val="0"/>
              <w:spacing w:before="0" w:after="0"/>
              <w:ind w:left="0" w:right="0" w:hanging="0"/>
              <w:jc w:val="left"/>
            </w:pPr>
            <w:r>
              <w:t>​</w:t>
            </w:r>
          </w:p>
        </w:tc>
        <w:tc>
          <w:tcPr>
            <w:tcW w:w="709" w:type="dxa"/>
            <w:tcBorders/>
            <w:shd w:fill="CCEEFF" w:val="clear"/>
            <w:vAlign w:val="center"/>
          </w:tcPr>
          <w:p>
            <w:pPr>
              <w:pStyle w:val="TableContents"/>
              <w:bidi w:val="0"/>
              <w:spacing w:before="0" w:after="0"/>
              <w:ind w:left="0" w:right="0" w:hanging="0"/>
              <w:jc w:val="left"/>
            </w:pPr>
            <w:r>
              <w:t>​</w:t>
            </w:r>
          </w:p>
        </w:tc>
      </w:tr>
      <w:t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4,964</w:t>
            </w:r>
          </w:p>
        </w:tc>
        <w:tc>
          <w:tcPr>
            <w:tcW w:w="346" w:type="dxa"/>
            <w:tcBorders/>
            <w:vAlign w:val="center"/>
          </w:tcPr>
          <w:p>
            <w:pPr>
              <w:pStyle w:val="TableContents"/>
              <w:bidi w:val="0"/>
              <w:spacing w:before="0" w:after="0"/>
              <w:ind w:left="0" w:right="0" w:hanging="0"/>
              <w:jc w:val="left"/>
            </w:pPr>
            <w: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w:t>
            </w:r>
          </w:p>
        </w:tc>
      </w:tr>
      <w:t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pPr>
            <w:r>
              <w:t>​</w:t>
            </w:r>
          </w:p>
        </w:tc>
        <w:tc>
          <w:tcPr>
            <w:tcW w:w="221" w:type="dxa"/>
            <w:tcBorders/>
            <w:shd w:fill="CCEEFF" w:val="clear"/>
            <w:vAlign w:val="center"/>
          </w:tcPr>
          <w:p>
            <w:pPr>
              <w:pStyle w:val="TableContents"/>
              <w:bidi w:val="0"/>
              <w:spacing w:before="0" w:after="0"/>
              <w:ind w:left="0" w:right="0" w:hanging="0"/>
              <w:jc w:val="left"/>
            </w:pPr>
            <w: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vAlign w:val="center"/>
          </w:tcPr>
          <w:p>
            <w:pPr>
              <w:pStyle w:val="TableContents"/>
              <w:bidi w:val="0"/>
              <w:spacing w:before="0" w:after="0"/>
              <w:ind w:left="0" w:right="0" w:hanging="0"/>
              <w:jc w:val="left"/>
            </w:pPr>
            <w:r>
              <w:t>​</w:t>
            </w:r>
          </w:p>
        </w:tc>
        <w:tc>
          <w:tcPr>
            <w:tcW w:w="221" w:type="dxa"/>
            <w:tcBorders/>
            <w:vAlign w:val="center"/>
          </w:tcPr>
          <w:p>
            <w:pPr>
              <w:pStyle w:val="TableContents"/>
              <w:bidi w:val="0"/>
              <w:spacing w:before="0" w:after="0"/>
              <w:ind w:left="0" w:right="0" w:hanging="0"/>
              <w:jc w:val="left"/>
            </w:pPr>
            <w: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c>
          <w:tcPr>
            <w:tcW w:w="586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64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21" w:type="dxa"/>
            <w:tcBorders/>
            <w:shd w:fill="CCEEFF" w:val="clear"/>
            <w:vAlign w:val="center"/>
          </w:tcPr>
          <w:p>
            <w:pPr>
              <w:pStyle w:val="TableContents"/>
              <w:bidi w:val="0"/>
              <w:spacing w:before="0" w:after="0"/>
              <w:ind w:left="0" w:right="0" w:hanging="0"/>
              <w:jc w:val="left"/>
            </w:pPr>
            <w:r>
              <w:t>​</w:t>
            </w:r>
          </w:p>
        </w:tc>
        <w:tc>
          <w:tcPr>
            <w:tcW w:w="709" w:type="dxa"/>
            <w:tcBorders/>
            <w:shd w:fill="CCEEFF" w:val="clear"/>
            <w:vAlign w:val="center"/>
          </w:tcPr>
          <w:p>
            <w:pPr>
              <w:pStyle w:val="TableContents"/>
              <w:bidi w:val="0"/>
              <w:spacing w:before="0" w:after="0"/>
              <w:ind w:left="0" w:right="0" w:hanging="0"/>
              <w:jc w:val="right"/>
            </w:pPr>
            <w:r>
              <w:t>​</w:t>
            </w:r>
          </w:p>
        </w:tc>
      </w:tr>
      <w:t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1" w:type="dxa"/>
            <w:tcBorders/>
            <w:vAlign w:val="center"/>
          </w:tcPr>
          <w:p>
            <w:pPr>
              <w:pStyle w:val="TableContents"/>
              <w:bidi w:val="0"/>
              <w:spacing w:before="0" w:after="0"/>
              <w:ind w:left="0" w:right="0" w:hanging="0"/>
              <w:jc w:val="left"/>
            </w:pPr>
            <w:r>
              <w:t>​</w:t>
            </w:r>
          </w:p>
        </w:tc>
        <w:tc>
          <w:tcPr>
            <w:tcW w:w="709" w:type="dxa"/>
            <w:tcBorders/>
            <w:vAlign w:val="center"/>
          </w:tcPr>
          <w:p>
            <w:pPr>
              <w:pStyle w:val="TableContents"/>
              <w:bidi w:val="0"/>
              <w:spacing w:before="0" w:after="0"/>
              <w:ind w:left="0" w:right="0" w:hanging="0"/>
              <w:jc w:val="right"/>
            </w:pPr>
            <w:r>
              <w:t>​</w:t>
            </w:r>
          </w:p>
        </w:tc>
      </w:tr>
      <w:t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w:t>
            </w:r>
          </w:p>
        </w:tc>
        <w:tc>
          <w:tcPr>
            <w:tcW w:w="346" w:type="dxa"/>
            <w:tcBorders/>
            <w:shd w:fill="CCEEFF" w:val="clear"/>
            <w:vAlign w:val="center"/>
          </w:tcPr>
          <w:p>
            <w:pPr>
              <w:pStyle w:val="TableContents"/>
              <w:bidi w:val="0"/>
              <w:spacing w:before="0" w:after="0"/>
              <w:ind w:left="0" w:right="0" w:hanging="0"/>
              <w:jc w:val="left"/>
            </w:pPr>
            <w: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4,834</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October 2, 2026:</w:t>
      </w:r>
    </w:p>
    <w:p>
      <w:pPr>
        <w:pStyle w:val="TextBody"/>
        <w:bidi w:val="0"/>
        <w:spacing w:before="0" w:after="0"/>
        <w:ind w:left="0" w:right="0" w:hanging="0"/>
        <w:jc w:val="left"/>
      </w:pPr>
      <w:r>
        <w:t>​</w:t>
      </w:r>
    </w:p>
    <w:tbl>
      <w:tblPr>
        <w:tblW w:w="5028" w:type="dxa"/>
        <w:jc w:val="left"/>
        <w:tblInd w:w="0" w:type="dxa"/>
        <w:tblLayout w:type="fixed"/>
        <w:tblCellMar>
          <w:top w:w="0" w:type="dxa"/>
          <w:left w:w="0" w:type="dxa"/>
          <w:bottom w:w="0" w:type="dxa"/>
          <w:right w:w="0" w:type="dxa"/>
        </w:tblCellMar>
      </w:tblPr>
      <w:tblGrid>
        <w:gridCol w:w="2461"/>
        <w:gridCol w:w="346"/>
        <w:gridCol w:w="211"/>
        <w:gridCol w:w="691"/>
        <w:gridCol w:w="346"/>
        <w:gridCol w:w="211"/>
        <w:gridCol w:w="571"/>
        <w:gridCol w:w="191"/>
      </w:tblGrid>
      <w:t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62735" cy="175895"/>
                      <wp:effectExtent l="0" t="0" r="0" b="0"/>
                      <wp:wrapNone/>
                      <wp:docPr id="141" name="Frame14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895"/>
                      <wp:effectExtent l="0" t="0" r="0" b="0"/>
                      <wp:wrapNone/>
                      <wp:docPr id="142" name="Frame14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895"/>
                      <wp:effectExtent l="0" t="0" r="0" b="0"/>
                      <wp:wrapNone/>
                      <wp:docPr id="143" name="Frame14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38785" cy="175895"/>
                      <wp:effectExtent l="0" t="0" r="0" b="0"/>
                      <wp:wrapNone/>
                      <wp:docPr id="144" name="Frame14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895"/>
                      <wp:effectExtent l="0" t="0" r="0" b="0"/>
                      <wp:wrapNone/>
                      <wp:docPr id="145" name="Frame14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895"/>
                      <wp:effectExtent l="0" t="0" r="0" b="0"/>
                      <wp:wrapNone/>
                      <wp:docPr id="146" name="Frame14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895"/>
                      <wp:effectExtent l="0" t="0" r="0" b="0"/>
                      <wp:wrapNone/>
                      <wp:docPr id="147" name="Frame14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1285" cy="175895"/>
                      <wp:effectExtent l="0" t="0" r="0" b="0"/>
                      <wp:wrapNone/>
                      <wp:docPr id="148" name="Frame14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pPr>
                            <w:r>
                              <w:t>​</w:t>
                            </w:r>
                          </w:p>
                        </w:txbxContent>
                      </v:textbox>
                      <w10:wrap type="none"/>
                    </v:rect>
                  </w:pict>
                </mc:Fallback>
              </mc:AlternateContent>
            </w:r>
          </w:p>
        </w:tc>
      </w:tr>
      <w:tr>
        <w:tc>
          <w:tcPr>
            <w:tcW w:w="2461" w:type="dxa"/>
            <w:tcBorders/>
            <w:vAlign w:val="center"/>
          </w:tcPr>
          <w:p>
            <w:pPr>
              <w:pStyle w:val="TableContents"/>
              <w:bidi w:val="0"/>
              <w:spacing w:before="1" w:after="1"/>
              <w:ind w:left="0" w:right="0" w:hanging="0"/>
              <w:jc w:val="left"/>
            </w:pPr>
            <w:r>
              <w:t>​</w:t>
            </w:r>
          </w:p>
        </w:tc>
        <w:tc>
          <w:tcPr>
            <w:tcW w:w="346" w:type="dxa"/>
            <w:tcBorders/>
            <w:vAlign w:val="center"/>
          </w:tcPr>
          <w:p>
            <w:pPr>
              <w:pStyle w:val="TableContents"/>
              <w:bidi w:val="0"/>
              <w:spacing w:before="1" w:after="1"/>
              <w:ind w:left="0" w:right="0" w:hanging="0"/>
              <w:jc w:val="left"/>
            </w:pPr>
            <w:r>
              <w:t>  ​ ​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bottom w:val="single" w:sz="2" w:space="0" w:color="000000"/>
            </w:tcBorders>
            <w:tcMar>
              <w:bottom w:w="28" w:type="dxa"/>
            </w:tcMar>
            <w:vAlign w:val="center"/>
          </w:tcPr>
          <w:p>
            <w:pPr>
              <w:pStyle w:val="TableContents"/>
              <w:bidi w:val="0"/>
              <w:spacing w:before="1" w:after="1"/>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pPr>
            <w:r>
              <w:t> </w:t>
            </w:r>
          </w:p>
        </w:tc>
      </w:tr>
      <w:tr>
        <w:tc>
          <w:tcPr>
            <w:tcW w:w="2461" w:type="dxa"/>
            <w:tcBorders/>
            <w:vAlign w:val="center"/>
          </w:tcPr>
          <w:p>
            <w:pPr>
              <w:pStyle w:val="TableContents"/>
              <w:bidi w:val="0"/>
              <w:spacing w:before="1" w:after="1"/>
              <w:ind w:left="0" w:right="0" w:hanging="0"/>
              <w:jc w:val="left"/>
            </w:pPr>
            <w:r>
              <w:t>​</w:t>
            </w:r>
          </w:p>
        </w:tc>
        <w:tc>
          <w:tcPr>
            <w:tcW w:w="346" w:type="dxa"/>
            <w:tcBorders/>
            <w:vAlign w:val="center"/>
          </w:tcPr>
          <w:p>
            <w:pPr>
              <w:pStyle w:val="TableContents"/>
              <w:bidi w:val="0"/>
              <w:spacing w:before="1" w:after="1"/>
              <w:ind w:left="0" w:right="0" w:hanging="0"/>
              <w:jc w:val="left"/>
            </w:pPr>
            <w:r>
              <w:t>​</w:t>
            </w:r>
          </w:p>
        </w:tc>
        <w:tc>
          <w:tcPr>
            <w:tcW w:w="203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691" w:type="dxa"/>
            <w:tcBorders/>
            <w:shd w:fill="CCEEFF" w:val="clear"/>
            <w:vAlign w:val="center"/>
          </w:tcPr>
          <w:p>
            <w:pPr>
              <w:pStyle w:val="TableContents"/>
              <w:bidi w:val="0"/>
              <w:spacing w:before="1" w:after="1"/>
              <w:ind w:left="0" w:right="0" w:hanging="0"/>
              <w:jc w:val="left"/>
            </w:pPr>
            <w:r>
              <w: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571" w:type="dxa"/>
            <w:tcBorders/>
            <w:shd w:fill="CCEEFF" w:val="clear"/>
            <w:vAlign w:val="center"/>
          </w:tcPr>
          <w:p>
            <w:pPr>
              <w:pStyle w:val="TableContents"/>
              <w:bidi w:val="0"/>
              <w:spacing w:before="1" w:after="1"/>
              <w:ind w:left="0" w:right="0" w:hanging="0"/>
              <w:jc w:val="left"/>
            </w:pPr>
            <w:r>
              <w:t>​</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1,658</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91" w:type="dxa"/>
            <w:tcBorders/>
            <w:vAlign w:val="center"/>
          </w:tcPr>
          <w:p>
            <w:pPr>
              <w:pStyle w:val="TableContents"/>
              <w:bidi w:val="0"/>
              <w:spacing w:before="1" w:after="1"/>
              <w:ind w:left="0" w:right="0" w:hanging="0"/>
              <w:jc w:val="left"/>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5,868</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1,172</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4,462</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191" w:type="dxa"/>
            <w:tcBorders/>
            <w:vAlign w:val="center"/>
          </w:tcPr>
          <w:p>
            <w:pPr>
              <w:pStyle w:val="TableContents"/>
              <w:bidi w:val="0"/>
              <w:spacing w:before="1" w:after="1"/>
              <w:ind w:left="0" w:right="0" w:hanging="0"/>
              <w:jc w:val="left"/>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2,930</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shd w:fill="CCEEFF" w:val="clear"/>
            <w:vAlign w:val="center"/>
          </w:tcPr>
          <w:p>
            <w:pPr>
              <w:pStyle w:val="TableContents"/>
              <w:bidi w:val="0"/>
              <w:spacing w:before="1" w:after="1"/>
              <w:ind w:left="0" w:right="0" w:hanging="0"/>
              <w:jc w:val="left"/>
            </w:pPr>
            <w: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vAlign w:val="center"/>
          </w:tcPr>
          <w:p>
            <w:pPr>
              <w:pStyle w:val="TableContents"/>
              <w:bidi w:val="0"/>
              <w:spacing w:before="1" w:after="1"/>
              <w:ind w:left="0" w:right="0" w:hanging="0"/>
              <w:jc w:val="left"/>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shd w:fill="CCEEFF" w:val="clear"/>
            <w:vAlign w:val="center"/>
          </w:tcPr>
          <w:p>
            <w:pPr>
              <w:pStyle w:val="TableContents"/>
              <w:bidi w:val="0"/>
              <w:spacing w:before="1" w:after="1"/>
              <w:ind w:left="0" w:right="0" w:hanging="0"/>
              <w:jc w:val="center"/>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4,788</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21,616</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2,078</w:t>
            </w:r>
          </w:p>
        </w:tc>
        <w:tc>
          <w:tcPr>
            <w:tcW w:w="191" w:type="dxa"/>
            <w:tcBorders/>
            <w:vAlign w:val="center"/>
          </w:tcPr>
          <w:p>
            <w:pPr>
              <w:pStyle w:val="TableContents"/>
              <w:bidi w:val="0"/>
              <w:spacing w:before="1" w:after="1"/>
              <w:ind w:left="0" w:right="0" w:hanging="0"/>
              <w:jc w:val="left"/>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(2,930)</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18,686</w:t>
            </w:r>
          </w:p>
        </w:tc>
        <w:tc>
          <w:tcPr>
            <w:tcW w:w="346" w:type="dxa"/>
            <w:tcBorders/>
            <w:vAlign w:val="center"/>
          </w:tcPr>
          <w:p>
            <w:pPr>
              <w:pStyle w:val="TableContents"/>
              <w:bidi w:val="0"/>
              <w:spacing w:before="1" w:after="1"/>
              <w:ind w:left="0" w:right="0" w:hanging="0"/>
              <w:jc w:val="left"/>
            </w:pPr>
            <w:r>
              <w:t>​</w:t>
            </w:r>
          </w:p>
        </w:tc>
        <w:tc>
          <w:tcPr>
            <w:tcW w:w="211" w:type="dxa"/>
            <w:tcBorders/>
            <w:vAlign w:val="center"/>
          </w:tcPr>
          <w:p>
            <w:pPr>
              <w:pStyle w:val="TableContents"/>
              <w:bidi w:val="0"/>
              <w:spacing w:before="1" w:after="1"/>
              <w:ind w:left="0" w:right="0" w:hanging="0"/>
              <w:jc w:val="left"/>
            </w:pPr>
            <w: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1,981</w:t>
            </w:r>
          </w:p>
        </w:tc>
        <w:tc>
          <w:tcPr>
            <w:tcW w:w="191" w:type="dxa"/>
            <w:tcBorders/>
            <w:vAlign w:val="center"/>
          </w:tcPr>
          <w:p>
            <w:pPr>
              <w:pStyle w:val="TableContents"/>
              <w:bidi w:val="0"/>
              <w:spacing w:before="1" w:after="1"/>
              <w:ind w:left="0" w:right="0" w:hanging="0"/>
              <w:jc w:val="left"/>
            </w:pPr>
            <w:r>
              <w:t>​</w:t>
            </w:r>
          </w:p>
        </w:tc>
      </w:tr>
      <w:t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4,768</w:t>
            </w:r>
          </w:p>
        </w:tc>
        <w:tc>
          <w:tcPr>
            <w:tcW w:w="346" w:type="dxa"/>
            <w:tcBorders/>
            <w:shd w:fill="CCEEFF" w:val="clear"/>
            <w:vAlign w:val="center"/>
          </w:tcPr>
          <w:p>
            <w:pPr>
              <w:pStyle w:val="TableContents"/>
              <w:bidi w:val="0"/>
              <w:spacing w:before="1"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pPr>
            <w: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1,076</w:t>
            </w:r>
          </w:p>
        </w:tc>
        <w:tc>
          <w:tcPr>
            <w:tcW w:w="191" w:type="dxa"/>
            <w:tcBorders/>
            <w:shd w:fill="CCEEFF" w:val="clear"/>
            <w:vAlign w:val="center"/>
          </w:tcPr>
          <w:p>
            <w:pPr>
              <w:pStyle w:val="TableContents"/>
              <w:bidi w:val="0"/>
              <w:spacing w:before="1" w:after="1"/>
              <w:ind w:left="0" w:right="0" w:hanging="0"/>
              <w:jc w:val="left"/>
            </w:pPr>
            <w:r>
              <w:t>​</w:t>
            </w:r>
          </w:p>
        </w:tc>
      </w:tr>
      <w:t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46" w:type="dxa"/>
            <w:tcBorders/>
            <w:vAlign w:val="center"/>
          </w:tcPr>
          <w:p>
            <w:pPr>
              <w:pStyle w:val="TableContents"/>
              <w:bidi w:val="0"/>
              <w:spacing w:before="1"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13,918</w:t>
            </w:r>
          </w:p>
        </w:tc>
        <w:tc>
          <w:tcPr>
            <w:tcW w:w="346" w:type="dxa"/>
            <w:tcBorders/>
            <w:vAlign w:val="center"/>
          </w:tcPr>
          <w:p>
            <w:pPr>
              <w:pStyle w:val="TableContents"/>
              <w:bidi w:val="0"/>
              <w:spacing w:before="1"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191" w:type="dxa"/>
            <w:tcBorders/>
            <w:vAlign w:val="center"/>
          </w:tcPr>
          <w:p>
            <w:pPr>
              <w:pStyle w:val="TableContents"/>
              <w:bidi w:val="0"/>
              <w:spacing w:before="1" w:after="1"/>
              <w:ind w:left="0" w:right="0" w:hanging="0"/>
              <w:jc w:val="left"/>
            </w:pPr>
            <w:r>
              <w:t>​</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Under the Plan, the Company may make discretionary contributions to employee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October 2, 2026 and October 3, 2025, the Company made matching contributions of $3.2 million </w:t>
      </w:r>
      <w:r>
        <w:rPr>
          <w:rFonts w:ascii="Times New Roman;Times;serif" w:hAnsi="Times New Roman;Times;serif"/>
          <w:sz w:val="20"/>
          <w:shd w:fill="FFFFFF" w:val="clear"/>
        </w:rPr>
        <w:t>and $2.4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October 2, 2026, the Company had one VIE — Genesys.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170" w:name="Tc_cpZgsfHbaES2Zfv9MlOhyA_29_12"/>
      <w:bookmarkStart w:id="1171" w:name="Tc_krBFRLtceESFdU8aymSNcQ_29_0"/>
      <w:bookmarkStart w:id="1172" w:name="Tc_Wt5OIYFfH0OLumO-XwtlFA_28_12"/>
      <w:bookmarkStart w:id="1173" w:name="Tc_6pGZfEoqq0WT6Cb7Uenv9Q_28_0"/>
      <w:bookmarkStart w:id="1174" w:name="Tc_cz2y5th8nkmPf4ckRRi1mg_27_12"/>
      <w:bookmarkStart w:id="1175" w:name="Tc_8bSFaguhmEaMvsiwV4eNAg_27_0"/>
      <w:bookmarkStart w:id="1176" w:name="Tc_WeBrA2jYj0Cp_yIDQ4dDhw_26_12"/>
      <w:bookmarkStart w:id="1177" w:name="Tc_6EQOXJWgxEehJuzpZiyxlA_26_0"/>
      <w:bookmarkStart w:id="1178" w:name="Tc_FLy8urs4IEypijWrSNHA6w_25_12"/>
      <w:bookmarkStart w:id="1179" w:name="Tc_9IJCDSxNwUmtMo_TED0tBQ_25_9"/>
      <w:bookmarkStart w:id="1180" w:name="Tc_WbXiubE4Kka3LMwSKQqZqw_25_0"/>
      <w:bookmarkStart w:id="1181" w:name="Tc_GNUtJBOha0GbV_3Ji4fbcg_24_12"/>
      <w:bookmarkStart w:id="1182" w:name="Tc_iN4Pb4VKvU6twQjqFOVfWg_24_6"/>
      <w:bookmarkStart w:id="1183" w:name="Tc_lvsiZ_Dy20ef8_v7CN5JpA_24_3"/>
      <w:bookmarkStart w:id="1184" w:name="Tc_6M9KZ5pW5Em9rbOWuxSnXg_24_0"/>
      <w:bookmarkStart w:id="1185" w:name="Tc_Taymr50LNEqC_HvT3v2Xhw_23_12"/>
      <w:bookmarkStart w:id="1186" w:name="Tc_xo0Nw2QUa0eqh8ej2xTTIw_23_0"/>
      <w:bookmarkStart w:id="1187" w:name="Tc_NJVyunEapESxLB-rFYO0EQ_22_12"/>
      <w:bookmarkStart w:id="1188" w:name="Tc_CMD1lqI3f0iGVsQKN45tpQ_22_0"/>
      <w:bookmarkStart w:id="1189" w:name="Tc_CCZ54SFwvUmeH9of0QNWxg_21_12"/>
      <w:bookmarkStart w:id="1190" w:name="Tc_Of-wfTfPkki4ePlKYCw2HQ_21_9"/>
      <w:bookmarkStart w:id="1191" w:name="Tc_SG1gsJ8r9kWiowMCYXW1sw_21_0"/>
      <w:bookmarkStart w:id="1192" w:name="Tc_dcK7A4vJXE-AjtDsCEYtEw_20_12"/>
      <w:bookmarkStart w:id="1193" w:name="Tc_SuZiRz5goUGYnTSp-k5s-g_20_9"/>
      <w:bookmarkStart w:id="1194" w:name="Tc_0Wmaq5nFyEiqyU6wbq7dwg_20_0"/>
      <w:bookmarkStart w:id="1195" w:name="Tc_kl0MSExknUSYT3Vzgr9OyQ_19_12"/>
      <w:bookmarkStart w:id="1196" w:name="Tc_Ah8094dsDEStFOJ4wbnd6w_19_9"/>
      <w:bookmarkStart w:id="1197" w:name="Tc_NFB82u5K8kqJ10o7bbVy0Q_19_0"/>
      <w:bookmarkStart w:id="1198" w:name="Tc_3myWDX4gd0WAyFWsxsTwgw_18_14"/>
      <w:bookmarkStart w:id="1199" w:name="Tc_bjLROoSCe0K2sBfKEaJrYQ_18_12"/>
      <w:bookmarkStart w:id="1200" w:name="Tc_XY6kkw0nl02tKNnCESJXkQ_18_11"/>
      <w:bookmarkStart w:id="1201" w:name="Tc_ckU-9xvNVkWPYIm2DgKKHg_18_9"/>
      <w:bookmarkStart w:id="1202" w:name="Tc_gN7ZC2afnE6oFNxBoz9SBA_18_8"/>
      <w:bookmarkStart w:id="1203" w:name="Tc_8A7QN7JLdUWNteCYCcPqqQ_18_5"/>
      <w:bookmarkStart w:id="1204" w:name="Tc_Q_CV9YUe8Eyb_nLS_8bn3A_18_2"/>
      <w:bookmarkStart w:id="1205" w:name="Tc_YcRBumjI6k2_50t1mz2iLA_18_0"/>
      <w:bookmarkStart w:id="1206" w:name="Tc_fTpzpzxNx0WcFc-UCCDVxA_17_0"/>
      <w:bookmarkStart w:id="1207" w:name="Tc_C94gp_jI9ke2CzBcUNXm4w_16_12"/>
      <w:bookmarkStart w:id="1208" w:name="Tc_77fiizTEnU6DDHCP_IbQWg_16_0"/>
      <w:bookmarkStart w:id="1209" w:name="Tc_Amb9OPCWQ0yetb5O-vhj9Q_15_12"/>
      <w:bookmarkStart w:id="1210" w:name="Tc_PpUC5tkH0E-NuHaU38bUOA_15_0"/>
      <w:bookmarkStart w:id="1211" w:name="Tc_IQ3SODBEE0mYqEc6hbXpYw_14_12"/>
      <w:bookmarkStart w:id="1212" w:name="Tc_miIGL0HyxEODFF2-Z3oVDw_14_0"/>
      <w:bookmarkStart w:id="1213" w:name="Tc_NfWj1VJmiUOUN6KHFgOgdQ_13_12"/>
      <w:bookmarkStart w:id="1214" w:name="Tc_eiYSBLz4cEuFNBELvaHI6A_13_0"/>
      <w:bookmarkStart w:id="1215" w:name="Tc_UCKXgQ-Y00G8-S4OLomFHQ_12_12"/>
      <w:bookmarkStart w:id="1216" w:name="Tc_K1ZQ_S4km0O04YQ5hYxrWA_12_9"/>
      <w:bookmarkStart w:id="1217" w:name="Tc_RMIGgC2VW0ePNkIjPfugzA_12_0"/>
      <w:bookmarkStart w:id="1218" w:name="Tc_11b0XZTKqUiwTHp3-wEm7Q_11_12"/>
      <w:bookmarkStart w:id="1219" w:name="Tc_by3ifMbFW0y0Vh_0VW8oug_11_6"/>
      <w:bookmarkStart w:id="1220" w:name="Tc_BSDOZRMv1U2VvY4eyYedLA_11_3"/>
      <w:bookmarkStart w:id="1221" w:name="Tc_FSyunnD0MEWPt6Jp5V_fFw_11_0"/>
      <w:bookmarkStart w:id="1222" w:name="Tc_801t4fUojEWyamdAfNDEqg_10_12"/>
      <w:bookmarkStart w:id="1223" w:name="Tc_ziVU2vfkGk27cj9teqoqiQ_10_0"/>
      <w:bookmarkStart w:id="1224" w:name="Tc_QqYrKnZ7xUOuEdZbmLkeZA_9_12"/>
      <w:bookmarkStart w:id="1225" w:name="Tc_LBpaYmqSa0y_xcwuHgDcbg_9_0"/>
      <w:bookmarkStart w:id="1226" w:name="Tc_E494cu52-ESoGH0YYm0I1Q_8_12"/>
      <w:bookmarkStart w:id="1227" w:name="Tc_KrO99nUZDUuMlWpRX2k1iQ_8_9"/>
      <w:bookmarkStart w:id="1228" w:name="Tc_rsHwKvxkI0i_yZepkLYGaw_8_0"/>
      <w:bookmarkStart w:id="1229" w:name="Tc_OsnPCHAfNE-sJQK1Eqk4nA_7_12"/>
      <w:bookmarkStart w:id="1230" w:name="Tc_LZ0vyJyYH0ijfXc1k2XNSA_7_9"/>
      <w:bookmarkStart w:id="1231" w:name="Tc_fkIRnEhT1kOznq7EH_6WJg_7_0"/>
      <w:bookmarkStart w:id="1232" w:name="Tc_eNSemWZMXkKxvqTzSx9gug_6_12"/>
      <w:bookmarkStart w:id="1233" w:name="Tc_pQZau_sH-EKSMiDuikvILQ_6_9"/>
      <w:bookmarkStart w:id="1234" w:name="Tc_SDw3lOhshEeWERF5YvKemg_6_0"/>
      <w:bookmarkStart w:id="1235" w:name="Tc_fgO_J25ZoEG1eHaVSLFzgw_5_14"/>
      <w:bookmarkStart w:id="1236" w:name="Tc_oPJmr3pAnU-OpuP0gJqgSQ_5_12"/>
      <w:bookmarkStart w:id="1237" w:name="Tc_uJ-DYD-grES1RyDkU8aVzw_5_11"/>
      <w:bookmarkStart w:id="1238" w:name="Tc_idQAmHKqWEueUTZ3IAzAUg_5_9"/>
      <w:bookmarkStart w:id="1239" w:name="Tc_cMSAZn0ZxEOFz1mbSC2ShQ_5_8"/>
      <w:bookmarkStart w:id="1240" w:name="Tc_SQEI-vZshEyCfUyr6BqKQQ_5_5"/>
      <w:bookmarkStart w:id="1241" w:name="Tc_0iXqtcniZEOWEoEVyD9nGA_5_2"/>
      <w:bookmarkStart w:id="1242" w:name="Tc_nG2MbOdXt0-5mNuEm9_B1Q_5_0"/>
      <w:bookmarkStart w:id="1243" w:name="Tc_y0RrWsnNqEKukLczqJ74kw_4_0"/>
      <w:bookmarkStart w:id="1244" w:name="Tc_S6gw74oNv0GP8ypOaU_2MQ_3_2"/>
      <w:bookmarkStart w:id="1245" w:name="Tc_9mrHSc4IuUS-r_tQMRW8uw_2_14"/>
      <w:bookmarkStart w:id="1246" w:name="Tc_Cxhl-b_gO0aKFLuLL3VJdQ_2_11"/>
      <w:bookmarkStart w:id="1247" w:name="Tc_UFPJMlYze0qZvpZhVNKqJA_2_8"/>
      <w:bookmarkStart w:id="1248" w:name="Tc_8iiR_X6ttkKg8yR3C7YWVw_2_5"/>
      <w:bookmarkStart w:id="1249" w:name="Tc_NQ6QDMwJpEKYnWEbb90f1A_2_2"/>
      <w:bookmarkStart w:id="1250" w:name="Tc_Q5yMkMd4wUe7MZHjTWMZaw_1_14"/>
      <w:bookmarkStart w:id="1251" w:name="Tc_eyKBu0fsGkuw0zedPZydIA_1_8"/>
      <w:bookmarkStart w:id="1252" w:name="Tc_jQfsPnZQEkK_XCw3jsi34g_1_5"/>
      <w:bookmarkStart w:id="1253" w:name="_480b5bb5_6d26_4495_8028_979b089540af"/>
      <w:bookmarkStart w:id="1254" w:name="_f0805b8e_f71d_4f70_a650_11d9646143df_5"/>
      <w:bookmarkStart w:id="1255" w:name="_f0805b8e_f71d_4f70_a650_11d9646143df_4"/>
      <w:bookmarkStart w:id="1256" w:name="_f0805b8e_f71d_4f70_a650_11d9646143df_3"/>
      <w:bookmarkStart w:id="1257" w:name="_f0805b8e_f71d_4f70_a650_11d9646143df_2"/>
      <w:bookmarkStart w:id="1258" w:name="_f0805b8e_f71d_4f70_a650_11d9646143df"/>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two segments are Energy, and Engineering and Consulting, and the Company’s chief operating decision maker (“CODM”), which continues to be its chief executive officer, receives and reviews financial information in this format.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ASU 2023-07, the Company’s CODM evaluates the performance of each segment based upon the information provided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and nine months ended October 2, 2026 and October 3, 2025. In addition, enterprise-wide service line contract revenue is not included as it is impracticable to report this information for each group of similar services</w:t>
      </w:r>
      <w:r>
        <w:rPr>
          <w:rFonts w:ascii="Times New Roman;Times;serif" w:hAnsi="Times New Roman;Times;serif"/>
          <w:sz w:val="20"/>
          <w:shd w:fill="FFFFFF" w:val="clear"/>
        </w:rPr>
        <w:t>.</w:t>
      </w:r>
    </w:p>
    <w:p>
      <w:pPr>
        <w:pStyle w:val="TextBody"/>
        <w:bidi w:val="0"/>
        <w:spacing w:before="0" w:after="0"/>
        <w:ind w:left="0" w:right="0" w:hanging="0"/>
        <w:jc w:val="left"/>
      </w:pPr>
      <w:r>
        <w:t>​</w:t>
      </w:r>
    </w:p>
    <w:tbl>
      <w:tblPr>
        <w:tblW w:w="9944"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721"/>
        <w:gridCol w:w="346"/>
        <w:gridCol w:w="479"/>
        <w:gridCol w:w="407"/>
        <w:gridCol w:w="346"/>
        <w:gridCol w:w="196"/>
        <w:gridCol w:w="796"/>
      </w:tblGrid>
      <w:t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05685" cy="175260"/>
                      <wp:effectExtent l="0" t="0" r="0" b="0"/>
                      <wp:wrapNone/>
                      <wp:docPr id="149" name="Frame149"/>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9700" cy="175260"/>
                      <wp:effectExtent l="0" t="0" r="0" b="0"/>
                      <wp:wrapNone/>
                      <wp:docPr id="154" name="Frame1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2435" cy="175260"/>
                      <wp:effectExtent l="0" t="0" r="0" b="0"/>
                      <wp:wrapNone/>
                      <wp:docPr id="155" name="Frame15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8" name="Frame1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04165" cy="175260"/>
                      <wp:effectExtent l="0" t="0" r="0" b="0"/>
                      <wp:wrapNone/>
                      <wp:docPr id="160" name="Frame16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58445" cy="175260"/>
                      <wp:effectExtent l="0" t="0" r="0" b="0"/>
                      <wp:wrapNone/>
                      <wp:docPr id="161" name="Frame16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4" name="Frame1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63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887"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pPr>
            <w: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c>
          <w:tcPr>
            <w:tcW w:w="36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c>
          <w:tcPr>
            <w:tcW w:w="36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967"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October 2, 2026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100,555</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102,372</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18,533</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29,702</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65,720</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82,453</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44,746</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4,437</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60,369</w:t>
            </w:r>
          </w:p>
        </w:tc>
      </w:tr>
      <w:t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20,950</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(4,248)</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22,250</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5,257</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15,693</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(5,319)</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15,399</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3,961</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3,538</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11,732</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(4,177)</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11,861</w:t>
            </w:r>
          </w:p>
        </w:tc>
      </w:tr>
      <w:t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529,220</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44,170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72,532</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645,922</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October 2, 2026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272,954</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278,840</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55,556</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33,210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88,766</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186,855</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46,208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233,063</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125,949</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33,494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12,093</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171,536</w:t>
            </w:r>
          </w:p>
        </w:tc>
      </w:tr>
      <w:t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61,183</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12,712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(10,968)</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62,927</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16,636</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18,197</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44,547</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11,151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(13,960)</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41,738</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(3,200)</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(2,998)</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47,747</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(14,963)</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44,736</w:t>
            </w:r>
          </w:p>
        </w:tc>
      </w:tr>
      <w:t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529,220</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44,170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72,532</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645,922</w:t>
            </w:r>
          </w:p>
        </w:tc>
      </w:tr>
    </w:tbl>
    <w:p>
      <w:pPr>
        <w:pStyle w:val="TextBody"/>
        <w:bidi w:val="0"/>
        <w:spacing w:before="0" w:after="0"/>
        <w:ind w:left="0" w:right="0" w:hanging="0"/>
        <w:jc w:val="left"/>
      </w:pPr>
      <w: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166" w:type="dxa"/>
            <w:tcBorders/>
            <w:tcMar>
              <w:top w:w="0" w:type="dxa"/>
              <w:left w:w="0" w:type="dxa"/>
              <w:bottom w:w="0" w:type="dxa"/>
              <w:right w:w="0" w:type="dxa"/>
            </w:tcMar>
            <w:vAlign w:val="center"/>
          </w:tcPr>
          <w:p>
            <w:pPr>
              <w:pStyle w:val="TableContents"/>
              <w:bidi w:val="0"/>
              <w:spacing w:before="0" w:after="283"/>
              <w:jc w:val="left"/>
            </w:pPr>
            <w:r>
              <w:t>“</w:t>
            </w:r>
            <w:r>
              <w:rPr>
                <w:rFonts w:ascii="Times New Roman;Times;serif" w:hAnsi="Times New Roman;Times;serif"/>
                <w:b w:val="false"/>
                <w:i/>
                <w:sz w:val="16"/>
              </w:rPr>
              <w:t>EBITDA” is defined as earnings before interest, taxes, depreciation and amortization.</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pPr>
      <w: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259" w:name="Tc_hAOyH3FBEkeiS-A3B7cgHw_29_12"/>
      <w:bookmarkStart w:id="1260" w:name="Tc_2UqBL300CkmUhy6rFjghog_29_0"/>
      <w:bookmarkStart w:id="1261" w:name="Tc_B1HIWENyHUygqNlP_8WLkQ_28_12"/>
      <w:bookmarkStart w:id="1262" w:name="Tc_qfwLWRVpr0-S9L3yXLcCvw_28_0"/>
      <w:bookmarkStart w:id="1263" w:name="Tc_xIowJ8CsfUiTFwm9Ij8JYQ_27_12"/>
      <w:bookmarkStart w:id="1264" w:name="Tc_J4ESdwuaWkCcL4OrBWt3tw_27_0"/>
      <w:bookmarkStart w:id="1265" w:name="Tc_NHczcDM9qkWldvMtvzO4ag_26_12"/>
      <w:bookmarkStart w:id="1266" w:name="Tc_gHainYRTnEWC9yZ3M9_9Vw_26_0"/>
      <w:bookmarkStart w:id="1267" w:name="Tc_vOIOV0ClXE2VoQiPd807ng_25_12"/>
      <w:bookmarkStart w:id="1268" w:name="Tc_zcihSs077Umed9hv5oiJWA_25_9"/>
      <w:bookmarkStart w:id="1269" w:name="Tc_eGtSeRRN_EywB_kcAAfFtA_25_0"/>
      <w:bookmarkStart w:id="1270" w:name="Tc_H5qYjtQGEUuSJjHzzMksQw_24_12"/>
      <w:bookmarkStart w:id="1271" w:name="Tc_Mos5CiefYECAA1JSN_62YA_24_6"/>
      <w:bookmarkStart w:id="1272" w:name="Tc_NfbqQ1rBb06YYXzSqnZdBA_24_3"/>
      <w:bookmarkStart w:id="1273" w:name="Tc_XQJykDliJEiPxDj1FCJpVQ_24_0"/>
      <w:bookmarkStart w:id="1274" w:name="Tc_bnP36QVCAkWp3Z_MAjlm6Q_23_12"/>
      <w:bookmarkStart w:id="1275" w:name="Tc_WqGpn1c2ukagxI8rrLymwQ_23_0"/>
      <w:bookmarkStart w:id="1276" w:name="Tc_aEhk1wQohUWNNJAN7in1kw_22_12"/>
      <w:bookmarkStart w:id="1277" w:name="Tc_pOAV8ONhkkqv2L6lmO9MZA_22_0"/>
      <w:bookmarkStart w:id="1278" w:name="Tc_5w8rVX9TT0CoKtQTBmYZFg_21_12"/>
      <w:bookmarkStart w:id="1279" w:name="Tc_0VXMyBmvDUmXpg6FNq32gg_21_9"/>
      <w:bookmarkStart w:id="1280" w:name="Tc_qOq6dDn8Pkqk024i1v9lTQ_21_0"/>
      <w:bookmarkStart w:id="1281" w:name="Tc_AlKAR93heU-Y0f_NqHHOGQ_20_12"/>
      <w:bookmarkStart w:id="1282" w:name="Tc_RKF6FEoSfkKJng5pRHb0jg_20_9"/>
      <w:bookmarkStart w:id="1283" w:name="Tc_PX05wBD1GEy1oNNvJvO-7w_20_0"/>
      <w:bookmarkStart w:id="1284" w:name="Tc_lW7tGu5-iUWazALRrnE1eA_19_12"/>
      <w:bookmarkStart w:id="1285" w:name="Tc_rEO765J6lEGlzpJf-F-Exw_19_9"/>
      <w:bookmarkStart w:id="1286" w:name="Tc_mlTl2xDXQEakXQoxc-CsSA_19_0"/>
      <w:bookmarkStart w:id="1287" w:name="Tc_VgmgIg8iKEOkZPFpITM_xQ_18_14"/>
      <w:bookmarkStart w:id="1288" w:name="Tc_ExjCL--6eUuNFLKNDbnpMA_18_12"/>
      <w:bookmarkStart w:id="1289" w:name="Tc_Nr8wmQEYo0Kw98kemmCGaw_18_11"/>
      <w:bookmarkStart w:id="1290" w:name="Tc_dal1BhO7DEiXpRKnUaKwFw_18_9"/>
      <w:bookmarkStart w:id="1291" w:name="Tc_mcr676LYYkqcSHGjfyjYzA_18_8"/>
      <w:bookmarkStart w:id="1292" w:name="Tc_Zlt2z48Vc0ysp6AjmZh0rQ_18_5"/>
      <w:bookmarkStart w:id="1293" w:name="Tc_eoC77XAfx0-Nup402ZRGzA_18_2"/>
      <w:bookmarkStart w:id="1294" w:name="Tc_rv0m-ZRtmUKyJgKVruUU1A_18_0"/>
      <w:bookmarkStart w:id="1295" w:name="Tc_0jRRxVXKwkSA6Umirf1Bpw_17_0"/>
      <w:bookmarkStart w:id="1296" w:name="Tc_vOgPMKi0eEGzAE-28AQcNA_16_12"/>
      <w:bookmarkStart w:id="1297" w:name="Tc__CWxeXwd0keMQNAlhlaIXw_16_0"/>
      <w:bookmarkStart w:id="1298" w:name="Tc_1Bt7E5aSNU-kgHygB4SaiQ_15_12"/>
      <w:bookmarkStart w:id="1299" w:name="Tc_MYX0FxdTLEaz2JePcix2wQ_15_0"/>
      <w:bookmarkStart w:id="1300" w:name="Tc_bwbCYS4EnU6eWrVEVFJ-6Q_14_12"/>
      <w:bookmarkStart w:id="1301" w:name="Tc_iDbN7_RLRk6hXd2jza1Cgw_14_0"/>
      <w:bookmarkStart w:id="1302" w:name="Tc_eytzClHZ_U2ChNEwCmcVdg_13_12"/>
      <w:bookmarkStart w:id="1303" w:name="Tc_k7jHKhPtBk-j728YZeUKDw_13_0"/>
      <w:bookmarkStart w:id="1304" w:name="Tc_xTimZA7XVUGNygx5UCMcUw_12_12"/>
      <w:bookmarkStart w:id="1305" w:name="Tc_R4wv6kqkFku3vQ791kyWoA_12_9"/>
      <w:bookmarkStart w:id="1306" w:name="Tc_1wYqYcKbPEOgY0ltKegjtg_12_0"/>
      <w:bookmarkStart w:id="1307" w:name="Tc_rVFqQULcnUe1Hefklwppyw_11_12"/>
      <w:bookmarkStart w:id="1308" w:name="Tc_Q10B3T5tnEi2oKhYb857ow_11_6"/>
      <w:bookmarkStart w:id="1309" w:name="Tc__7hDAOGezk6FPPW12rxRBQ_11_3"/>
      <w:bookmarkStart w:id="1310" w:name="Tc_KNHXxycNvEyfPJpr5yM2Vw_11_0"/>
      <w:bookmarkStart w:id="1311" w:name="Tc_5B6THqKO306YTN6KcJSCVg_10_12"/>
      <w:bookmarkStart w:id="1312" w:name="Tc_b6sreF_-UEuG0eWeV_CW6A_10_0"/>
      <w:bookmarkStart w:id="1313" w:name="Tc_rXkvmsZAfEmAWV-dMdMfOw_9_12"/>
      <w:bookmarkStart w:id="1314" w:name="Tc_PYosb12GGkyRiDWiOmnI_Q_9_0"/>
      <w:bookmarkStart w:id="1315" w:name="Tc_ogxPkrnGBUeEugqHjYYPCA_8_12"/>
      <w:bookmarkStart w:id="1316" w:name="Tc_9vYlLeghDUGt1sEq1oxhSA_8_9"/>
      <w:bookmarkStart w:id="1317" w:name="Tc_xZYf1hLFREyFE7-0p1z_Pg_8_0"/>
      <w:bookmarkStart w:id="1318" w:name="Tc_vrpmX_gpk06sTbIJaMaGIQ_7_12"/>
      <w:bookmarkStart w:id="1319" w:name="Tc_BpGVpK5_k0efcEi3NCtUpA_7_9"/>
      <w:bookmarkStart w:id="1320" w:name="Tc_B68D4QCl4kqg8WjpSSRq9w_7_0"/>
      <w:bookmarkStart w:id="1321" w:name="Tc_yY7ySEYGQ0iBX396VneUAQ_6_12"/>
      <w:bookmarkStart w:id="1322" w:name="Tc_XorJUpk3R0ODtIGWFIZn_w_6_9"/>
      <w:bookmarkStart w:id="1323" w:name="Tc_UGwiJU4mfkKOxFslV4ba7g_6_0"/>
      <w:bookmarkStart w:id="1324" w:name="Tc_-a9-KCVj1U2lpokuDlz3Fw_5_14"/>
      <w:bookmarkStart w:id="1325" w:name="Tc_yrOkhRBupkaBmaxdRCJz_Q_5_12"/>
      <w:bookmarkStart w:id="1326" w:name="Tc_7T5nyA-ZCUC_KhFeS8kGvQ_5_11"/>
      <w:bookmarkStart w:id="1327" w:name="Tc_NWSvxFNXsEiQkpceOsAamQ_5_9"/>
      <w:bookmarkStart w:id="1328" w:name="Tc_h5BZs6kDYkmpzaSeRNQpUA_5_8"/>
      <w:bookmarkStart w:id="1329" w:name="Tc_TZujDf3u4EuDd7VI15LJug_5_5"/>
      <w:bookmarkStart w:id="1330" w:name="Tc_8qOVnRq3IE6lRYYHEdYkvA_5_2"/>
      <w:bookmarkStart w:id="1331" w:name="Tc_fOemx9Q0xk-X7uHbZdxFyA_5_0"/>
      <w:bookmarkStart w:id="1332" w:name="Tc_UGVFfjDauUWobep3_psKBw_4_0"/>
      <w:bookmarkStart w:id="1333" w:name="Tc_PAuycwkFmUi1ZSQEipGYAA_3_2"/>
      <w:bookmarkStart w:id="1334" w:name="Tc_6hym7w-7Gk-vlY8yI8vp5w_2_14"/>
      <w:bookmarkStart w:id="1335" w:name="Tc_x77QCN8P6Ee5IUK0aYUqEg_2_11"/>
      <w:bookmarkStart w:id="1336" w:name="Tc_Yzj-2vBERUaPJ3uimmRIRA_2_8"/>
      <w:bookmarkStart w:id="1337" w:name="Tc_yTyX_xRZZ0qNDyz1t9Hy4A_2_5"/>
      <w:bookmarkStart w:id="1338" w:name="Tc_ggtgcBoMOk29LRTCWHDh1A_2_2"/>
      <w:bookmarkStart w:id="1339" w:name="Tc_kvTVeJz490me6Oz3VsALHQ_1_14"/>
      <w:bookmarkStart w:id="1340" w:name="Tc_Lgn2MpscPUiE6adSQqYLGA_1_8"/>
      <w:bookmarkStart w:id="1341" w:name="Tc_xhfhLByWm0iZdXy7UsFPiQ_1_5"/>
      <w:bookmarkStart w:id="1342" w:name="_6ed5f7ee_25fe_4666_b2d7_8c59cfc71556"/>
      <w:bookmarkStart w:id="1343" w:name="Tc_hAOyH3FBEkeiS-A3B7cgHw_29_12"/>
      <w:bookmarkStart w:id="1344" w:name="Tc_2UqBL300CkmUhy6rFjghog_29_0"/>
      <w:bookmarkStart w:id="1345" w:name="Tc_B1HIWENyHUygqNlP_8WLkQ_28_12"/>
      <w:bookmarkStart w:id="1346" w:name="Tc_qfwLWRVpr0-S9L3yXLcCvw_28_0"/>
      <w:bookmarkStart w:id="1347" w:name="Tc_xIowJ8CsfUiTFwm9Ij8JYQ_27_12"/>
      <w:bookmarkStart w:id="1348" w:name="Tc_J4ESdwuaWkCcL4OrBWt3tw_27_0"/>
      <w:bookmarkStart w:id="1349" w:name="Tc_NHczcDM9qkWldvMtvzO4ag_26_12"/>
      <w:bookmarkStart w:id="1350" w:name="Tc_gHainYRTnEWC9yZ3M9_9Vw_26_0"/>
      <w:bookmarkStart w:id="1351" w:name="Tc_vOIOV0ClXE2VoQiPd807ng_25_12"/>
      <w:bookmarkStart w:id="1352" w:name="Tc_zcihSs077Umed9hv5oiJWA_25_9"/>
      <w:bookmarkStart w:id="1353" w:name="Tc_eGtSeRRN_EywB_kcAAfFtA_25_0"/>
      <w:bookmarkStart w:id="1354" w:name="Tc_H5qYjtQGEUuSJjHzzMksQw_24_12"/>
      <w:bookmarkStart w:id="1355" w:name="Tc_Mos5CiefYECAA1JSN_62YA_24_6"/>
      <w:bookmarkStart w:id="1356" w:name="Tc_NfbqQ1rBb06YYXzSqnZdBA_24_3"/>
      <w:bookmarkStart w:id="1357" w:name="Tc_XQJykDliJEiPxDj1FCJpVQ_24_0"/>
      <w:bookmarkStart w:id="1358" w:name="Tc_bnP36QVCAkWp3Z_MAjlm6Q_23_12"/>
      <w:bookmarkStart w:id="1359" w:name="Tc_WqGpn1c2ukagxI8rrLymwQ_23_0"/>
      <w:bookmarkStart w:id="1360" w:name="Tc_aEhk1wQohUWNNJAN7in1kw_22_12"/>
      <w:bookmarkStart w:id="1361" w:name="Tc_pOAV8ONhkkqv2L6lmO9MZA_22_0"/>
      <w:bookmarkStart w:id="1362" w:name="Tc_5w8rVX9TT0CoKtQTBmYZFg_21_12"/>
      <w:bookmarkStart w:id="1363" w:name="Tc_0VXMyBmvDUmXpg6FNq32gg_21_9"/>
      <w:bookmarkStart w:id="1364" w:name="Tc_qOq6dDn8Pkqk024i1v9lTQ_21_0"/>
      <w:bookmarkStart w:id="1365" w:name="Tc_AlKAR93heU-Y0f_NqHHOGQ_20_12"/>
      <w:bookmarkStart w:id="1366" w:name="Tc_RKF6FEoSfkKJng5pRHb0jg_20_9"/>
      <w:bookmarkStart w:id="1367" w:name="Tc_PX05wBD1GEy1oNNvJvO-7w_20_0"/>
      <w:bookmarkStart w:id="1368" w:name="Tc_lW7tGu5-iUWazALRrnE1eA_19_12"/>
      <w:bookmarkStart w:id="1369" w:name="Tc_rEO765J6lEGlzpJf-F-Exw_19_9"/>
      <w:bookmarkStart w:id="1370" w:name="Tc_mlTl2xDXQEakXQoxc-CsSA_19_0"/>
      <w:bookmarkStart w:id="1371" w:name="Tc_VgmgIg8iKEOkZPFpITM_xQ_18_14"/>
      <w:bookmarkStart w:id="1372" w:name="Tc_ExjCL--6eUuNFLKNDbnpMA_18_12"/>
      <w:bookmarkStart w:id="1373" w:name="Tc_Nr8wmQEYo0Kw98kemmCGaw_18_11"/>
      <w:bookmarkStart w:id="1374" w:name="Tc_dal1BhO7DEiXpRKnUaKwFw_18_9"/>
      <w:bookmarkStart w:id="1375" w:name="Tc_mcr676LYYkqcSHGjfyjYzA_18_8"/>
      <w:bookmarkStart w:id="1376" w:name="Tc_Zlt2z48Vc0ysp6AjmZh0rQ_18_5"/>
      <w:bookmarkStart w:id="1377" w:name="Tc_eoC77XAfx0-Nup402ZRGzA_18_2"/>
      <w:bookmarkStart w:id="1378" w:name="Tc_rv0m-ZRtmUKyJgKVruUU1A_18_0"/>
      <w:bookmarkStart w:id="1379" w:name="Tc_0jRRxVXKwkSA6Umirf1Bpw_17_0"/>
      <w:bookmarkStart w:id="1380" w:name="Tc_vOgPMKi0eEGzAE-28AQcNA_16_12"/>
      <w:bookmarkStart w:id="1381" w:name="Tc__CWxeXwd0keMQNAlhlaIXw_16_0"/>
      <w:bookmarkStart w:id="1382" w:name="Tc_1Bt7E5aSNU-kgHygB4SaiQ_15_12"/>
      <w:bookmarkStart w:id="1383" w:name="Tc_MYX0FxdTLEaz2JePcix2wQ_15_0"/>
      <w:bookmarkStart w:id="1384" w:name="Tc_bwbCYS4EnU6eWrVEVFJ-6Q_14_12"/>
      <w:bookmarkStart w:id="1385" w:name="Tc_iDbN7_RLRk6hXd2jza1Cgw_14_0"/>
      <w:bookmarkStart w:id="1386" w:name="Tc_eytzClHZ_U2ChNEwCmcVdg_13_12"/>
      <w:bookmarkStart w:id="1387" w:name="Tc_k7jHKhPtBk-j728YZeUKDw_13_0"/>
      <w:bookmarkStart w:id="1388" w:name="Tc_xTimZA7XVUGNygx5UCMcUw_12_12"/>
      <w:bookmarkStart w:id="1389" w:name="Tc_R4wv6kqkFku3vQ791kyWoA_12_9"/>
      <w:bookmarkStart w:id="1390" w:name="Tc_1wYqYcKbPEOgY0ltKegjtg_12_0"/>
      <w:bookmarkStart w:id="1391" w:name="Tc_rVFqQULcnUe1Hefklwppyw_11_12"/>
      <w:bookmarkStart w:id="1392" w:name="Tc_Q10B3T5tnEi2oKhYb857ow_11_6"/>
      <w:bookmarkStart w:id="1393" w:name="Tc__7hDAOGezk6FPPW12rxRBQ_11_3"/>
      <w:bookmarkStart w:id="1394" w:name="Tc_KNHXxycNvEyfPJpr5yM2Vw_11_0"/>
      <w:bookmarkStart w:id="1395" w:name="Tc_5B6THqKO306YTN6KcJSCVg_10_12"/>
      <w:bookmarkStart w:id="1396" w:name="Tc_b6sreF_-UEuG0eWeV_CW6A_10_0"/>
      <w:bookmarkStart w:id="1397" w:name="Tc_rXkvmsZAfEmAWV-dMdMfOw_9_12"/>
      <w:bookmarkStart w:id="1398" w:name="Tc_PYosb12GGkyRiDWiOmnI_Q_9_0"/>
      <w:bookmarkStart w:id="1399" w:name="Tc_ogxPkrnGBUeEugqHjYYPCA_8_12"/>
      <w:bookmarkStart w:id="1400" w:name="Tc_9vYlLeghDUGt1sEq1oxhSA_8_9"/>
      <w:bookmarkStart w:id="1401" w:name="Tc_xZYf1hLFREyFE7-0p1z_Pg_8_0"/>
      <w:bookmarkStart w:id="1402" w:name="Tc_vrpmX_gpk06sTbIJaMaGIQ_7_12"/>
      <w:bookmarkStart w:id="1403" w:name="Tc_BpGVpK5_k0efcEi3NCtUpA_7_9"/>
      <w:bookmarkStart w:id="1404" w:name="Tc_B68D4QCl4kqg8WjpSSRq9w_7_0"/>
      <w:bookmarkStart w:id="1405" w:name="Tc_yY7ySEYGQ0iBX396VneUAQ_6_12"/>
      <w:bookmarkStart w:id="1406" w:name="Tc_XorJUpk3R0ODtIGWFIZn_w_6_9"/>
      <w:bookmarkStart w:id="1407" w:name="Tc_UGwiJU4mfkKOxFslV4ba7g_6_0"/>
      <w:bookmarkStart w:id="1408" w:name="Tc_-a9-KCVj1U2lpokuDlz3Fw_5_14"/>
      <w:bookmarkStart w:id="1409" w:name="Tc_yrOkhRBupkaBmaxdRCJz_Q_5_12"/>
      <w:bookmarkStart w:id="1410" w:name="Tc_7T5nyA-ZCUC_KhFeS8kGvQ_5_11"/>
      <w:bookmarkStart w:id="1411" w:name="Tc_NWSvxFNXsEiQkpceOsAamQ_5_9"/>
      <w:bookmarkStart w:id="1412" w:name="Tc_h5BZs6kDYkmpzaSeRNQpUA_5_8"/>
      <w:bookmarkStart w:id="1413" w:name="Tc_TZujDf3u4EuDd7VI15LJug_5_5"/>
      <w:bookmarkStart w:id="1414" w:name="Tc_8qOVnRq3IE6lRYYHEdYkvA_5_2"/>
      <w:bookmarkStart w:id="1415" w:name="Tc_fOemx9Q0xk-X7uHbZdxFyA_5_0"/>
      <w:bookmarkStart w:id="1416" w:name="Tc_UGVFfjDauUWobep3_psKBw_4_0"/>
      <w:bookmarkStart w:id="1417" w:name="Tc_PAuycwkFmUi1ZSQEipGYAA_3_2"/>
      <w:bookmarkStart w:id="1418" w:name="Tc_6hym7w-7Gk-vlY8yI8vp5w_2_14"/>
      <w:bookmarkStart w:id="1419" w:name="Tc_x77QCN8P6Ee5IUK0aYUqEg_2_11"/>
      <w:bookmarkStart w:id="1420" w:name="Tc_Yzj-2vBERUaPJ3uimmRIRA_2_8"/>
      <w:bookmarkStart w:id="1421" w:name="Tc_yTyX_xRZZ0qNDyz1t9Hy4A_2_5"/>
      <w:bookmarkStart w:id="1422" w:name="Tc_ggtgcBoMOk29LRTCWHDh1A_2_2"/>
      <w:bookmarkStart w:id="1423" w:name="Tc_kvTVeJz490me6Oz3VsALHQ_1_14"/>
      <w:bookmarkStart w:id="1424" w:name="Tc_Lgn2MpscPUiE6adSQqYLGA_1_8"/>
      <w:bookmarkStart w:id="1425" w:name="Tc_xhfhLByWm0iZdXy7UsFPiQ_1_5"/>
      <w:bookmarkStart w:id="1426" w:name="_6ed5f7ee_25fe_4666_b2d7_8c59cfc71556"/>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tbl>
      <w:tblPr>
        <w:tblW w:w="9932"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721"/>
        <w:gridCol w:w="346"/>
        <w:gridCol w:w="479"/>
        <w:gridCol w:w="407"/>
        <w:gridCol w:w="346"/>
        <w:gridCol w:w="196"/>
        <w:gridCol w:w="784"/>
      </w:tblGrid>
      <w:t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305685" cy="175260"/>
                      <wp:effectExtent l="0" t="0" r="0" b="0"/>
                      <wp:wrapNone/>
                      <wp:docPr id="165" name="Frame16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8785" cy="175260"/>
                      <wp:effectExtent l="0" t="0" r="0" b="0"/>
                      <wp:wrapNone/>
                      <wp:docPr id="168" name="Frame1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9700" cy="175260"/>
                      <wp:effectExtent l="0" t="0" r="0" b="0"/>
                      <wp:wrapNone/>
                      <wp:docPr id="170" name="Frame17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2435" cy="175260"/>
                      <wp:effectExtent l="0" t="0" r="0" b="0"/>
                      <wp:wrapNone/>
                      <wp:docPr id="171" name="Frame17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57835" cy="175260"/>
                      <wp:effectExtent l="0" t="0" r="0" b="0"/>
                      <wp:wrapNone/>
                      <wp:docPr id="174" name="Frame1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04165" cy="175260"/>
                      <wp:effectExtent l="0" t="0" r="0" b="0"/>
                      <wp:wrapNone/>
                      <wp:docPr id="176" name="Frame176"/>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8445" cy="175260"/>
                      <wp:effectExtent l="0" t="0" r="0" b="0"/>
                      <wp:wrapNone/>
                      <wp:docPr id="177" name="Frame177"/>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97840" cy="175260"/>
                      <wp:effectExtent l="0" t="0" r="0" b="0"/>
                      <wp:wrapNone/>
                      <wp:docPr id="180" name="Frame18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63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887"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pPr>
            <w: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c>
          <w:tcPr>
            <w:tcW w:w="36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c>
          <w:tcPr>
            <w:tcW w:w="36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955"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October 3, 2025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left"/>
            </w:pPr>
            <w:r>
              <w:t>​</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85,536</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87,039</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17,169</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27,878</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52,045</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67,089</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35,793</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2,643</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48,314</w:t>
            </w:r>
          </w:p>
        </w:tc>
      </w:tr>
      <w:t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16,269</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(2,329)</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19,105</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3,451</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3,913</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12,818</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(3,230)</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14,290</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(1,205)</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11,709</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13,721</w:t>
            </w:r>
          </w:p>
        </w:tc>
      </w:tr>
      <w:t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405,854</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61,092</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507,925</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October 3, 2025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left"/>
            </w:pPr>
            <w:r>
              <w:t>​</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228,410</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232,592</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49,886</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32,312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82,198</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149,451</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43,624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193,075</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106,219</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29,507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9,778</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145,504</w:t>
            </w:r>
          </w:p>
        </w:tc>
      </w:tr>
      <w:t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42,518</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(8,219)</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48,411</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4,890</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4,890</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12,346</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13,857</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30,173</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(13,109)</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29,664</w:t>
            </w:r>
          </w:p>
        </w:tc>
      </w:tr>
      <w:t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(4,252)</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1,847</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(4,180)</w:t>
            </w:r>
          </w:p>
        </w:tc>
      </w:tr>
      <w:t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34,424</w:t>
            </w:r>
          </w:p>
        </w:tc>
        <w:tc>
          <w:tcPr>
            <w:tcW w:w="346" w:type="dxa"/>
            <w:tcBorders/>
            <w:shd w:fill="CCEEFF" w:val="clear"/>
            <w:vAlign w:val="center"/>
          </w:tcPr>
          <w:p>
            <w:pPr>
              <w:pStyle w:val="TableContents"/>
              <w:bidi w:val="0"/>
              <w:spacing w:before="0" w:after="0"/>
              <w:ind w:left="0" w:right="0" w:hanging="0"/>
              <w:jc w:val="left"/>
            </w:pPr>
            <w:r>
              <w:t>​</w:t>
            </w:r>
          </w:p>
        </w:tc>
        <w:tc>
          <w:tcPr>
            <w:tcW w:w="220"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(14,956)</w:t>
            </w:r>
          </w:p>
        </w:tc>
        <w:tc>
          <w:tcPr>
            <w:tcW w:w="346" w:type="dxa"/>
            <w:tcBorders/>
            <w:shd w:fill="CCEEFF" w:val="clear"/>
            <w:vAlign w:val="center"/>
          </w:tcPr>
          <w:p>
            <w:pPr>
              <w:pStyle w:val="TableContents"/>
              <w:bidi w:val="0"/>
              <w:spacing w:before="0" w:after="0"/>
              <w:ind w:left="0" w:right="0" w:hanging="0"/>
              <w:jc w:val="left"/>
            </w:pPr>
            <w:r>
              <w:t>​</w:t>
            </w:r>
          </w:p>
        </w:tc>
        <w:tc>
          <w:tcPr>
            <w:tcW w:w="479" w:type="dxa"/>
            <w:tcBorders/>
            <w:shd w:fill="CCEEFF" w:val="clear"/>
            <w:vAlign w:val="center"/>
          </w:tcPr>
          <w:p>
            <w:pPr>
              <w:pStyle w:val="TableContents"/>
              <w:bidi w:val="0"/>
              <w:spacing w:before="0" w:after="0"/>
              <w:ind w:left="0" w:right="0" w:hanging="0"/>
              <w:jc w:val="left"/>
            </w:pPr>
            <w: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33,844</w:t>
            </w:r>
          </w:p>
        </w:tc>
      </w:tr>
      <w:t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405,854</w:t>
            </w:r>
          </w:p>
        </w:tc>
        <w:tc>
          <w:tcPr>
            <w:tcW w:w="346" w:type="dxa"/>
            <w:tcBorders/>
            <w:vAlign w:val="center"/>
          </w:tcPr>
          <w:p>
            <w:pPr>
              <w:pStyle w:val="TableContents"/>
              <w:bidi w:val="0"/>
              <w:spacing w:before="0" w:after="0"/>
              <w:ind w:left="0" w:right="0" w:hanging="0"/>
              <w:jc w:val="left"/>
            </w:pPr>
            <w:r>
              <w:t>​</w:t>
            </w:r>
          </w:p>
        </w:tc>
        <w:tc>
          <w:tcPr>
            <w:tcW w:w="220" w:type="dxa"/>
            <w:tcBorders/>
            <w:vAlign w:val="center"/>
          </w:tcPr>
          <w:p>
            <w:pPr>
              <w:pStyle w:val="TableContents"/>
              <w:bidi w:val="0"/>
              <w:spacing w:before="0" w:after="0"/>
              <w:ind w:left="0" w:right="0" w:hanging="0"/>
              <w:jc w:val="left"/>
            </w:pPr>
            <w: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61,092</w:t>
            </w:r>
          </w:p>
        </w:tc>
        <w:tc>
          <w:tcPr>
            <w:tcW w:w="346" w:type="dxa"/>
            <w:tcBorders/>
            <w:vAlign w:val="center"/>
          </w:tcPr>
          <w:p>
            <w:pPr>
              <w:pStyle w:val="TableContents"/>
              <w:bidi w:val="0"/>
              <w:spacing w:before="0" w:after="0"/>
              <w:ind w:left="0" w:right="0" w:hanging="0"/>
              <w:jc w:val="left"/>
            </w:pPr>
            <w:r>
              <w:t>​</w:t>
            </w:r>
          </w:p>
        </w:tc>
        <w:tc>
          <w:tcPr>
            <w:tcW w:w="479" w:type="dxa"/>
            <w:tcBorders/>
            <w:vAlign w:val="center"/>
          </w:tcPr>
          <w:p>
            <w:pPr>
              <w:pStyle w:val="TableContents"/>
              <w:bidi w:val="0"/>
              <w:spacing w:before="0" w:after="0"/>
              <w:ind w:left="0" w:right="0" w:hanging="0"/>
              <w:jc w:val="left"/>
            </w:pPr>
            <w: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84"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507,925</w:t>
            </w:r>
          </w:p>
        </w:tc>
      </w:tr>
    </w:tbl>
    <w:p>
      <w:pPr>
        <w:pStyle w:val="TextBody"/>
        <w:bidi w:val="0"/>
        <w:spacing w:before="0" w:after="0"/>
        <w:ind w:left="0" w:right="0" w:hanging="0"/>
        <w:jc w:val="left"/>
      </w:pPr>
      <w: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211" w:type="dxa"/>
            <w:tcBorders/>
            <w:tcMar>
              <w:top w:w="0" w:type="dxa"/>
              <w:left w:w="0" w:type="dxa"/>
              <w:bottom w:w="0" w:type="dxa"/>
              <w:right w:w="0" w:type="dxa"/>
            </w:tcMar>
            <w:vAlign w:val="center"/>
          </w:tcPr>
          <w:p>
            <w:pPr>
              <w:pStyle w:val="TableContents"/>
              <w:bidi w:val="0"/>
              <w:spacing w:before="0" w:after="283"/>
              <w:jc w:val="left"/>
            </w:pPr>
            <w:r>
              <w:t>“</w:t>
            </w:r>
            <w:r>
              <w:rPr>
                <w:rFonts w:ascii="Times New Roman;Times;serif" w:hAnsi="Times New Roman;Times;serif"/>
                <w:b w:val="false"/>
                <w:i/>
                <w:sz w:val="16"/>
              </w:rPr>
              <w:t xml:space="preserve">EBITDA” is defined as earnings before interest, taxes, depreciation and amortization.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427" w:name="Tc_2EZnQPbg9kGzmiIXImxgnQ_35_8"/>
      <w:bookmarkStart w:id="1428" w:name="Tc_SCqCtpY15kKoz2U6oEap8Q_35_5"/>
      <w:bookmarkStart w:id="1429" w:name="Tc_G724unkRnUu6Y_mVwNRkMw_35_2"/>
      <w:bookmarkStart w:id="1430" w:name="Tc_WBWh9BlzQUyB8Ch_cqZ8qA_35_0"/>
      <w:bookmarkStart w:id="1431" w:name="Tc_B4ygc9jF9EuhFsWTeo4XiQ_34_0"/>
      <w:bookmarkStart w:id="1432" w:name="Tc_TSXHSoifWUCsY2L6SRCf8Q_32_8"/>
      <w:bookmarkStart w:id="1433" w:name="Tc_KVkVPpZ77kKZxF9c0Q5irA_32_5"/>
      <w:bookmarkStart w:id="1434" w:name="Tc_mdYyWxYPTUic9zsR88gB9w_32_2"/>
      <w:bookmarkStart w:id="1435" w:name="Tc_JGizcAQVLkqBqMNGX366-g_32_0"/>
      <w:bookmarkStart w:id="1436" w:name="Tc_0BD7agn0hk-jl8CVFEYZNA_31_0"/>
      <w:bookmarkStart w:id="1437" w:name="Tc_QM4NQxupJU64bF6zRUMIog_30_0"/>
      <w:bookmarkStart w:id="1438" w:name="Tc_SjVPZAnQoEu0ZmIAdzL5UA_29_8"/>
      <w:bookmarkStart w:id="1439" w:name="Tc_YYledHda0EWeM7LhL4vvDw_29_5"/>
      <w:bookmarkStart w:id="1440" w:name="Tc_2i1xnwXKcEWBwaVNiUAJ_g_29_2"/>
      <w:bookmarkStart w:id="1441" w:name="Tc_ouJqwoh1ikKY-EDF07W1sg_29_0"/>
      <w:bookmarkStart w:id="1442" w:name="Tc_mX8ysE01C0CP5Z8DAU4yJQ_28_0"/>
      <w:bookmarkStart w:id="1443" w:name="Tc_ZCMKcz35602T_gYQrhUEFw_26_8"/>
      <w:bookmarkStart w:id="1444" w:name="Tc_Y-C_PsCByEWpAxC32BCTgw_26_5"/>
      <w:bookmarkStart w:id="1445" w:name="Tc_oTpztjaWxEenai4-uiM9Mw_26_2"/>
      <w:bookmarkStart w:id="1446" w:name="Tc_T6GK36LyYEGEmifJO1oPQQ_26_0"/>
      <w:bookmarkStart w:id="1447" w:name="Tc_986xY7XAxkyHENCtS51sXQ_25_0"/>
      <w:bookmarkStart w:id="1448" w:name="Tc_eA35CSiFJEe6Qzq3XuFPfg_24_0"/>
      <w:bookmarkStart w:id="1449" w:name="Tc_7bMpmoZRnk-0XdA4Dg0Ybg_23_8"/>
      <w:bookmarkStart w:id="1450" w:name="Tc_sJQXW-7P5EevIPlHbvPTQQ_23_5"/>
      <w:bookmarkStart w:id="1451" w:name="Tc_YZ2fwpN5a0a_bj2eGEdEBw_23_2"/>
      <w:bookmarkStart w:id="1452" w:name="Tc_PeFXGRraeEOWE6WsfnbKMQ_23_0"/>
      <w:bookmarkStart w:id="1453" w:name="Tc_2HbnNL02_kWaHtXKhCs_-w_22_0"/>
      <w:bookmarkStart w:id="1454" w:name="Tc_AOpNQIYrok6MkZDW_DL_FA_21_2"/>
      <w:bookmarkStart w:id="1455" w:name="Tc_dohYNdZs5UqElWA3nS4ZWw_20_8"/>
      <w:bookmarkStart w:id="1456" w:name="Tc_ptv3v5VGEUCaEboLPN6XVA_20_5"/>
      <w:bookmarkStart w:id="1457" w:name="Tc_SmJ8f-E7R0ae7-lj9UCHww_20_2"/>
      <w:bookmarkStart w:id="1458" w:name="Tc_pNahznDic0y7gH_ViRdwwA_19_2"/>
      <w:bookmarkStart w:id="1459" w:name="Tc_8o5UXW9fnkyc3XxsCgfE_A_17_8"/>
      <w:bookmarkStart w:id="1460" w:name="Tc_qEhqz2EcRkuM5E5XAUBJJw_17_5"/>
      <w:bookmarkStart w:id="1461" w:name="Tc_UzhDsR8Bzk2OmYffg0cwWA_17_2"/>
      <w:bookmarkStart w:id="1462" w:name="Tc_kI7WgY0IC0i7WbYJzKhwXA_17_0"/>
      <w:bookmarkStart w:id="1463" w:name="Tc_qQtfeJBGpEKVIXomRMjRSw_16_0"/>
      <w:bookmarkStart w:id="1464" w:name="Tc_dh2y_Y4AGEGqpOuLe--Wvg_14_8"/>
      <w:bookmarkStart w:id="1465" w:name="Tc_il24_BI0L0W1M-7vMdQGTA_14_5"/>
      <w:bookmarkStart w:id="1466" w:name="Tc_MjBIPQ0giky_rtzaSNUV2w_14_2"/>
      <w:bookmarkStart w:id="1467" w:name="Tc_Zvw_HIEI-k2R7R4dkme2Mw_14_0"/>
      <w:bookmarkStart w:id="1468" w:name="Tc_v6n3h065CUWBXnGRdMAs_w_13_0"/>
      <w:bookmarkStart w:id="1469" w:name="Tc_v5Dns8YYCUKDypZHzzycDA_12_0"/>
      <w:bookmarkStart w:id="1470" w:name="Tc_PVqGqUfLh0a7SeqmlRKOtg_11_8"/>
      <w:bookmarkStart w:id="1471" w:name="Tc_hGDihPqIkkC2PEFxRLp2_A_11_5"/>
      <w:bookmarkStart w:id="1472" w:name="Tc_0CU_9XcpcEebbsYBKmfcsA_11_2"/>
      <w:bookmarkStart w:id="1473" w:name="Tc_xifU3GcaB0WMjYMqpIByvw_11_0"/>
      <w:bookmarkStart w:id="1474" w:name="Tc_ZPtd5uB87kewx58uf3-WsA_10_0"/>
      <w:bookmarkStart w:id="1475" w:name="Tc_huuh8wmBJkylLhNJhZWlyQ_8_8"/>
      <w:bookmarkStart w:id="1476" w:name="Tc_3gkLBV2erESYBVvCizr5gw_8_5"/>
      <w:bookmarkStart w:id="1477" w:name="Tc_hWFE3NqrLUSu055AUBeuIQ_8_2"/>
      <w:bookmarkStart w:id="1478" w:name="Tc_M3gOm9hlFkKwBIWUijORcQ_8_0"/>
      <w:bookmarkStart w:id="1479" w:name="Tc_y3zzAJPqS06i11bjqbv3Gg_7_0"/>
      <w:bookmarkStart w:id="1480" w:name="Tc_M_Y8GvDROUuBfhTanwtwdg_6_0"/>
      <w:bookmarkStart w:id="1481" w:name="Tc_lhi0u2xzNUGT5LcOJtnGZQ_5_8"/>
      <w:bookmarkStart w:id="1482" w:name="Tc_AmHlZZ3-6EK8e6rBXQUn6w_5_5"/>
      <w:bookmarkStart w:id="1483" w:name="Tc_RaOSNSGqIEmMSvM81ZWeOg_5_2"/>
      <w:bookmarkStart w:id="1484" w:name="Tc_rp1DoD4FU0Gjc8vf8rn1iA_5_0"/>
      <w:bookmarkStart w:id="1485" w:name="Tc_quv_ySM4oEO60TYKBObMgA_4_0"/>
      <w:bookmarkStart w:id="1486" w:name="Tc_cxVL0V97PUOQkprCwEel2w_3_2"/>
      <w:bookmarkStart w:id="1487" w:name="Tc_YOX3c45ffkOqY3QvuwBhfA_2_8"/>
      <w:bookmarkStart w:id="1488" w:name="Tc_Ld6KOlV2oUyOW7g5PQFm3w_2_5"/>
      <w:bookmarkStart w:id="1489" w:name="Tc_HGq9axwf006lIX6ztTQ0bA_2_2"/>
      <w:bookmarkStart w:id="1490" w:name="Tc_TBpbRfkMA0227S5V9jccQQ_1_2"/>
      <w:bookmarkStart w:id="1491" w:name="_bdfc8955_9955_4268_8b06_3cffbdbe1f12"/>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sz w:val="20"/>
        </w:rPr>
        <w:t>The following tables provide information about disaggregated revenue by contract type, client type and geographical region:</w:t>
      </w:r>
    </w:p>
    <w:p>
      <w:pPr>
        <w:pStyle w:val="TextBody"/>
        <w:bidi w:val="0"/>
        <w:spacing w:before="0" w:after="0"/>
        <w:ind w:left="0" w:right="0" w:hanging="0"/>
        <w:jc w:val="left"/>
      </w:pPr>
      <w:r>
        <w:t>​</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34085" cy="175260"/>
                      <wp:effectExtent l="0" t="0" r="0" b="0"/>
                      <wp:wrapNone/>
                      <wp:docPr id="181" name="Frame1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1295" cy="175260"/>
                      <wp:effectExtent l="0" t="0" r="0" b="0"/>
                      <wp:wrapNone/>
                      <wp:docPr id="186" name="Frame1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18490" cy="175260"/>
                      <wp:effectExtent l="0" t="0" r="0" b="0"/>
                      <wp:wrapNone/>
                      <wp:docPr id="187" name="Frame18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05460" cy="175260"/>
                      <wp:effectExtent l="0" t="0" r="0" b="0"/>
                      <wp:wrapNone/>
                      <wp:docPr id="190" name="Frame1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2, 2026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27,296</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46,495</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60,213</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69,393</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97,299</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98,639</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44,580</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47,880</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77,569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26,284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103,853</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62,659</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62,794</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2, 2026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54,537</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56,046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110,583</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171,544</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196,009</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289,284</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4,793</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294,077</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122,818</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129,935</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191,249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77,871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269,120</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201,298</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201,614</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600,669</w:t>
            </w:r>
          </w:p>
        </w:tc>
      </w:tr>
    </w:tbl>
    <w:p>
      <w:pPr>
        <w:pStyle w:val="TextBody"/>
        <w:bidi w:val="0"/>
        <w:spacing w:before="1" w:after="0"/>
        <w:ind w:left="0" w:right="0" w:hanging="0"/>
        <w:jc w:val="left"/>
      </w:pPr>
      <w: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492" w:name="Tc_sdYFM7FvGkOl23l-53lrVA_35_8"/>
      <w:bookmarkStart w:id="1493" w:name="Tc_s1Fk4QQ-IEKasGjPmoREXw_35_5"/>
      <w:bookmarkStart w:id="1494" w:name="Tc_74E-a_Cjqk-q821X13-dZA_35_2"/>
      <w:bookmarkStart w:id="1495" w:name="Tc_1GwwPqARNECAU2rOkmZHgA_35_0"/>
      <w:bookmarkStart w:id="1496" w:name="Tc_njfHRY5gLEiCq-8-RQietQ_34_0"/>
      <w:bookmarkStart w:id="1497" w:name="Tc_hPENLW-eOUu0E9JQRmRV2g_32_8"/>
      <w:bookmarkStart w:id="1498" w:name="Tc_SeycVNsR-0yLXCl9Lzhblw_32_5"/>
      <w:bookmarkStart w:id="1499" w:name="Tc_JJ7Cy6xAykaInMnkWsk8vQ_32_2"/>
      <w:bookmarkStart w:id="1500" w:name="Tc_pO19m1AiI0alQRk04ZxeLA_32_0"/>
      <w:bookmarkStart w:id="1501" w:name="Tc_kNB8kqGBl0aqWKMIneZIBA_31_0"/>
      <w:bookmarkStart w:id="1502" w:name="Tc_7R0-W3UXv0y8XIVuzsdmnQ_30_0"/>
      <w:bookmarkStart w:id="1503" w:name="Tc_zS4zRey-NUS6tuQydeGzuA_29_8"/>
      <w:bookmarkStart w:id="1504" w:name="Tc_HMPB2wkOukq3OgTLAfZq-A_29_5"/>
      <w:bookmarkStart w:id="1505" w:name="Tc_czR7QUExUky8Wl4Ngsr7Iw_29_2"/>
      <w:bookmarkStart w:id="1506" w:name="Tc_doZasDXhf0e4s8NEv00cEA_29_0"/>
      <w:bookmarkStart w:id="1507" w:name="Tc_PnGKiLPTpk-6698mxC4_eA_28_0"/>
      <w:bookmarkStart w:id="1508" w:name="Tc_nE-I1KTbZ0auE9-N14pXYQ_26_8"/>
      <w:bookmarkStart w:id="1509" w:name="Tc_HU_-LWIvBEC9wEM54GviXA_26_5"/>
      <w:bookmarkStart w:id="1510" w:name="Tc_U2Ks5CqJkUC9xFZTHtyTtw_26_2"/>
      <w:bookmarkStart w:id="1511" w:name="Tc_dujGIexWeUG2WtFSU9tL1A_26_0"/>
      <w:bookmarkStart w:id="1512" w:name="Tc_h0EtpoLAGkeskVc6jMT0CQ_25_0"/>
      <w:bookmarkStart w:id="1513" w:name="Tc_zFjiVHINmkujW2Qp7liE-w_24_0"/>
      <w:bookmarkStart w:id="1514" w:name="Tc_BtfvPTAMCkW1ujhDgLFDUA_23_8"/>
      <w:bookmarkStart w:id="1515" w:name="Tc_V7_FhG0-XUCixR6UIOMw0g_23_5"/>
      <w:bookmarkStart w:id="1516" w:name="Tc_c79-aEFUkkyXFnWX6bO1xQ_23_2"/>
      <w:bookmarkStart w:id="1517" w:name="Tc_Fr25Le9U8keJN2hYr5Z8Dw_23_0"/>
      <w:bookmarkStart w:id="1518" w:name="Tc_fauGpV3cTUSWXRfi4RkRGg_22_0"/>
      <w:bookmarkStart w:id="1519" w:name="Tc_iuVbl3UOeECXdd23lgAIGw_21_2"/>
      <w:bookmarkStart w:id="1520" w:name="Tc_fGgnQNbpYk65bkeyybTWrA_20_8"/>
      <w:bookmarkStart w:id="1521" w:name="Tc_08GYXdAXCEmjMvJZfEwZww_20_5"/>
      <w:bookmarkStart w:id="1522" w:name="Tc_pV0fVkKvnEewVAdG9IM9xg_20_2"/>
      <w:bookmarkStart w:id="1523" w:name="Tc_Ld0HZ8nBw0ullvyTMY7A6g_19_2"/>
      <w:bookmarkStart w:id="1524" w:name="Tc_jR-Bk2IMQU6rzK7MUa8-VA_17_8"/>
      <w:bookmarkStart w:id="1525" w:name="Tc_kyjeqBkWAU-L0p3zZ09wLg_17_5"/>
      <w:bookmarkStart w:id="1526" w:name="Tc_PAWnuqKxM0q_vQWdZKQ1Jw_17_2"/>
      <w:bookmarkStart w:id="1527" w:name="Tc_F8NgQtrfzEeiXcfSvroH1w_17_0"/>
      <w:bookmarkStart w:id="1528" w:name="Tc_UaZ6liarGUeYq69SzTjWnA_16_0"/>
      <w:bookmarkStart w:id="1529" w:name="Tc_9F_XpBBQ-0-Sv5GrtUFo3g_14_8"/>
      <w:bookmarkStart w:id="1530" w:name="Tc_A4-NdGgU6E-OI59AsJ8_Eg_14_5"/>
      <w:bookmarkStart w:id="1531" w:name="Tc_MpuQlKkzW0Gk-L76ZM_qCA_14_2"/>
      <w:bookmarkStart w:id="1532" w:name="Tc_wGjsHdiw6USYyKWmzGE_aA_14_0"/>
      <w:bookmarkStart w:id="1533" w:name="Tc_o6EblYZHKEmnDGfhPGf98A_13_0"/>
      <w:bookmarkStart w:id="1534" w:name="Tc_187SKRmpFEuJr0i26kObrQ_12_0"/>
      <w:bookmarkStart w:id="1535" w:name="Tc_EJ52T3O7FUGE0ieBZtThtw_11_8"/>
      <w:bookmarkStart w:id="1536" w:name="Tc_qrm89jMQYE2Oe5Uhwi3UVw_11_5"/>
      <w:bookmarkStart w:id="1537" w:name="Tc_YD1Yj_M3V0WdwybnVLLSBw_11_2"/>
      <w:bookmarkStart w:id="1538" w:name="Tc_usF6s5KWEEyQ0cUgCBMzAw_11_0"/>
      <w:bookmarkStart w:id="1539" w:name="Tc_YKAO9H1HIUijVU6aU0ttbQ_10_0"/>
      <w:bookmarkStart w:id="1540" w:name="Tc_qPWESTxfuEGet0cV_EKUBQ_8_8"/>
      <w:bookmarkStart w:id="1541" w:name="Tc_emahn1k9B0mP41hXa4-i2A_8_5"/>
      <w:bookmarkStart w:id="1542" w:name="Tc_Z3aRl1VLKk-HvAMEWBB8-A_8_2"/>
      <w:bookmarkStart w:id="1543" w:name="Tc__pxLDQUfuk-7vBeDwkd6Gw_8_0"/>
      <w:bookmarkStart w:id="1544" w:name="Tc_KjSiFCDRPE2OV_KCWNxSyA_7_0"/>
      <w:bookmarkStart w:id="1545" w:name="Tc_w03YnSynKk6XEWvpu9OP5w_6_0"/>
      <w:bookmarkStart w:id="1546" w:name="Tc_c27z8yD660C05KYDbjagGQ_5_8"/>
      <w:bookmarkStart w:id="1547" w:name="Tc_oPi4XlIOA0SWowHdrHlDdg_5_5"/>
      <w:bookmarkStart w:id="1548" w:name="Tc_gG75DGn_GU-ae0vKqm1sXg_5_2"/>
      <w:bookmarkStart w:id="1549" w:name="Tc_WtMUEOPjQEWYe1OEa3HooQ_5_0"/>
      <w:bookmarkStart w:id="1550" w:name="Tc_5PdaRz8omUeC8zZMyz186Q_4_0"/>
      <w:bookmarkStart w:id="1551" w:name="Tc__yHA370cpUCwoxSPvIpBQA_3_2"/>
      <w:bookmarkStart w:id="1552" w:name="Tc_Q1qa_3QtaEWbfaFvza1qbg_2_8"/>
      <w:bookmarkStart w:id="1553" w:name="Tc_veua9vHmyUyknLCCDUYxsQ_2_5"/>
      <w:bookmarkStart w:id="1554" w:name="Tc_Ns43wP8tOUeBgknSVo2oAQ_2_2"/>
      <w:bookmarkStart w:id="1555" w:name="Tc_CtM2Ui6KMkSheCtVY0UjPQ_1_2"/>
      <w:bookmarkStart w:id="1556" w:name="_5ce13bce_5090_4d07_9d96_ef4ff43b1ade"/>
      <w:bookmarkStart w:id="1557" w:name="Tc_sdYFM7FvGkOl23l-53lrVA_35_8"/>
      <w:bookmarkStart w:id="1558" w:name="Tc_s1Fk4QQ-IEKasGjPmoREXw_35_5"/>
      <w:bookmarkStart w:id="1559" w:name="Tc_74E-a_Cjqk-q821X13-dZA_35_2"/>
      <w:bookmarkStart w:id="1560" w:name="Tc_1GwwPqARNECAU2rOkmZHgA_35_0"/>
      <w:bookmarkStart w:id="1561" w:name="Tc_njfHRY5gLEiCq-8-RQietQ_34_0"/>
      <w:bookmarkStart w:id="1562" w:name="Tc_hPENLW-eOUu0E9JQRmRV2g_32_8"/>
      <w:bookmarkStart w:id="1563" w:name="Tc_SeycVNsR-0yLXCl9Lzhblw_32_5"/>
      <w:bookmarkStart w:id="1564" w:name="Tc_JJ7Cy6xAykaInMnkWsk8vQ_32_2"/>
      <w:bookmarkStart w:id="1565" w:name="Tc_pO19m1AiI0alQRk04ZxeLA_32_0"/>
      <w:bookmarkStart w:id="1566" w:name="Tc_kNB8kqGBl0aqWKMIneZIBA_31_0"/>
      <w:bookmarkStart w:id="1567" w:name="Tc_7R0-W3UXv0y8XIVuzsdmnQ_30_0"/>
      <w:bookmarkStart w:id="1568" w:name="Tc_zS4zRey-NUS6tuQydeGzuA_29_8"/>
      <w:bookmarkStart w:id="1569" w:name="Tc_HMPB2wkOukq3OgTLAfZq-A_29_5"/>
      <w:bookmarkStart w:id="1570" w:name="Tc_czR7QUExUky8Wl4Ngsr7Iw_29_2"/>
      <w:bookmarkStart w:id="1571" w:name="Tc_doZasDXhf0e4s8NEv00cEA_29_0"/>
      <w:bookmarkStart w:id="1572" w:name="Tc_PnGKiLPTpk-6698mxC4_eA_28_0"/>
      <w:bookmarkStart w:id="1573" w:name="Tc_nE-I1KTbZ0auE9-N14pXYQ_26_8"/>
      <w:bookmarkStart w:id="1574" w:name="Tc_HU_-LWIvBEC9wEM54GviXA_26_5"/>
      <w:bookmarkStart w:id="1575" w:name="Tc_U2Ks5CqJkUC9xFZTHtyTtw_26_2"/>
      <w:bookmarkStart w:id="1576" w:name="Tc_dujGIexWeUG2WtFSU9tL1A_26_0"/>
      <w:bookmarkStart w:id="1577" w:name="Tc_h0EtpoLAGkeskVc6jMT0CQ_25_0"/>
      <w:bookmarkStart w:id="1578" w:name="Tc_zFjiVHINmkujW2Qp7liE-w_24_0"/>
      <w:bookmarkStart w:id="1579" w:name="Tc_BtfvPTAMCkW1ujhDgLFDUA_23_8"/>
      <w:bookmarkStart w:id="1580" w:name="Tc_V7_FhG0-XUCixR6UIOMw0g_23_5"/>
      <w:bookmarkStart w:id="1581" w:name="Tc_c79-aEFUkkyXFnWX6bO1xQ_23_2"/>
      <w:bookmarkStart w:id="1582" w:name="Tc_Fr25Le9U8keJN2hYr5Z8Dw_23_0"/>
      <w:bookmarkStart w:id="1583" w:name="Tc_fauGpV3cTUSWXRfi4RkRGg_22_0"/>
      <w:bookmarkStart w:id="1584" w:name="Tc_iuVbl3UOeECXdd23lgAIGw_21_2"/>
      <w:bookmarkStart w:id="1585" w:name="Tc_fGgnQNbpYk65bkeyybTWrA_20_8"/>
      <w:bookmarkStart w:id="1586" w:name="Tc_08GYXdAXCEmjMvJZfEwZww_20_5"/>
      <w:bookmarkStart w:id="1587" w:name="Tc_pV0fVkKvnEewVAdG9IM9xg_20_2"/>
      <w:bookmarkStart w:id="1588" w:name="Tc_Ld0HZ8nBw0ullvyTMY7A6g_19_2"/>
      <w:bookmarkStart w:id="1589" w:name="Tc_jR-Bk2IMQU6rzK7MUa8-VA_17_8"/>
      <w:bookmarkStart w:id="1590" w:name="Tc_kyjeqBkWAU-L0p3zZ09wLg_17_5"/>
      <w:bookmarkStart w:id="1591" w:name="Tc_PAWnuqKxM0q_vQWdZKQ1Jw_17_2"/>
      <w:bookmarkStart w:id="1592" w:name="Tc_F8NgQtrfzEeiXcfSvroH1w_17_0"/>
      <w:bookmarkStart w:id="1593" w:name="Tc_UaZ6liarGUeYq69SzTjWnA_16_0"/>
      <w:bookmarkStart w:id="1594" w:name="Tc_9F_XpBBQ-0-Sv5GrtUFo3g_14_8"/>
      <w:bookmarkStart w:id="1595" w:name="Tc_A4-NdGgU6E-OI59AsJ8_Eg_14_5"/>
      <w:bookmarkStart w:id="1596" w:name="Tc_MpuQlKkzW0Gk-L76ZM_qCA_14_2"/>
      <w:bookmarkStart w:id="1597" w:name="Tc_wGjsHdiw6USYyKWmzGE_aA_14_0"/>
      <w:bookmarkStart w:id="1598" w:name="Tc_o6EblYZHKEmnDGfhPGf98A_13_0"/>
      <w:bookmarkStart w:id="1599" w:name="Tc_187SKRmpFEuJr0i26kObrQ_12_0"/>
      <w:bookmarkStart w:id="1600" w:name="Tc_EJ52T3O7FUGE0ieBZtThtw_11_8"/>
      <w:bookmarkStart w:id="1601" w:name="Tc_qrm89jMQYE2Oe5Uhwi3UVw_11_5"/>
      <w:bookmarkStart w:id="1602" w:name="Tc_YD1Yj_M3V0WdwybnVLLSBw_11_2"/>
      <w:bookmarkStart w:id="1603" w:name="Tc_usF6s5KWEEyQ0cUgCBMzAw_11_0"/>
      <w:bookmarkStart w:id="1604" w:name="Tc_YKAO9H1HIUijVU6aU0ttbQ_10_0"/>
      <w:bookmarkStart w:id="1605" w:name="Tc_qPWESTxfuEGet0cV_EKUBQ_8_8"/>
      <w:bookmarkStart w:id="1606" w:name="Tc_emahn1k9B0mP41hXa4-i2A_8_5"/>
      <w:bookmarkStart w:id="1607" w:name="Tc_Z3aRl1VLKk-HvAMEWBB8-A_8_2"/>
      <w:bookmarkStart w:id="1608" w:name="Tc__pxLDQUfuk-7vBeDwkd6Gw_8_0"/>
      <w:bookmarkStart w:id="1609" w:name="Tc_KjSiFCDRPE2OV_KCWNxSyA_7_0"/>
      <w:bookmarkStart w:id="1610" w:name="Tc_w03YnSynKk6XEWvpu9OP5w_6_0"/>
      <w:bookmarkStart w:id="1611" w:name="Tc_c27z8yD660C05KYDbjagGQ_5_8"/>
      <w:bookmarkStart w:id="1612" w:name="Tc_oPi4XlIOA0SWowHdrHlDdg_5_5"/>
      <w:bookmarkStart w:id="1613" w:name="Tc_gG75DGn_GU-ae0vKqm1sXg_5_2"/>
      <w:bookmarkStart w:id="1614" w:name="Tc_WtMUEOPjQEWYe1OEa3HooQ_5_0"/>
      <w:bookmarkStart w:id="1615" w:name="Tc_5PdaRz8omUeC8zZMyz186Q_4_0"/>
      <w:bookmarkStart w:id="1616" w:name="Tc__yHA370cpUCwoxSPvIpBQA_3_2"/>
      <w:bookmarkStart w:id="1617" w:name="Tc_Q1qa_3QtaEWbfaFvza1qbg_2_8"/>
      <w:bookmarkStart w:id="1618" w:name="Tc_veua9vHmyUyknLCCDUYxsQ_2_5"/>
      <w:bookmarkStart w:id="1619" w:name="Tc_Ns43wP8tOUeBgknSVo2oAQ_2_2"/>
      <w:bookmarkStart w:id="1620" w:name="Tc_CtM2Ui6KMkSheCtVY0UjPQ_1_2"/>
      <w:bookmarkStart w:id="1621" w:name="_5ce13bce_5090_4d07_9d96_ef4ff43b1ade"/>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34085" cy="175260"/>
                      <wp:effectExtent l="0" t="0" r="0" b="0"/>
                      <wp:wrapNone/>
                      <wp:docPr id="191" name="Frame19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295" cy="175260"/>
                      <wp:effectExtent l="0" t="0" r="0" b="0"/>
                      <wp:wrapNone/>
                      <wp:docPr id="196" name="Frame19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8490" cy="175260"/>
                      <wp:effectExtent l="0" t="0" r="0" b="0"/>
                      <wp:wrapNone/>
                      <wp:docPr id="197" name="Frame19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460" cy="175260"/>
                      <wp:effectExtent l="0" t="0" r="0" b="0"/>
                      <wp:wrapNone/>
                      <wp:docPr id="199"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67360" cy="175260"/>
                      <wp:effectExtent l="0" t="0" r="0" b="0"/>
                      <wp:wrapNone/>
                      <wp:docPr id="200" name="Frame2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3, 2025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12,866</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18,382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31,248</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58,252</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65,217</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83,632</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85,541</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15,942</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17,887</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64,587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89,843</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74,221</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74,276</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3, 2025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36,201</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55,341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91,542</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164,209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19,707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183,916</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227,337</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232,407</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47,550</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53,061</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74,452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243,202</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211,447</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211,602</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was not material for the three and nine months ended October 2, 2026 and October 3, 2025. </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consolidated revenue was derived from its operations in the U.S and U.S. territories. The Company operates through a network of offices spread across 26 U.S. states, the District of Columbia, the Commonwealth of Puerto Rico, and Canada. Revenues from the Company’s Canadian operations were not material for the three and nine months ended October 2, 2026, nor for the three and nine months ended October 3,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nine months ended October 2, 2026, the Company’s top 10 customers accounted for 48.6%, and 46.1%, respectively, of the Company’s consolidated contract revenue. </w:t>
      </w:r>
      <w:r>
        <w:rPr>
          <w:rFonts w:ascii="Times New Roman;Times;serif" w:hAnsi="Times New Roman;Times;serif"/>
          <w:sz w:val="20"/>
          <w:shd w:fill="FFFFFF" w:val="clear"/>
        </w:rPr>
        <w:t>For the three and nine months ended October 3, 2025, the Company’s top 10 customers accounted for </w:t>
      </w:r>
      <w:r>
        <w:rPr>
          <w:rFonts w:ascii="Times New Roman;Times;serif" w:hAnsi="Times New Roman;Times;serif"/>
          <w:sz w:val="20"/>
        </w:rPr>
        <w:t>54.8%</w:t>
      </w:r>
      <w:r>
        <w:rPr>
          <w:rFonts w:ascii="Times New Roman;Times;serif" w:hAnsi="Times New Roman;Times;serif"/>
          <w:sz w:val="20"/>
          <w:shd w:fill="FFFFFF" w:val="clear"/>
        </w:rPr>
        <w:t>, and </w:t>
      </w:r>
      <w:r>
        <w:rPr>
          <w:rFonts w:ascii="Times New Roman;Times;serif" w:hAnsi="Times New Roman;Times;serif"/>
          <w:sz w:val="20"/>
        </w:rPr>
        <w:t>52.3%</w:t>
      </w:r>
      <w:r>
        <w:rPr>
          <w:rFonts w:ascii="Times New Roman;Times;serif" w:hAnsi="Times New Roman;Times;serif"/>
          <w:sz w:val="20"/>
          <w:shd w:fill="FFFFFF" w:val="clear"/>
        </w:rPr>
        <w:t>, respectively, of the Company’s consolidated contract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October 2, 2026, the Company had individual customers that accounted for more than 10% of its consolidated contract revenue. </w:t>
      </w:r>
      <w:r>
        <w:rPr>
          <w:rFonts w:ascii="Times New Roman;Times;serif" w:hAnsi="Times New Roman;Times;serif"/>
          <w:sz w:val="20"/>
          <w:shd w:fill="FFFFFF" w:val="clear"/>
        </w:rPr>
        <w:t xml:space="preserve">For the three months ended October 2, 2026, the Company derived 10.2% of its consolidated contract revenue from one customer, Los Angeles Department of Water and Power (“LADWP”). </w:t>
      </w:r>
      <w:r>
        <w:rPr>
          <w:rFonts w:ascii="Times New Roman;Times;serif" w:hAnsi="Times New Roman;Times;serif"/>
          <w:sz w:val="20"/>
        </w:rPr>
        <w:t xml:space="preserve">For the nine months ended October 2, 2026, the Company had no individual customers that accounted for more than 10% of its consolidated contract revenue. </w:t>
      </w:r>
      <w:r>
        <w:rPr>
          <w:rFonts w:ascii="Times New Roman;Times;serif" w:hAnsi="Times New Roman;Times;serif"/>
          <w:sz w:val="20"/>
          <w:shd w:fill="FFFFFF" w:val="clear"/>
        </w:rPr>
        <w:t>For the three and nine months ended October 3, 2025, the Company had individual customers that accounted for more than 10% of its consolidated contract revenue. For the three months ended October 3, 2025, the Company derived 26.8% of its consolidated contract revenue from two customers, Southern California Edison and Clark County School District. For the nine months ended October 3, 2025, the Company derived 25.8% of its consolidated contract revenue from two customers, Southern California Edison and Clark County School District.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 segment basis, the Company had individual customers that accounted for more than 10% of its segment contract revenues. For the three months ended October 2, 2026, the Company derived 11.6% of its Energy segment revenues from one customer, LADWP, and no single customer accounted for 10% or more of the Company’s Engineering and Consulting segment revenues. </w:t>
      </w:r>
      <w:r>
        <w:rPr>
          <w:rFonts w:ascii="Times New Roman;Times;serif" w:hAnsi="Times New Roman;Times;serif"/>
          <w:sz w:val="20"/>
          <w:shd w:fill="FFFFFF" w:val="clear"/>
        </w:rPr>
        <w:t>For the nine months ended October 2, 2026, no single customer accounted for 10% or more of the Company’s Energy segment revenues, and no single customer accounted for 10% or more of the Company’s Engineering and Consulting segment revenues. For the three months ended October 3, 2025, the Company derived </w:t>
      </w:r>
      <w:r>
        <w:rPr>
          <w:rFonts w:ascii="Times New Roman;Times;serif" w:hAnsi="Times New Roman;Times;serif"/>
          <w:sz w:val="20"/>
        </w:rPr>
        <w:t>31.5%</w:t>
      </w:r>
      <w:r>
        <w:rPr>
          <w:rFonts w:ascii="Times New Roman;Times;serif" w:hAnsi="Times New Roman;Times;serif"/>
          <w:sz w:val="20"/>
          <w:shd w:fill="FFFFFF" w:val="clear"/>
        </w:rPr>
        <w:t xml:space="preserve"> of its Energy segment revenues from two customers, Southern California Edison and Clark County School District, and no single customer accounted for 10% or more of the Company’s Engineering and Consulting segment revenues. For the nine months ended October 3, 2025, the Company derived </w:t>
      </w:r>
      <w:r>
        <w:rPr>
          <w:rFonts w:ascii="Times New Roman;Times;serif" w:hAnsi="Times New Roman;Times;serif"/>
          <w:sz w:val="20"/>
        </w:rPr>
        <w:t>30.7%</w:t>
      </w:r>
      <w:r>
        <w:rPr>
          <w:rFonts w:ascii="Times New Roman;Times;serif" w:hAnsi="Times New Roman;Times;serif"/>
          <w:sz w:val="20"/>
          <w:shd w:fill="FFFFFF" w:val="clear"/>
        </w:rPr>
        <w:t xml:space="preserve"> of its Energy segment revenues from two customers, Southern California Edison and Clark County School District, and no single customer accounted for 10% or more of the Company’s Engineering and Consulting segment revenues.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a geographical basis, through the nine months ended October 2, 2026, the Company’s largest clients are based in California and New York. For the three and nine months ended October 2, 2026, services provided to clients in California accounted for 46.4% and 45.2%, respectively, of the Company’s consolidated contract revenue, and services provided to clients in New York accounted for 16.3% and 16.9%, respectively, of the Company’s consolidated contract revenue. For the three and nine months ended October 3, 2025, services provided to clients in California accounted for 46.3% and 43.7%, respectively, of the Company’s consolidated contract revenue, and services provided to clients in New York accounted for 17.3% and 19.0%, respectively, of the Company’s consolidated contract revenue.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end of fiscal year 2025, the Company’s total valuation allowance for future utilization of deferred tax assets was $1.1 million. As of October 2, 2026, the Company assessed all available positive and negative evidence available to determine whether, based on the weight of that evidence, there was a change in judgment related to the utilization of deferred tax assets in future years. The Company concluded that as of October 2, 2026, the valuation allowance for the Company’s deferred tax assets was appropriate in accordance with ASC 740. Consequently, there was no change to the valuation allowance during the three and nine months ended October 2,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nine months ended October 2, 2026, and the three and nine months ended October 3, 2025,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Company’s estimates and determination of an effective tax rate for the year, the Company recorded an income tax expense of $3.5 million and an income tax benefit of $3.0 million for the three and nine months ended October 2, 2026, respectively, compared to an income tax expense of $0.6 million and an income tax benefit of $4.2 million for the three and nine months ended October 3, 2025, respectively. During the three and nine months ended October 2, 2026, the difference between the effective tax rate and the federal statutory rate was primarily attributable to state taxes, non-deductible executive compensation, deductions related to stock-compensation, research and development tax credits, and the commercial energy-efficiency building deduction. During the three and nine months ended October 3,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622" w:name="Tc_D0RdCXtb9EycHzIZtKBLrA_11_11"/>
      <w:bookmarkStart w:id="1623" w:name="Tc_B81dOSj8WEOTlNkOqSvTGg_11_8"/>
      <w:bookmarkStart w:id="1624" w:name="Tc_NM4Zsw_eyU2Y3ucZZYAzMQ_11_5"/>
      <w:bookmarkStart w:id="1625" w:name="Tc_HeyQGGP7d0CBOQFzFJCWDA_11_2"/>
      <w:bookmarkStart w:id="1626" w:name="Tc_GJtK_KATX0uSDivdS7tCRw_11_0"/>
      <w:bookmarkStart w:id="1627" w:name="Tc_mctHBwso0kq2DRzpkbBSCw_10_11"/>
      <w:bookmarkStart w:id="1628" w:name="Tc_xy1IyQ2mTEiANs3zLsw5Sg_10_8"/>
      <w:bookmarkStart w:id="1629" w:name="Tc_vBZbVKkEH0icCfSCbpLq-A_10_5"/>
      <w:bookmarkStart w:id="1630" w:name="Tc_UGiEPoaj-EWlq7QZftvacw_10_2"/>
      <w:bookmarkStart w:id="1631" w:name="Tc_RaWVXaqyaU2j43Y1Yxjg-Q_10_0"/>
      <w:bookmarkStart w:id="1632" w:name="Tc_IqfqiT2iyUmmaxdcXIkmsg_9_0"/>
      <w:bookmarkStart w:id="1633" w:name="Tc_bZfmK2Zbo0m4V-B62qIwzw_8_0"/>
      <w:bookmarkStart w:id="1634" w:name="Tc_1sf-yhA5Ski6PXyDhWmwug_7_0"/>
      <w:bookmarkStart w:id="1635" w:name="Tc_kBrEyECOR0iaLFzO9z5P8w_6_0"/>
      <w:bookmarkStart w:id="1636" w:name="Tc_RiRXenVdEkm_CcK19iriuQ_5_11"/>
      <w:bookmarkStart w:id="1637" w:name="Tc_yGriZ6DcJkuiuT9dNBvmhQ_5_8"/>
      <w:bookmarkStart w:id="1638" w:name="Tc_S4nkeY7qWkaVIfUQhv5F6Q_5_5"/>
      <w:bookmarkStart w:id="1639" w:name="Tc_Wh2eRQ-0vUmzD73iE_nZWQ_5_2"/>
      <w:bookmarkStart w:id="1640" w:name="Tc_wBWtHGkh2EmuM2moWffqZQ_5_0"/>
      <w:bookmarkStart w:id="1641" w:name="Tc_k1MU5Q2rH0OVFMy9M4nKsA_4_2"/>
      <w:bookmarkStart w:id="1642" w:name="Tc_ew_axzZr2UKD8eYuwxD_QA_3_11"/>
      <w:bookmarkStart w:id="1643" w:name="Tc_je7fGQo8N0GQ1R_JPNi8FQ_3_8"/>
      <w:bookmarkStart w:id="1644" w:name="Tc_o8yRFCfyYkii5O9D683mWg_3_5"/>
      <w:bookmarkStart w:id="1645" w:name="Tc_PSHgkvqeCkuFAhLe8eO1HQ_3_2"/>
      <w:bookmarkStart w:id="1646" w:name="Tc_IG9GBoEZ5Uqn90kTCTebTw_2_11"/>
      <w:bookmarkStart w:id="1647" w:name="Tc_G0r6gWCGd0KQw-qYa2lTAQ_2_8"/>
      <w:bookmarkStart w:id="1648" w:name="Tc_wlJUsx_jFEa5mbVuQt-Q9g_2_5"/>
      <w:bookmarkStart w:id="1649" w:name="Tc_QOOblFM8n0CeJ4zxVH1ZnQ_2_2"/>
      <w:bookmarkStart w:id="1650" w:name="Tc_E7VGEoeKzUSG3URgFDQhGA_1_8"/>
      <w:bookmarkStart w:id="1651" w:name="Tc_JEo0sEwgo0-s9hYpVQu2sg_1_2"/>
      <w:bookmarkStart w:id="1652" w:name="_d6162344_f958_4411_9488_f538b1cbcc31"/>
      <w:bookmarkStart w:id="1653" w:name="_2a1d0ec2_c041_4215_9911_0c5f6d95054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pPr>
      <w:r>
        <w:t>​</w:t>
      </w:r>
    </w:p>
    <w:tbl>
      <w:tblPr>
        <w:tblW w:w="9838" w:type="dxa"/>
        <w:jc w:val="left"/>
        <w:tblInd w:w="0" w:type="dxa"/>
        <w:tblLayout w:type="fixed"/>
        <w:tblCellMar>
          <w:top w:w="0" w:type="dxa"/>
          <w:left w:w="0" w:type="dxa"/>
          <w:bottom w:w="0" w:type="dxa"/>
          <w:right w:w="0" w:type="dxa"/>
        </w:tblCellMar>
      </w:tblPr>
      <w:tblGrid>
        <w:gridCol w:w="4861"/>
        <w:gridCol w:w="346"/>
        <w:gridCol w:w="211"/>
        <w:gridCol w:w="676"/>
        <w:gridCol w:w="346"/>
        <w:gridCol w:w="211"/>
        <w:gridCol w:w="676"/>
        <w:gridCol w:w="346"/>
        <w:gridCol w:w="211"/>
        <w:gridCol w:w="676"/>
        <w:gridCol w:w="346"/>
        <w:gridCol w:w="211"/>
        <w:gridCol w:w="721"/>
      </w:tblGrid>
      <w:t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086735" cy="175260"/>
                      <wp:effectExtent l="0" t="0" r="0" b="0"/>
                      <wp:wrapNone/>
                      <wp:docPr id="201" name="Frame201"/>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7"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57835" cy="175260"/>
                      <wp:effectExtent l="0" t="0" r="0" b="0"/>
                      <wp:wrapNone/>
                      <wp:docPr id="213" name="Frame2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8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48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346" w:type="dxa"/>
            <w:tcBorders/>
            <w:vAlign w:val="center"/>
          </w:tcPr>
          <w:p>
            <w:pPr>
              <w:pStyle w:val="TableContents"/>
              <w:bidi w:val="0"/>
              <w:spacing w:before="0" w:after="0"/>
              <w:ind w:left="0" w:right="0" w:hanging="0"/>
              <w:jc w:val="left"/>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48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8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63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44,736</w:t>
            </w:r>
          </w:p>
        </w:tc>
        <w:tc>
          <w:tcPr>
            <w:tcW w:w="346" w:type="dxa"/>
            <w:tcBorders/>
            <w:shd w:fill="CCEEFF" w:val="clear"/>
            <w:vAlign w:val="center"/>
          </w:tcPr>
          <w:p>
            <w:pPr>
              <w:pStyle w:val="TableContents"/>
              <w:bidi w:val="0"/>
              <w:spacing w:before="0" w:after="0"/>
              <w:ind w:left="0" w:right="0" w:hanging="0"/>
              <w:jc w:val="righ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33,844</w:t>
            </w:r>
          </w:p>
        </w:tc>
      </w:tr>
      <w:t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14,993</w:t>
            </w:r>
          </w:p>
        </w:tc>
        <w:tc>
          <w:tcPr>
            <w:tcW w:w="346" w:type="dxa"/>
            <w:tcBorders/>
            <w:vAlign w:val="center"/>
          </w:tcPr>
          <w:p>
            <w:pPr>
              <w:pStyle w:val="TableContents"/>
              <w:bidi w:val="0"/>
              <w:spacing w:before="0" w:after="0"/>
              <w:ind w:left="0" w:right="0" w:hanging="0"/>
              <w:jc w:val="right"/>
            </w:pPr>
            <w:r>
              <w:t>​</w:t>
            </w:r>
          </w:p>
        </w:tc>
        <w:tc>
          <w:tcPr>
            <w:tcW w:w="211"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14,397</w:t>
            </w:r>
          </w:p>
        </w:tc>
      </w:tr>
      <w:t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0"/>
              <w:ind w:left="0" w:right="0" w:hanging="0"/>
              <w:jc w:val="righ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r>
      <w:t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15,455</w:t>
            </w:r>
          </w:p>
        </w:tc>
        <w:tc>
          <w:tcPr>
            <w:tcW w:w="346" w:type="dxa"/>
            <w:tcBorders/>
            <w:vAlign w:val="center"/>
          </w:tcPr>
          <w:p>
            <w:pPr>
              <w:pStyle w:val="TableContents"/>
              <w:bidi w:val="0"/>
              <w:spacing w:before="0" w:after="0"/>
              <w:ind w:left="0" w:right="0" w:hanging="0"/>
              <w:jc w:val="righ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14,987</w:t>
            </w:r>
          </w:p>
        </w:tc>
      </w:tr>
      <w:t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left"/>
            </w:pPr>
            <w:r>
              <w:t>​</w:t>
            </w:r>
          </w:p>
        </w:tc>
      </w:tr>
      <w:t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righ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righ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2.26</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October 2, 2026, the Company excluded 65,000 common shares subject to outstanding equity awards from the calculation of diluted shares because their impact would have been anti-dilutive. For the three months ended October 3, 2025, the Company did not exclude any shares subject to outstanding equity awards from the calculation of diluted shares. For the nine months ended October 2, 2026 and October 3, 2025, the Company excluded an immaterial number of shares subject to outstanding equity awards from the calculation of diluted shares because their impact would have been anti-dilutive.</w:t>
      </w:r>
    </w:p>
    <w:p>
      <w:pPr>
        <w:pStyle w:val="TextBody"/>
        <w:bidi w:val="0"/>
        <w:spacing w:before="0" w:after="240"/>
        <w:ind w:left="0" w:right="0" w:firstLine="72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b/>
          <w:sz w:val="20"/>
        </w:rPr>
      </w:pPr>
      <w:r>
        <w:rPr>
          <w:rFonts w:ascii="Times New Roman;Times;serif" w:hAnsi="Times New Roman;Times;serif"/>
          <w:b/>
          <w:sz w:val="20"/>
        </w:rPr>
        <w:t>12. BUSINESS COMBINATIONS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Acquisition of Burton Energy Group,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May 4, 2026</w:t>
      </w:r>
      <w:r>
        <w:rPr>
          <w:rFonts w:ascii="Times New Roman;Times;serif" w:hAnsi="Times New Roman;Times;serif"/>
          <w:sz w:val="24"/>
        </w:rPr>
        <w:t> </w:t>
      </w:r>
      <w:r>
        <w:rPr>
          <w:rFonts w:ascii="Times New Roman;Times;serif" w:hAnsi="Times New Roman;Times;serif"/>
          <w:sz w:val="20"/>
        </w:rPr>
        <w:t>(the “Burton Closing Date”), the Company, through its wholly owned subsidiary, WES, acquired all of the equity of Burton Energy Group, LLC. (“Burton”), pursuant to the terms of the Equity Purchase Agreement, dated as of May 4, 2026</w:t>
      </w:r>
      <w:r>
        <w:rPr>
          <w:rFonts w:ascii="Times New Roman;Times;serif" w:hAnsi="Times New Roman;Times;serif"/>
          <w:sz w:val="24"/>
        </w:rPr>
        <w:t xml:space="preserve"> </w:t>
      </w:r>
      <w:r>
        <w:rPr>
          <w:rFonts w:ascii="Times New Roman;Times;serif" w:hAnsi="Times New Roman;Times;serif"/>
          <w:sz w:val="20"/>
        </w:rPr>
        <w:t>(the “Burton Equity Purchase Agreement”), by and among the Company, WES, and each of the shareholders of Burton (the “Burton Shareholders”).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Burton provides comprehensive energy management and energy efficiency consulting for multi-site corporations, helping them reduce energy, water, and waste costs through utility data management and rate optimization, energy procurement and risk management, energy and water conservation/audits, and turnkey HVAC and EMS program management. Burton’s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w:t>
      </w:r>
      <w:r>
        <w:rPr>
          <w:rFonts w:ascii="Times New Roman;Times;serif" w:hAnsi="Times New Roman;Times;serif"/>
          <w:b w:val="false"/>
          <w:i w:val="false"/>
          <w:caps w:val="false"/>
          <w:smallCaps w:val="false"/>
          <w:sz w:val="20"/>
        </w:rPr>
        <w:t>Energy</w:t>
      </w:r>
      <w:r>
        <w:rPr>
          <w:rFonts w:ascii="Times New Roman;Times;serif" w:hAnsi="Times New Roman;Times;serif"/>
          <w:sz w:val="24"/>
        </w:rPr>
        <w:t xml:space="preserve"> </w:t>
      </w:r>
      <w:r>
        <w:rPr>
          <w:rFonts w:ascii="Times New Roman;Times;serif" w:hAnsi="Times New Roman;Times;serif"/>
          <w:sz w:val="20"/>
        </w:rPr>
        <w:t>segment beginning in the second quarter of fiscal year 2026 and the Company expects to finalize the purchase price allocation related to this transaction by the end of the first quarter of fiscal year 2027.</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Pursuant to the terms of the Burton Equity Purchase Agreement, the Company agreed to pay up to $74.0</w:t>
      </w:r>
      <w:r>
        <w:rPr>
          <w:rFonts w:ascii="Times New Roman;Times;serif" w:hAnsi="Times New Roman;Times;serif"/>
          <w:sz w:val="24"/>
        </w:rPr>
        <w:t> </w:t>
      </w:r>
      <w:r>
        <w:rPr>
          <w:rFonts w:ascii="Times New Roman;Times;serif" w:hAnsi="Times New Roman;Times;serif"/>
          <w:sz w:val="20"/>
        </w:rPr>
        <w:t>million for the purchase of all the equity of Burton, consisting of (i) $52.0</w:t>
      </w:r>
      <w:r>
        <w:rPr>
          <w:rFonts w:ascii="Times New Roman;Times;serif" w:hAnsi="Times New Roman;Times;serif"/>
          <w:sz w:val="24"/>
        </w:rPr>
        <w:t> </w:t>
      </w:r>
      <w:r>
        <w:rPr>
          <w:rFonts w:ascii="Times New Roman;Times;serif" w:hAnsi="Times New Roman;Times;serif"/>
          <w:sz w:val="20"/>
        </w:rPr>
        <w:t>million in cash paid on the Burton Closing Date (subject to holdbacks and adjustments), (ii) $10.0</w:t>
      </w:r>
      <w:r>
        <w:rPr>
          <w:rFonts w:ascii="Times New Roman;Times;serif" w:hAnsi="Times New Roman;Times;serif"/>
          <w:sz w:val="24"/>
        </w:rPr>
        <w:t> </w:t>
      </w:r>
      <w:r>
        <w:rPr>
          <w:rFonts w:ascii="Times New Roman;Times;serif" w:hAnsi="Times New Roman;Times;serif"/>
          <w:sz w:val="20"/>
        </w:rPr>
        <w:t>million in restricted shares of the Company’s common stock, based on the volume weighted average closing price per share of the Company’s common stock for the twenty</w:t>
      </w:r>
      <w:r>
        <w:rPr>
          <w:rFonts w:ascii="Times New Roman;Times;serif" w:hAnsi="Times New Roman;Times;serif"/>
          <w:sz w:val="24"/>
        </w:rPr>
        <w:t> </w:t>
      </w:r>
      <w:r>
        <w:rPr>
          <w:rFonts w:ascii="Times New Roman;Times;serif" w:hAnsi="Times New Roman;Times;serif"/>
          <w:sz w:val="20"/>
        </w:rPr>
        <w:t>trading days immediately preceding the third trading day prior to the Burton Closing Date, and (iii) up to $12.0</w:t>
      </w:r>
      <w:r>
        <w:rPr>
          <w:rFonts w:ascii="Times New Roman;Times;serif" w:hAnsi="Times New Roman;Times;serif"/>
          <w:sz w:val="24"/>
        </w:rPr>
        <w:t> </w:t>
      </w:r>
      <w:r>
        <w:rPr>
          <w:rFonts w:ascii="Times New Roman;Times;serif" w:hAnsi="Times New Roman;Times;serif"/>
          <w:sz w:val="20"/>
        </w:rPr>
        <w:t>million in cash if Burton exceeds certain financial targets during the two years</w:t>
      </w:r>
      <w:r>
        <w:rPr>
          <w:rFonts w:ascii="Times New Roman;Times;serif" w:hAnsi="Times New Roman;Times;serif"/>
          <w:sz w:val="24"/>
        </w:rPr>
        <w:t> </w:t>
      </w:r>
      <w:r>
        <w:rPr>
          <w:rFonts w:ascii="Times New Roman;Times;serif" w:hAnsi="Times New Roman;Times;serif"/>
          <w:sz w:val="20"/>
        </w:rPr>
        <w:t>after the Burton Closing Date, as more fully described below (such potential payments of up to $12.0</w:t>
      </w:r>
      <w:r>
        <w:rPr>
          <w:rFonts w:ascii="Times New Roman;Times;serif" w:hAnsi="Times New Roman;Times;serif"/>
          <w:sz w:val="24"/>
        </w:rPr>
        <w:t> </w:t>
      </w:r>
      <w:r>
        <w:rPr>
          <w:rFonts w:ascii="Times New Roman;Times;serif" w:hAnsi="Times New Roman;Times;serif"/>
          <w:sz w:val="20"/>
        </w:rPr>
        <w:t>million being referred to as “Burton Earnout Payments” and $12.0</w:t>
      </w:r>
      <w:r>
        <w:rPr>
          <w:rFonts w:ascii="Times New Roman;Times;serif" w:hAnsi="Times New Roman;Times;serif"/>
          <w:sz w:val="24"/>
        </w:rPr>
        <w:t> </w:t>
      </w:r>
      <w:r>
        <w:rPr>
          <w:rFonts w:ascii="Times New Roman;Times;serif" w:hAnsi="Times New Roman;Times;serif"/>
          <w:sz w:val="20"/>
        </w:rPr>
        <w:t>million in respect thereof, being referred to as the “Burton Maximum Payout”). The Company issued 131,626</w:t>
      </w:r>
      <w:r>
        <w:rPr>
          <w:rFonts w:ascii="Times New Roman;Times;serif" w:hAnsi="Times New Roman;Times;serif"/>
          <w:sz w:val="24"/>
        </w:rPr>
        <w:t xml:space="preserve"> </w:t>
      </w:r>
      <w:r>
        <w:rPr>
          <w:rFonts w:ascii="Times New Roman;Times;serif" w:hAnsi="Times New Roman;Times;serif"/>
          <w:sz w:val="20"/>
        </w:rPr>
        <w:t>shares of the Company’s common stock and the shares have not been registered under the Securities Act of 1933, as amended (the “Securities Act”), and were issued and sold in reliance upon the exemption from registration contained in Section 4(a)(2) of the Securities Act.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amount of the Burton Earnout Payments to be paid will be determined based on Burton’s earnings before interest, taxes, depreciation and amortization (“Burton EBITDA”). The Burton Shareholders will receive Burton Earnout Payments in each of the two years</w:t>
      </w:r>
      <w:r>
        <w:rPr>
          <w:rFonts w:ascii="Times New Roman;Times;serif" w:hAnsi="Times New Roman;Times;serif"/>
          <w:sz w:val="24"/>
        </w:rPr>
        <w:t> </w:t>
      </w:r>
      <w:r>
        <w:rPr>
          <w:rFonts w:ascii="Times New Roman;Times;serif" w:hAnsi="Times New Roman;Times;serif"/>
          <w:sz w:val="20"/>
        </w:rPr>
        <w:t>after the Burton Closing Date (the “Burton Earnout Period”) based on the amount by which Burton EBITDA exceeds certain targets. The amounts due to the Burton Shareholders as Burton Earnout Payments will in no event, individually or in the aggregate, exceed the Burton Maximum Payout. Burton Earnout Payments will be made in annual installments for each of the two years</w:t>
      </w:r>
      <w:r>
        <w:rPr>
          <w:rFonts w:ascii="Times New Roman;Times;serif" w:hAnsi="Times New Roman;Times;serif"/>
          <w:sz w:val="24"/>
        </w:rPr>
        <w:t> </w:t>
      </w:r>
      <w:r>
        <w:rPr>
          <w:rFonts w:ascii="Times New Roman;Times;serif" w:hAnsi="Times New Roman;Times;serif"/>
          <w:sz w:val="20"/>
        </w:rPr>
        <w:t>of the Burton Earnout Period. In addition, the Burton Earnout Payments will be subject to certain subordination provisions in favor of the lenders under the Company’s Amended and Restated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Burton Equity Purchase Agreement contains customary representations and warranties regarding the Company, WES, Burton, and the Burton Shareholders, indemnification provisions, and other provisions customary for transactions of this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borrowed $30.0 million under its revolving credit facility and used cash on hand to fund the initial 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Burton’s assembled workforce. The Company estimates that the entire $41.0 million of goodwill resulting from the acquisition of Burton will be tax deductible.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654" w:name="Tc_FhXtNYZSe0quLhBeA3rT9Q_12_2"/>
      <w:bookmarkStart w:id="1655" w:name="Tc_sEtFJ-fzr0ep09oK_b3Ubw_12_0"/>
      <w:bookmarkStart w:id="1656" w:name="Tc_lS7tltv1BUq3NMW6-IoYYg_11_0"/>
      <w:bookmarkStart w:id="1657" w:name="Tc_ePyQicI5U023LzOFVAey5A_10_3"/>
      <w:bookmarkStart w:id="1658" w:name="Tc_1_4_Mb8kykqTii4Atxi_aA_10_0"/>
      <w:bookmarkStart w:id="1659" w:name="Tc_bhCiUGOB5U-y4cabM795sg_9_0"/>
      <w:bookmarkStart w:id="1660" w:name="Tc_3RaB_GkUzEmtDNITrOQJQQ_8_0"/>
      <w:bookmarkStart w:id="1661" w:name="Tc_a3vGiMpNHkm1eZuBC4T6MA_7_3"/>
      <w:bookmarkStart w:id="1662" w:name="Tc_p8OBgNkOtEy9WGfUeyv5yA_7_0"/>
      <w:bookmarkStart w:id="1663" w:name="Tc_RY8b-R906EC9stbBoWhM6A_6_0"/>
      <w:bookmarkStart w:id="1664" w:name="Tc_HaKums1pZkay-W78xX8IqQ_5_0"/>
      <w:bookmarkStart w:id="1665" w:name="Tc_EfVpn0LGnki_GCIqejmVzQ_4_0"/>
      <w:bookmarkStart w:id="1666" w:name="Tc_jYn9OBzBGk2IiQzvk8Gh8A_3_2"/>
      <w:bookmarkStart w:id="1667" w:name="Tc_71LqSvSQaUS1myhxsIgE8Q_3_0"/>
      <w:bookmarkStart w:id="1668" w:name="Tc_HJMis6NztUKYE24V7rLTsw_2_2"/>
      <w:bookmarkStart w:id="1669" w:name="Tc_xWIEjGxStEuluKD5yDy4Fg_1_2"/>
      <w:bookmarkStart w:id="1670" w:name="_c07b70c4_b43a_444e_9490_6836fa68eacc"/>
      <w:bookmarkStart w:id="1671" w:name="Tc_H1NY0ZdD-EGf_8JvYGWsOQ_7_2"/>
      <w:bookmarkStart w:id="1672" w:name="Tc_sMgl5xi4BUGqUrYYkcHTpQ_7_0"/>
      <w:bookmarkStart w:id="1673" w:name="Tc_NMfKR2l_XEqCJtkvKudLWg_6_0"/>
      <w:bookmarkStart w:id="1674" w:name="Tc_DdhRVFSH5EWF1qBmvrDmAA_5_0"/>
      <w:bookmarkStart w:id="1675" w:name="Tc_ty2ftOGu_EaQuYUVaTsN0g_4_0"/>
      <w:bookmarkStart w:id="1676" w:name="Tc_hIC8KauljkGgPDArAuF1pA_3_2"/>
      <w:bookmarkStart w:id="1677" w:name="Tc_PhsAv3Waaki5pbC9NFrdOA_3_0"/>
      <w:bookmarkStart w:id="1678" w:name="Tc_4Bu1GLLLaUSwHFZzvgEkrQ_2_2"/>
      <w:bookmarkStart w:id="1679" w:name="Tc_WtdyN8gPIk2F97J8yZzo_w_1_2"/>
      <w:bookmarkStart w:id="1680" w:name="_f3823bcd_0c7d_4ea9_8e00_433b5f83d2ad"/>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ascii="Times New Roman;Times;serif" w:hAnsi="Times New Roman;Times;serif"/>
          <w:sz w:val="20"/>
        </w:rPr>
        <w:t>As of October 2, 2026, the purchase price allocation is preliminary and subject to change within the measurement period (not to exceed twelve months following the Burton Closing Date).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engaged a third-party independent valuation specialist to assist in management’s determination of fair values of tangible and intangible assets acquired and liabilities assumed, including the determination of the fair value of the contingent consideration liability. The Company’s third-party independent valuation specialist determined the fair value of the contingent consideration liability utilizing a Monte Carlo valuation model, which involves a simulation of future revenues during the earn out-period using management’s best estimates, or a probability-weighted discounted cash flow analysis.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expects to continue to obtain information for the purpose of determining the fair value of the assets acquired on the Burton Closing Date throughout the remainder of the measurement period. Accordingly, adjustments may be made as additional information is obtained about the facts and circumstances that existed as of the valuation date. Any adjustments will be recorded in the period in which they are identified.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Preliminary consideration for the acquisition of Burton includes the following:</w:t>
      </w:r>
    </w:p>
    <w:p>
      <w:pPr>
        <w:pStyle w:val="TextBody"/>
        <w:bidi w:val="0"/>
        <w:spacing w:before="0" w:after="0"/>
        <w:ind w:left="0" w:right="0" w:hanging="0"/>
        <w:jc w:val="left"/>
      </w:pPr>
      <w:r>
        <w:t>​</w:t>
      </w:r>
    </w:p>
    <w:tbl>
      <w:tblPr>
        <w:tblW w:w="5642" w:type="dxa"/>
        <w:jc w:val="left"/>
        <w:tblInd w:w="0" w:type="dxa"/>
        <w:tblLayout w:type="fixed"/>
        <w:tblCellMar>
          <w:top w:w="0" w:type="dxa"/>
          <w:left w:w="0" w:type="dxa"/>
          <w:bottom w:w="0" w:type="dxa"/>
          <w:right w:w="0" w:type="dxa"/>
        </w:tblCellMar>
      </w:tblPr>
      <w:tblGrid>
        <w:gridCol w:w="4141"/>
        <w:gridCol w:w="346"/>
        <w:gridCol w:w="245"/>
        <w:gridCol w:w="910"/>
      </w:tblGrid>
      <w:tr>
        <w:tc>
          <w:tcPr>
            <w:tcW w:w="41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5575" cy="175260"/>
                      <wp:effectExtent l="0" t="0" r="0" b="0"/>
                      <wp:wrapNone/>
                      <wp:docPr id="215" name="Frame21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77850" cy="175260"/>
                      <wp:effectExtent l="0" t="0" r="0" b="0"/>
                      <wp:wrapNone/>
                      <wp:docPr id="216" name="Frame21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1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Burton</w:t>
            </w:r>
          </w:p>
        </w:tc>
      </w:tr>
      <w:tr>
        <w:tc>
          <w:tcPr>
            <w:tcW w:w="41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46" w:type="dxa"/>
            <w:tcBorders/>
            <w:shd w:fill="CCEEFF" w:val="clear"/>
            <w:vAlign w:val="center"/>
          </w:tcPr>
          <w:p>
            <w:pPr>
              <w:pStyle w:val="TableContents"/>
              <w:bidi w:val="0"/>
              <w:spacing w:before="0" w:after="0"/>
              <w:ind w:left="0" w:right="0" w:hanging="0"/>
              <w:jc w:val="left"/>
            </w:pPr>
            <w: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52,000</w:t>
            </w:r>
          </w:p>
        </w:tc>
      </w:tr>
      <w:t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46" w:type="dxa"/>
            <w:tcBorders/>
            <w:vAlign w:val="center"/>
          </w:tcPr>
          <w:p>
            <w:pPr>
              <w:pStyle w:val="TableContents"/>
              <w:bidi w:val="0"/>
              <w:spacing w:before="0" w:after="0"/>
              <w:ind w:left="0" w:right="0" w:hanging="0"/>
              <w:jc w:val="left"/>
            </w:pPr>
            <w:r>
              <w:t>​</w:t>
            </w:r>
          </w:p>
        </w:tc>
        <w:tc>
          <w:tcPr>
            <w:tcW w:w="245" w:type="dxa"/>
            <w:tcBorders/>
            <w:vAlign w:val="center"/>
          </w:tcPr>
          <w:p>
            <w:pPr>
              <w:pStyle w:val="TableContents"/>
              <w:bidi w:val="0"/>
              <w:spacing w:before="0" w:after="0"/>
              <w:ind w:left="0" w:right="0" w:hanging="0"/>
              <w:jc w:val="left"/>
            </w:pPr>
            <w: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r>
      <w:t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pPr>
            <w:r>
              <w:t>​</w:t>
            </w:r>
          </w:p>
        </w:tc>
        <w:tc>
          <w:tcPr>
            <w:tcW w:w="245" w:type="dxa"/>
            <w:tcBorders/>
            <w:shd w:fill="CCEEFF" w:val="clear"/>
            <w:vAlign w:val="center"/>
          </w:tcPr>
          <w:p>
            <w:pPr>
              <w:pStyle w:val="TableContents"/>
              <w:bidi w:val="0"/>
              <w:spacing w:before="0" w:after="0"/>
              <w:ind w:left="0" w:right="0" w:hanging="0"/>
              <w:jc w:val="left"/>
            </w:pPr>
            <w: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9,572</w:t>
            </w:r>
          </w:p>
        </w:tc>
      </w:tr>
      <w:t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pPr>
            <w: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r>
      <w:t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0" w:after="0"/>
              <w:ind w:left="0" w:right="0" w:hanging="0"/>
              <w:jc w:val="left"/>
            </w:pPr>
            <w: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73,170</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pPr>
      <w:r>
        <w:t>​</w:t>
      </w:r>
    </w:p>
    <w:tbl>
      <w:tblPr>
        <w:tblW w:w="3677" w:type="dxa"/>
        <w:jc w:val="left"/>
        <w:tblInd w:w="0" w:type="dxa"/>
        <w:tblLayout w:type="fixed"/>
        <w:tblCellMar>
          <w:top w:w="0" w:type="dxa"/>
          <w:left w:w="0" w:type="dxa"/>
          <w:bottom w:w="0" w:type="dxa"/>
          <w:right w:w="0" w:type="dxa"/>
        </w:tblCellMar>
      </w:tblPr>
      <w:tblGrid>
        <w:gridCol w:w="2176"/>
        <w:gridCol w:w="346"/>
        <w:gridCol w:w="231"/>
        <w:gridCol w:w="924"/>
      </w:tblGrid>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6685" cy="175260"/>
                      <wp:effectExtent l="0" t="0" r="0" b="0"/>
                      <wp:wrapNone/>
                      <wp:docPr id="218" name="Frame21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6740" cy="175260"/>
                      <wp:effectExtent l="0" t="0" r="0" b="0"/>
                      <wp:wrapNone/>
                      <wp:docPr id="219" name="Frame219"/>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Burton</w:t>
            </w:r>
          </w:p>
        </w:tc>
      </w:tr>
      <w:tr>
        <w:tc>
          <w:tcPr>
            <w:tcW w:w="21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pPr>
            <w: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19,418</w:t>
            </w:r>
          </w:p>
        </w:tc>
      </w:tr>
      <w:tr>
        <w:tc>
          <w:tcPr>
            <w:tcW w:w="21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31" w:type="dxa"/>
            <w:tcBorders/>
            <w:vAlign w:val="center"/>
          </w:tcPr>
          <w:p>
            <w:pPr>
              <w:pStyle w:val="TableContents"/>
              <w:bidi w:val="0"/>
              <w:spacing w:before="0" w:after="0"/>
              <w:ind w:left="0" w:right="0" w:hanging="0"/>
              <w:jc w:val="left"/>
            </w:pPr>
            <w: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231" w:type="dxa"/>
            <w:tcBorders/>
            <w:shd w:fill="CCEEFF" w:val="clear"/>
            <w:vAlign w:val="center"/>
          </w:tcPr>
          <w:p>
            <w:pPr>
              <w:pStyle w:val="TableContents"/>
              <w:bidi w:val="0"/>
              <w:spacing w:before="0" w:after="0"/>
              <w:ind w:left="0" w:right="0" w:hanging="0"/>
              <w:jc w:val="left"/>
            </w:pPr>
            <w: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(19,170)</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pPr>
            <w:r>
              <w:t>​</w:t>
            </w:r>
          </w:p>
        </w:tc>
        <w:tc>
          <w:tcPr>
            <w:tcW w:w="231" w:type="dxa"/>
            <w:tcBorders/>
            <w:vAlign w:val="center"/>
          </w:tcPr>
          <w:p>
            <w:pPr>
              <w:pStyle w:val="TableContents"/>
              <w:bidi w:val="0"/>
              <w:spacing w:before="0" w:after="0"/>
              <w:ind w:left="0" w:right="0" w:hanging="0"/>
              <w:jc w:val="left"/>
            </w:pPr>
            <w: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pPr>
            <w:r>
              <w:t>​</w:t>
            </w:r>
          </w:p>
        </w:tc>
        <w:tc>
          <w:tcPr>
            <w:tcW w:w="231" w:type="dxa"/>
            <w:tcBorders/>
            <w:shd w:fill="CCEEFF" w:val="clear"/>
            <w:vAlign w:val="center"/>
          </w:tcPr>
          <w:p>
            <w:pPr>
              <w:pStyle w:val="TableContents"/>
              <w:bidi w:val="0"/>
              <w:spacing w:before="0" w:after="0"/>
              <w:ind w:left="0" w:right="0" w:hanging="0"/>
              <w:jc w:val="left"/>
            </w:pPr>
            <w: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pPr>
            <w:r>
              <w:t>​</w:t>
            </w:r>
          </w:p>
        </w:tc>
        <w:tc>
          <w:tcPr>
            <w:tcW w:w="231" w:type="dxa"/>
            <w:tcBorders/>
            <w:vAlign w:val="center"/>
          </w:tcPr>
          <w:p>
            <w:pPr>
              <w:pStyle w:val="TableContents"/>
              <w:bidi w:val="0"/>
              <w:spacing w:before="0" w:after="0"/>
              <w:ind w:left="0" w:right="0" w:hanging="0"/>
              <w:jc w:val="left"/>
            </w:pPr>
            <w: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28,700</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pPr>
            <w:r>
              <w:t>​</w:t>
            </w:r>
          </w:p>
        </w:tc>
        <w:tc>
          <w:tcPr>
            <w:tcW w:w="231" w:type="dxa"/>
            <w:tcBorders/>
            <w:shd w:fill="CCEEFF" w:val="clear"/>
            <w:vAlign w:val="center"/>
          </w:tcPr>
          <w:p>
            <w:pPr>
              <w:pStyle w:val="TableContents"/>
              <w:bidi w:val="0"/>
              <w:spacing w:before="0" w:after="0"/>
              <w:ind w:left="0" w:right="0" w:hanging="0"/>
              <w:jc w:val="left"/>
            </w:pPr>
            <w: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pPr>
            <w:r>
              <w:t>​</w:t>
            </w:r>
          </w:p>
        </w:tc>
        <w:tc>
          <w:tcPr>
            <w:tcW w:w="231" w:type="dxa"/>
            <w:tcBorders/>
            <w:vAlign w:val="center"/>
          </w:tcPr>
          <w:p>
            <w:pPr>
              <w:pStyle w:val="TableContents"/>
              <w:bidi w:val="0"/>
              <w:spacing w:before="0" w:after="0"/>
              <w:ind w:left="0" w:right="0" w:hanging="0"/>
              <w:jc w:val="left"/>
            </w:pPr>
            <w: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pPr>
            <w: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41,045</w:t>
            </w:r>
          </w:p>
        </w:tc>
      </w:tr>
      <w:t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46" w:type="dxa"/>
            <w:tcBorders/>
            <w:vAlign w:val="center"/>
          </w:tcPr>
          <w:p>
            <w:pPr>
              <w:pStyle w:val="TableContents"/>
              <w:bidi w:val="0"/>
              <w:spacing w:before="0" w:after="0"/>
              <w:ind w:left="0" w:right="0" w:hanging="0"/>
              <w:jc w:val="left"/>
            </w:pPr>
            <w: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73,170</w:t>
            </w:r>
          </w:p>
        </w:tc>
      </w:tr>
    </w:tbl>
    <w:p>
      <w:pPr>
        <w:pStyle w:val="TextBody"/>
        <w:bidi w:val="0"/>
        <w:spacing w:before="0" w:after="0"/>
        <w:ind w:left="0" w:right="0" w:firstLine="720"/>
        <w:jc w:val="left"/>
      </w:pPr>
      <w:r>
        <w:t>​</w:t>
      </w:r>
    </w:p>
    <w:tbl>
      <w:tblPr>
        <w:tblW w:w="8451" w:type="dxa"/>
        <w:jc w:val="left"/>
        <w:tblInd w:w="0" w:type="dxa"/>
        <w:tblLayout w:type="fixed"/>
        <w:tblCellMar>
          <w:top w:w="28" w:type="dxa"/>
          <w:left w:w="28" w:type="dxa"/>
          <w:bottom w:w="28" w:type="dxa"/>
          <w:right w:w="28" w:type="dxa"/>
        </w:tblCellMar>
      </w:tblPr>
      <w:tblGrid>
        <w:gridCol w:w="124"/>
        <w:gridCol w:w="271"/>
        <w:gridCol w:w="8056"/>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Excluded from non-current assets are backlog, customer relationships, tradename, non-compete and goodwill.</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October 2, 2026, </w:t>
      </w:r>
      <w:r>
        <w:rPr>
          <w:rFonts w:ascii="Times New Roman;Times;serif" w:hAnsi="Times New Roman;Times;serif"/>
          <w:sz w:val="20"/>
          <w:shd w:fill="FFFFFF" w:val="clear"/>
        </w:rPr>
        <w:t>the Company made adjustments, primarily related to contingent consideration, to the consideration paid for Burton, which resulted in an adjustment to the preliminary purchase price allocation of Burton. The adjustments resulted in an aggregate increase of $0.9</w:t>
      </w:r>
      <w:r>
        <w:rPr>
          <w:rFonts w:ascii="Times New Roman;Times;serif" w:hAnsi="Times New Roman;Times;serif"/>
          <w:sz w:val="20"/>
        </w:rPr>
        <w:t xml:space="preserve"> million</w:t>
      </w:r>
      <w:r>
        <w:rPr>
          <w:rFonts w:ascii="Times New Roman;Times;serif" w:hAnsi="Times New Roman;Times;serif"/>
          <w:sz w:val="20"/>
          <w:shd w:fill="FFFFFF" w:val="clear"/>
        </w:rPr>
        <w:t xml:space="preserve"> in the net carrying value of backlog, customer relationships, tradename, non-compete agreements, and goodwill. The decrease in the fair value of intangible assets resulted in a decrease amortization expense of $0.5 million for the three months ended October 2,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nine months ended October 2, 2026, acquisition related costs associated with Burton were not material and were included in other general and administrative expenses in the condensed consolidated statements of comprehensive income. During the three and nine months ended October 2, 2026, the acquisition of Burton contributed $23.4 million and $51.3 million in revenue and contributed $1.9 million and $4.5 million in income from operations. </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Acquisition of KCS Corporation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August 17, 2026, (the “KCS Closing Date”), the Company acquired substantially all of the assets of KCS Corporation. (“KCS”). KCS is a diversified provider of engineering and construction support services with several years of experience in a variety of industries including telecommunications, power transmission and distribution, commercial and industrial automation, and renewable power generation. KCS’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Company’s </w:t>
      </w:r>
      <w:r>
        <w:rPr>
          <w:rFonts w:ascii="Times New Roman;Times;serif" w:hAnsi="Times New Roman;Times;serif"/>
          <w:b w:val="false"/>
          <w:i w:val="false"/>
          <w:caps w:val="false"/>
          <w:smallCaps w:val="false"/>
          <w:sz w:val="20"/>
        </w:rPr>
        <w:t>Energy</w:t>
      </w:r>
      <w:r>
        <w:rPr>
          <w:rFonts w:ascii="Times New Roman;Times;serif" w:hAnsi="Times New Roman;Times;serif"/>
          <w:sz w:val="24"/>
        </w:rPr>
        <w:t xml:space="preserve"> </w:t>
      </w:r>
      <w:r>
        <w:rPr>
          <w:rFonts w:ascii="Times New Roman;Times;serif" w:hAnsi="Times New Roman;Times;serif"/>
          <w:sz w:val="20"/>
        </w:rPr>
        <w:t>segment beginning in the Company’s third quarter of fiscal year 2026.</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agreed to pay (i) $3.5</w:t>
      </w:r>
      <w:r>
        <w:rPr>
          <w:rFonts w:ascii="Times New Roman;Times;serif" w:hAnsi="Times New Roman;Times;serif"/>
          <w:sz w:val="24"/>
        </w:rPr>
        <w:t> </w:t>
      </w:r>
      <w:r>
        <w:rPr>
          <w:rFonts w:ascii="Times New Roman;Times;serif" w:hAnsi="Times New Roman;Times;serif"/>
          <w:sz w:val="20"/>
        </w:rPr>
        <w:t>million in cash on the KCS Closing Date (subject to holdbacks and adjustments) and (ii) up to $1.5</w:t>
      </w:r>
      <w:r>
        <w:rPr>
          <w:rFonts w:ascii="Times New Roman;Times;serif" w:hAnsi="Times New Roman;Times;serif"/>
          <w:sz w:val="24"/>
        </w:rPr>
        <w:t> </w:t>
      </w:r>
      <w:r>
        <w:rPr>
          <w:rFonts w:ascii="Times New Roman;Times;serif" w:hAnsi="Times New Roman;Times;serif"/>
          <w:sz w:val="20"/>
        </w:rPr>
        <w:t>million in cash if KCS exceeds certain financial targets during the two year</w:t>
      </w:r>
      <w:r>
        <w:rPr>
          <w:rFonts w:ascii="Times New Roman;Times;serif" w:hAnsi="Times New Roman;Times;serif"/>
          <w:sz w:val="24"/>
        </w:rPr>
        <w:t> </w:t>
      </w:r>
      <w:r>
        <w:rPr>
          <w:rFonts w:ascii="Times New Roman;Times;serif" w:hAnsi="Times New Roman;Times;serif"/>
          <w:sz w:val="20"/>
        </w:rPr>
        <w:t>after the KCS Closing Date; for a potential maximum purchase price of $5.0</w:t>
      </w:r>
      <w:r>
        <w:rPr>
          <w:rFonts w:ascii="Times New Roman;Times;serif" w:hAnsi="Times New Roman;Times;serif"/>
          <w:sz w:val="24"/>
        </w:rPr>
        <w:t> </w:t>
      </w:r>
      <w:r>
        <w:rPr>
          <w:rFonts w:ascii="Times New Roman;Times;serif" w:hAnsi="Times New Roman;Times;serif"/>
          <w:sz w:val="20"/>
        </w:rPr>
        <w:t>million. The Company used cash on hand to fund the initial purchase price on the KCS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Compass’ assembled workforce. The Company estimates that the entire goodwill balance resulting from the acquisition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preliminary fair value of the contingent consideration liability was estimated by discounting to present value the contingent payments expected to be made and utilizing a probability-weighted discounted cash flow rate. The preliminary estimate of the fair values for intangible assets were calculated utilizing a weighted average allocation derived from previous valuation studies performed by a third-party valuation firm for the Company’s historical acquisitions with similar characteristics.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expects to continue to obtain information for the purpose of determining the fair value of the assets acquired on the KCS Closing Date throughout the remainder of the measurement period. Accordingly, adjustments may be made as additional information is obtained about the facts and circumstances that existed as of the valuation date. Any adjustments will be recorded in the period in which they are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October 2, 2026, the purchase price allocation is preliminary and subject to change within the measurement period (not to exceed twelve months following the KCS Closing Date) and is primarily comprised of $0.8 million in assets, $1.1 million in customer relationships, and $2.6 million in goodwill.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October 2, 2026, KCS’ </w:t>
      </w:r>
      <w:r>
        <w:rPr>
          <w:rFonts w:ascii="Times New Roman;Times;serif" w:hAnsi="Times New Roman;Times;serif"/>
          <w:sz w:val="20"/>
          <w:shd w:fill="FFFFFF" w:val="clear"/>
        </w:rPr>
        <w:t>contribution to revenue and net income were not material to the Company’s consolidated financial statements.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Acquisition of Compass Municipal Advisors,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January 2, 2026, (the “Compass Closing Date”), the Company acquired all the equity of Compass Municipal Advisors, LLC. (“Compass”). Compass is a full service municipal advisory firm providing a broad range of financial services to municipalities across the Southeast. Compass’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Company’s </w:t>
      </w:r>
      <w:r>
        <w:rPr>
          <w:rFonts w:ascii="Times New Roman;Times;serif" w:hAnsi="Times New Roman;Times;serif"/>
          <w:b w:val="false"/>
          <w:i w:val="false"/>
          <w:caps w:val="false"/>
          <w:smallCaps w:val="false"/>
          <w:sz w:val="20"/>
        </w:rPr>
        <w:t>Engineering and Consulting</w:t>
      </w:r>
      <w:r>
        <w:rPr>
          <w:rFonts w:ascii="Times New Roman;Times;serif" w:hAnsi="Times New Roman;Times;serif"/>
          <w:sz w:val="24"/>
        </w:rPr>
        <w:t xml:space="preserve"> </w:t>
      </w:r>
      <w:r>
        <w:rPr>
          <w:rFonts w:ascii="Times New Roman;Times;serif" w:hAnsi="Times New Roman;Times;serif"/>
          <w:sz w:val="20"/>
        </w:rPr>
        <w:t>segment beginning on the last day of the Company’s fourth quarter of fiscal year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4"/>
        </w:rPr>
      </w:pPr>
      <w:bookmarkStart w:id="1681" w:name="Tc_NBpWlv_sukWjpJfht-h4iA_17_0"/>
      <w:bookmarkStart w:id="1682" w:name="Tc_lLpXXd7EEU646dJImmS3_g_16_0"/>
      <w:bookmarkStart w:id="1683" w:name="Tc_xGOtX1sorkuOSvAk1FZ3Tw_15_0"/>
      <w:bookmarkStart w:id="1684" w:name="Tc_kk64b9r_xUya4TmS6c5Q2g_13_11"/>
      <w:bookmarkStart w:id="1685" w:name="Tc_cdlrZSJAtEW8rAxgAfmbZA_13_8"/>
      <w:bookmarkStart w:id="1686" w:name="Tc_2U1p-d0ogkyFjS02-T6uDg_13_5"/>
      <w:bookmarkStart w:id="1687" w:name="Tc_h2peJUD5r0uIwaIXowwIoA_13_2"/>
      <w:bookmarkStart w:id="1688" w:name="Tc__urmFBvG3UWly9XORKEWwQ_13_0"/>
      <w:bookmarkStart w:id="1689" w:name="Tc_ALQE09Ksg0KDW2RZmP1tJQ_12_11"/>
      <w:bookmarkStart w:id="1690" w:name="Tc_6gzEsEFvAk6lJgtGhuah_A_12_8"/>
      <w:bookmarkStart w:id="1691" w:name="Tc_v-4OFsqmHk2BagC581FXkw_12_5"/>
      <w:bookmarkStart w:id="1692" w:name="Tc_4Z8kHIaov028NvpguFo3Dw_12_2"/>
      <w:bookmarkStart w:id="1693" w:name="Tc_pcZFm2sJn0eaSSnM7KbY7A_12_0"/>
      <w:bookmarkStart w:id="1694" w:name="Tc_9bq5VOb4zUuSaqKNk4uQ3Q_11_0"/>
      <w:bookmarkStart w:id="1695" w:name="Tc_xAHB9rNqKUKPoODhwr3UCQ_9_11"/>
      <w:bookmarkStart w:id="1696" w:name="Tc_PAwxRcGw9UuafN7EoUterA_9_8"/>
      <w:bookmarkStart w:id="1697" w:name="Tc_Hl-mU6kf3kOQQyMAe5hhRQ_9_5"/>
      <w:bookmarkStart w:id="1698" w:name="Tc_L0Bz82ty9kqy0VFElzJ7wQ_9_2"/>
      <w:bookmarkStart w:id="1699" w:name="Tc_0zDjk6vTF0KExzrPsyyV5Q_9_0"/>
      <w:bookmarkStart w:id="1700" w:name="Tc_bQdr5hDeMkKVQMuxgjRmYg_8_11"/>
      <w:bookmarkStart w:id="1701" w:name="Tc_zyH4uRcshEWR3BiKubCGsw_8_8"/>
      <w:bookmarkStart w:id="1702" w:name="Tc_hNV7W-ydTkyuCP_CxQG05w_8_5"/>
      <w:bookmarkStart w:id="1703" w:name="Tc_zmUTQ5AnTEKkkzfcjwKSeQ_8_2"/>
      <w:bookmarkStart w:id="1704" w:name="Tc_aacKWuEIU0iLYA0gQp0_Pg_8_0"/>
      <w:bookmarkStart w:id="1705" w:name="Tc_DXGhU23VBkqEc80fHViNyg_6_11"/>
      <w:bookmarkStart w:id="1706" w:name="Tc_1o68aEHMS0KSBZ5ZuPtXsQ_6_8"/>
      <w:bookmarkStart w:id="1707" w:name="Tc_PuU8TnkqsUif4vbP0e99nQ_6_5"/>
      <w:bookmarkStart w:id="1708" w:name="Tc_ajClUCZJGkGMwQBLLNZboA_6_2"/>
      <w:bookmarkStart w:id="1709" w:name="Tc_tcFHZLq93kmBFgnZhlgLXw_6_0"/>
      <w:bookmarkStart w:id="1710" w:name="Tc_HNi5CvkdYUikvqReTkjlBQ_5_2"/>
      <w:bookmarkStart w:id="1711" w:name="Tc_Uk6oYWXmDUm9b_VOoBX8QA_4_2"/>
      <w:bookmarkStart w:id="1712" w:name="Tc_ew0OwvWPI0qvS2gQqBEEGw_3_11"/>
      <w:bookmarkStart w:id="1713" w:name="Tc_SKgDeq0IQkqmZhjBwuHJfQ_3_8"/>
      <w:bookmarkStart w:id="1714" w:name="Tc_RkI8B4BnwkKKJyoCgB-YbQ_3_5"/>
      <w:bookmarkStart w:id="1715" w:name="Tc_cB9U_DIfrkeaPbvZimVE4Q_3_2"/>
      <w:bookmarkStart w:id="1716" w:name="Tc_umpVPQ5xykms1Ee_ETGXjw_2_11"/>
      <w:bookmarkStart w:id="1717" w:name="Tc_6AtM8eYkoEarPi22ShK9yQ_2_8"/>
      <w:bookmarkStart w:id="1718" w:name="Tc_82h4q7phokywfydAe15W4A_2_5"/>
      <w:bookmarkStart w:id="1719" w:name="Tc_RrGWXWdhc0SLoqEWtDYJcQ_2_2"/>
      <w:bookmarkStart w:id="1720" w:name="Tc_vssH0FVVvEq67tgcSs14sw_1_8"/>
      <w:bookmarkStart w:id="1721" w:name="Tc_KS6pivFRh0q3RTxQX1dPHQ_1_2"/>
      <w:bookmarkStart w:id="1722" w:name="_4a169f2f_474a_4994_9461_3b83a20b8e66"/>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r>
        <w:rPr>
          <w:rFonts w:ascii="Times New Roman;Times;serif" w:hAnsi="Times New Roman;Times;serif"/>
          <w:sz w:val="20"/>
        </w:rPr>
        <w:t>The Company agreed to pay (i) $3.5</w:t>
      </w:r>
      <w:r>
        <w:rPr>
          <w:rFonts w:ascii="Times New Roman;Times;serif" w:hAnsi="Times New Roman;Times;serif"/>
          <w:sz w:val="24"/>
        </w:rPr>
        <w:t> </w:t>
      </w:r>
      <w:r>
        <w:rPr>
          <w:rFonts w:ascii="Times New Roman;Times;serif" w:hAnsi="Times New Roman;Times;serif"/>
          <w:sz w:val="20"/>
        </w:rPr>
        <w:t>million in cash on the Compass Closing Date (subject to holdbacks and adjustments) and (ii) up to $1.0</w:t>
      </w:r>
      <w:r>
        <w:rPr>
          <w:rFonts w:ascii="Times New Roman;Times;serif" w:hAnsi="Times New Roman;Times;serif"/>
          <w:sz w:val="24"/>
        </w:rPr>
        <w:t> </w:t>
      </w:r>
      <w:r>
        <w:rPr>
          <w:rFonts w:ascii="Times New Roman;Times;serif" w:hAnsi="Times New Roman;Times;serif"/>
          <w:sz w:val="20"/>
        </w:rPr>
        <w:t>million in cash if Compass exceeds certain financial targets during the one year</w:t>
      </w:r>
      <w:r>
        <w:rPr>
          <w:rFonts w:ascii="Times New Roman;Times;serif" w:hAnsi="Times New Roman;Times;serif"/>
          <w:sz w:val="24"/>
        </w:rPr>
        <w:t> </w:t>
      </w:r>
      <w:r>
        <w:rPr>
          <w:rFonts w:ascii="Times New Roman;Times;serif" w:hAnsi="Times New Roman;Times;serif"/>
          <w:sz w:val="20"/>
        </w:rPr>
        <w:t>after the Compass Closing Date; for a potential maximum purchase price of $4.5</w:t>
      </w:r>
      <w:r>
        <w:rPr>
          <w:rFonts w:ascii="Times New Roman;Times;serif" w:hAnsi="Times New Roman;Times;serif"/>
          <w:sz w:val="24"/>
        </w:rPr>
        <w:t> </w:t>
      </w:r>
      <w:r>
        <w:rPr>
          <w:rFonts w:ascii="Times New Roman;Times;serif" w:hAnsi="Times New Roman;Times;serif"/>
          <w:sz w:val="20"/>
        </w:rPr>
        <w:t>million. The Company used cash on hand to fund the initial purchase price on the Compass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Compass’ assembled workforce. The Company estimates that the entire goodwill balance resulting from the acquisition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color w:val="212529"/>
          <w:sz w:val="20"/>
        </w:rPr>
        <w:t>Compass’ financial information is included within the Engineering and Consulting segment. The Company finalized the purchase price allocation with respect to this transaction in the third quarter of fiscal 2026.</w:t>
      </w:r>
      <w:r>
        <w:rPr>
          <w:rFonts w:ascii="Times New Roman;Times;serif" w:hAnsi="Times New Roman;Times;serif"/>
          <w:sz w:val="20"/>
        </w:rPr>
        <w:t xml:space="preserve"> As of October 2, 2026, the purchase price allocation is primarily comprised of $2.0 million in customer relationships and $2.0 million in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October 2, 2026, the acquisition of Compass contributed $2.1 million and $3.9 million in revenue and contributed $1.2 million and $1.8 million in net income from operations. The proforma financial information has not been presented because the impact of the acquisition was not material to the condensed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unaudited pro forma financial information for the three and nine months ended October 2, 2026 and October 3, 2025, assumes that the acquisition of Burton and Compass occurred on the first day of the year prior to the year of acquisition. </w:t>
      </w:r>
      <w:r>
        <w:rPr>
          <w:rFonts w:ascii="Times New Roman;Times;serif" w:hAnsi="Times New Roman;Times;serif"/>
          <w:sz w:val="20"/>
          <w:shd w:fill="FFFFFF" w:val="clear"/>
        </w:rPr>
        <w:t>The proforma financial information for KCS has not been presented because the impact of the acquisition was not material to the condensed consolidated financial statements.</w:t>
      </w:r>
    </w:p>
    <w:p>
      <w:pPr>
        <w:pStyle w:val="TextBody"/>
        <w:bidi w:val="0"/>
        <w:spacing w:before="0" w:after="0"/>
        <w:ind w:left="0" w:right="0" w:hanging="0"/>
        <w:jc w:val="left"/>
      </w:pPr>
      <w:r>
        <w:t>​</w:t>
      </w:r>
    </w:p>
    <w:tbl>
      <w:tblPr>
        <w:tblW w:w="8788" w:type="dxa"/>
        <w:jc w:val="left"/>
        <w:tblInd w:w="0" w:type="dxa"/>
        <w:tblLayout w:type="fixed"/>
        <w:tblCellMar>
          <w:top w:w="0" w:type="dxa"/>
          <w:left w:w="0" w:type="dxa"/>
          <w:bottom w:w="0" w:type="dxa"/>
          <w:right w:w="0" w:type="dxa"/>
        </w:tblCellMar>
      </w:tblPr>
      <w:tblGrid>
        <w:gridCol w:w="3391"/>
        <w:gridCol w:w="346"/>
        <w:gridCol w:w="211"/>
        <w:gridCol w:w="781"/>
        <w:gridCol w:w="346"/>
        <w:gridCol w:w="211"/>
        <w:gridCol w:w="781"/>
        <w:gridCol w:w="346"/>
        <w:gridCol w:w="211"/>
        <w:gridCol w:w="781"/>
        <w:gridCol w:w="346"/>
        <w:gridCol w:w="211"/>
        <w:gridCol w:w="826"/>
      </w:tblGrid>
      <w:t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53285" cy="175260"/>
                      <wp:effectExtent l="0" t="0" r="0" b="0"/>
                      <wp:wrapNone/>
                      <wp:docPr id="220" name="Frame22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5935" cy="175260"/>
                      <wp:effectExtent l="0" t="0" r="0" b="0"/>
                      <wp:wrapNone/>
                      <wp:docPr id="226" name="Frame2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24510" cy="175260"/>
                      <wp:effectExtent l="0" t="0" r="0" b="0"/>
                      <wp:wrapNone/>
                      <wp:docPr id="232" name="Frame2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346" w:type="dxa"/>
            <w:tcBorders/>
            <w:vAlign w:val="center"/>
          </w:tcPr>
          <w:p>
            <w:pPr>
              <w:pStyle w:val="TableContents"/>
              <w:bidi w:val="0"/>
              <w:spacing w:before="0" w:after="0"/>
              <w:ind w:left="0" w:right="0" w:hanging="0"/>
              <w:jc w:val="left"/>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left"/>
            </w:pPr>
            <w: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05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data)</w: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05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209,460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639,002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588,961</w:t>
            </w:r>
          </w:p>
        </w:tc>
      </w:tr>
      <w:tr>
        <w:tc>
          <w:tcPr>
            <w:tcW w:w="33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income (loss) from operations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40,381</w:t>
            </w:r>
          </w:p>
        </w:tc>
      </w:tr>
      <w:tr>
        <w:tc>
          <w:tcPr>
            <w:tcW w:w="33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net income (loss)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41,451</w:t>
            </w:r>
          </w:p>
        </w:tc>
      </w:tr>
      <w:tr>
        <w:tc>
          <w:tcPr>
            <w:tcW w:w="33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right"/>
            </w:pPr>
            <w:r>
              <w:t>​</w:t>
            </w:r>
          </w:p>
        </w:tc>
      </w:tr>
      <w:t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c>
          <w:tcPr>
            <w:tcW w:w="33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right"/>
            </w:pPr>
            <w:r>
              <w:t>​</w:t>
            </w:r>
          </w:p>
        </w:tc>
      </w:tr>
      <w:t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0" w:hanging="0"/>
              <w:jc w:val="right"/>
            </w:pPr>
            <w:r>
              <w:t>​</w:t>
            </w:r>
          </w:p>
        </w:tc>
      </w:tr>
      <w:t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14,397</w:t>
            </w:r>
          </w:p>
        </w:tc>
      </w:tr>
      <w:t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14,987</w:t>
            </w:r>
          </w:p>
        </w:tc>
      </w:tr>
    </w:tbl>
    <w:p>
      <w:pPr>
        <w:pStyle w:val="TextBody"/>
        <w:bidi w:val="0"/>
        <w:spacing w:before="0" w:after="0"/>
        <w:ind w:left="0" w:right="0" w:firstLine="720"/>
        <w:jc w:val="left"/>
      </w:pPr>
      <w:r>
        <w:t>​</w:t>
      </w:r>
    </w:p>
    <w:tbl>
      <w:tblPr>
        <w:tblW w:w="8121" w:type="dxa"/>
        <w:jc w:val="left"/>
        <w:tblInd w:w="0" w:type="dxa"/>
        <w:tblLayout w:type="fixed"/>
        <w:tblCellMar>
          <w:top w:w="28" w:type="dxa"/>
          <w:left w:w="28" w:type="dxa"/>
          <w:bottom w:w="28" w:type="dxa"/>
          <w:right w:w="28" w:type="dxa"/>
        </w:tblCellMar>
      </w:tblPr>
      <w:tblGrid>
        <w:gridCol w:w="124"/>
        <w:gridCol w:w="271"/>
        <w:gridCol w:w="7726"/>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Adjustments to pro forma net income included income from operations, amortization and interest expense.</w:t>
            </w:r>
          </w:p>
        </w:tc>
      </w:tr>
    </w:tbl>
    <w:p>
      <w:pPr>
        <w:pStyle w:val="TextBody"/>
        <w:bidi w:val="0"/>
        <w:spacing w:before="0" w:after="0"/>
        <w:ind w:left="0" w:right="0" w:hanging="0"/>
        <w:jc w:val="left"/>
      </w:pPr>
      <w:r>
        <w:t> </w:t>
      </w:r>
    </w:p>
    <w:p>
      <w:pPr>
        <w:pStyle w:val="TextBody"/>
        <w:bidi w:val="0"/>
        <w:spacing w:before="0" w:after="20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pro forma supplemental information does not purport to be indicative of what the Company’s operating results would have been had this acquisition occurred on the first day of the year prior to the year of acquisition and may not be indicative of future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w:t>
      </w:r>
    </w:p>
    <w:p>
      <w:pPr>
        <w:pStyle w:val="TextBody"/>
        <w:shd w:fill="FFFFFF" w:val="clear"/>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Mantis Intermediate Holdings, LLC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On September 22, 2026, the Company, through its wholly owned subsidiary, WES, entered into a Membership Interest Purchase Agreement dated as of September 22, 2026 (the “Purchase Agreement”) with Mantis NewCo, LLC (“Seller”), pursuant to which Seller agreed to sell one hundred percent of the issued and outstanding equity securities (the “Subject Securities”) of Mantis Intermediate Holdings, LLC (“Mantis”) to WES (the “Transaction”), </w:t>
      </w:r>
      <w:r>
        <w:rPr>
          <w:rFonts w:ascii="Times New Roman;Times;serif" w:hAnsi="Times New Roman;Times;serif"/>
          <w:sz w:val="20"/>
        </w:rPr>
        <w:t>subject to certain closing conditions</w:t>
      </w:r>
      <w:r>
        <w:rPr>
          <w:rFonts w:ascii="Times New Roman;Times;serif" w:hAnsi="Times New Roman;Times;serif"/>
          <w:sz w:val="20"/>
          <w:shd w:fill="FFFFFF" w:val="clear"/>
        </w:rPr>
        <w:t xml:space="preserve">. </w:t>
      </w:r>
      <w:r>
        <w:rPr>
          <w:rFonts w:ascii="Times New Roman;Times;serif" w:hAnsi="Times New Roman;Times;serif"/>
          <w:sz w:val="20"/>
        </w:rPr>
        <w:t>On October 30, 2026, the Company completed the closing of the Transaction (“Mantis Closing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Mantis is a provider of smart solutions that delivers better building performance through managed facility services and turnkey program management. Leveraging expertise from a wide range of professional disciplines, Mantis offers a full suite of services across facility asset management, building controls, energy efficiency, and energy procurement. </w:t>
      </w:r>
      <w:r>
        <w:rPr>
          <w:rFonts w:ascii="Times New Roman;Times;serif" w:hAnsi="Times New Roman;Times;serif"/>
          <w:sz w:val="20"/>
        </w:rPr>
        <w:t xml:space="preserve">Mantis’s financial information will be included within the </w:t>
      </w:r>
      <w:r>
        <w:rPr>
          <w:rFonts w:ascii="Times New Roman;Times;serif" w:hAnsi="Times New Roman;Times;serif"/>
          <w:b w:val="false"/>
          <w:i w:val="false"/>
          <w:caps w:val="false"/>
          <w:smallCaps w:val="false"/>
          <w:sz w:val="20"/>
        </w:rPr>
        <w:t>Energy</w:t>
      </w:r>
      <w:r>
        <w:rPr>
          <w:rFonts w:ascii="Times New Roman;Times;serif" w:hAnsi="Times New Roman;Times;serif"/>
          <w:sz w:val="20"/>
        </w:rPr>
        <w:t xml:space="preserve"> segment beginning in the fourth quarter of fiscal year 2026 and the Company expects to finalize the purchase price allocation related to this transaction by the end of the third quarter of fiscal year 2027.</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Purchase Agreement, the Company agreed to pay $285 million for the purchase of all the equity of Mantis, consisting of $285 million in cash paid on the Mantis Closing Date (subject to holdback and adjustments).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Mantis Purchase Agreement </w:t>
      </w:r>
      <w:r>
        <w:rPr>
          <w:rFonts w:ascii="Times New Roman;Times;serif" w:hAnsi="Times New Roman;Times;serif"/>
          <w:sz w:val="20"/>
        </w:rPr>
        <w:t>contains customary representations and warranties regarding the Company, WES, Mantis, and the Mantis Shareholders, indemnification provisions, and other provisions customary for transactions of this nature.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paid the initial purchase price using a combination of $35.0 million of borrowings under its existing Revolving Credit Facility and $250.0 million of borrowings under a New Term Loan Facility as provided in its Credit Agreement (as defined below), as described below.</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acquisition is expected to be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Mantis’ assembled workforce. However, at the time of this filing, the initial purchase price allocation has not been presented as the Company is still in the process of gathering and evaluating the necessary information required to complete the valuation of the acquired assets and liabilities. Accordingly, the preliminary allocation of the purchase price to the identifiable assets acquired and liabilities assumed is not yet available.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Second Amended and Restated Credit Agreement</w:t>
      </w:r>
    </w:p>
    <w:p>
      <w:pPr>
        <w:pStyle w:val="TextBody"/>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October 30, 2026, the Company entered into an Increase Request and Second Amendment to Amended and Restated Credit Agreement (the “Amendment”) among the Company, certain subsidiaries of the Company party thereto, the Lenders (as defined below) party thereto, and BMO Harris Bank, N.A., as administrative agent (in such capacity, the “Agent”), which amends the Company’s existing Amended and Restated Credit Agreement, dated as of May 5, 2025 (as amended, supplemented, or otherwise modified prior to the date of the Amendment, the “Existing Credit Agreement”; the Existing Credit Agreement as amended by the Amendment, the “Credit Agreement”), among the Company, the subsidiaries of the Company from time to time party thereto, the financial institutions from time to time party thereto as lenders (the “Lenders”), and the Agent. The Existing Credit Agreement provided for up to a $50.0</w:t>
      </w:r>
      <w:r>
        <w:rPr>
          <w:rFonts w:ascii="Times New Roman;Times;serif" w:hAnsi="Times New Roman;Times;serif"/>
          <w:sz w:val="24"/>
        </w:rPr>
        <w:t xml:space="preserve"> </w:t>
      </w:r>
      <w:r>
        <w:rPr>
          <w:rFonts w:ascii="Times New Roman;Times;serif" w:hAnsi="Times New Roman;Times;serif"/>
          <w:sz w:val="20"/>
        </w:rPr>
        <w:t>million term loan facility (the “Existing Term Loan Facility”), up to a $50.0</w:t>
      </w:r>
      <w:r>
        <w:rPr>
          <w:rFonts w:ascii="Times New Roman;Times;serif" w:hAnsi="Times New Roman;Times;serif"/>
          <w:sz w:val="24"/>
        </w:rPr>
        <w:t xml:space="preserve"> </w:t>
      </w:r>
      <w:r>
        <w:rPr>
          <w:rFonts w:ascii="Times New Roman;Times;serif" w:hAnsi="Times New Roman;Times;serif"/>
          <w:sz w:val="20"/>
        </w:rPr>
        <w:t xml:space="preserve">million delayed draw term loan facility (the “Existing Delayed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Draw Term Loan Facility”) and a $100.0</w:t>
      </w:r>
      <w:r>
        <w:rPr>
          <w:rFonts w:ascii="Times New Roman;Times;serif" w:hAnsi="Times New Roman;Times;serif"/>
          <w:sz w:val="24"/>
        </w:rPr>
        <w:t xml:space="preserve"> </w:t>
      </w:r>
      <w:r>
        <w:rPr>
          <w:rFonts w:ascii="Times New Roman;Times;serif" w:hAnsi="Times New Roman;Times;serif"/>
          <w:sz w:val="20"/>
        </w:rPr>
        <w:t>million revolving credit facility (the “Existing Revolving Credit Facility”; together with the Existing Term Loan Facility and the Existing Delayed Draw Term Loan Facility, collectively, the “Existing Credit Facilities”), each maturing on May 5, 2030. The Amendment amended the Existing Credit Agreement to, among other things, add an additional up to $250.0</w:t>
      </w:r>
      <w:r>
        <w:rPr>
          <w:rFonts w:ascii="Times New Roman;Times;serif" w:hAnsi="Times New Roman;Times;serif"/>
          <w:sz w:val="24"/>
        </w:rPr>
        <w:t xml:space="preserve"> </w:t>
      </w:r>
      <w:r>
        <w:rPr>
          <w:rFonts w:ascii="Times New Roman;Times;serif" w:hAnsi="Times New Roman;Times;serif"/>
          <w:sz w:val="20"/>
        </w:rPr>
        <w:t>million term loan facility (the “New Term Loan Facility”) to be used to finance the Transaction and to pay certain related fees and expenses, including, without limitation, to repay certain existing indebtedness of Mantis. The New Term Loan Facility matures on May 5, 2030</w:t>
      </w:r>
      <w:r>
        <w:rPr>
          <w:rFonts w:ascii="Times New Roman;Times;serif" w:hAnsi="Times New Roman;Times;serif"/>
          <w:sz w:val="24"/>
        </w:rPr>
        <w:t xml:space="preserve"> </w:t>
      </w:r>
      <w:r>
        <w:rPr>
          <w:rFonts w:ascii="Times New Roman;Times;serif" w:hAnsi="Times New Roman;Times;serif"/>
          <w:sz w:val="20"/>
        </w:rPr>
        <w:t>and bears interest at rates, and is subject to customary covenants, identical to those applicable to the Existing Credit Facilities, as described in the Credit Agreement. Except as expressly amended by the Amendment, the Existing Credit Agreement remains in effect in accordance with its existing terms.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30, 2026, in connection with the closing of the Transaction, the Company borrowed $250.0 million under the New Term Loan Facility and $35.0 million under the Existing Revolving Credit Facility. The proceeds of such borrowings were used to pay part of the consideration owed in connection with the Transaction along with related fees and expenses, including, without limitation, to repay certain existing indebtedness of Mantis.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October 30, 2026, the Company had a fully drawn $50.0 million Existing Term Loan Facility with $46.9 million outstanding, a $100.0 million Existing Revolving Credit Facility with $35.0 million outstanding and $1.6 million in letters of credit issued, a $50.0 million Existing Delayed Draw Term Loan Facility with no borrowed amounts, and a fully drawn and outstanding $250.0 million under the New Term Loan Facility.</w:t>
      </w:r>
    </w:p>
    <w:p>
      <w:pPr>
        <w:pStyle w:val="TextBody"/>
        <w:bidi w:val="0"/>
        <w:spacing w:before="0" w:after="0"/>
        <w:ind w:left="0" w:right="0" w:hanging="0"/>
        <w:jc w:val="left"/>
      </w:pPr>
      <w:r>
        <w:t> </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723" w:name="ITEM7MANAGEMENTSDISCUSSION_533905"/>
      <w:bookmarkStart w:id="1724" w:name="_4d9ef72b_2c70_4f44_9130_da0feb61bc1e"/>
      <w:bookmarkEnd w:id="1723"/>
      <w:bookmarkEnd w:id="1724"/>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technical services company focused on energy and infrastructure solutions. Our solutions include energy planning and analytics, consulting, software, public finance, engineering, and program implementation. We serve utilities, state and local governments, and commercial customers in the United States and Canada.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Energy segment addresses power grid resiliency, efficiency, and reliability. Services include in-depth energy planning studies, economic analysis, modeling and forecasting software, decarbonization, program design and implementation, energy efficiency, turnkey energy and infrastructure projects, grid modernization, and utility-scale electrical engineering and construction management. Clients in this segment are investor-owned and municipal utilities, commercial clients including retailers, pharmaceuticals, industrial concerns and hyperscalers, and state and local governments, school districts and government agencies.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&amp; Consulting segment addresses sustainability and growth in civil infrastructure. We often serve as a municipality’s engineering department. Services include municipal and civil engineering, building and safety, code enforcement, fire plan and inspection, city engineering, construction management, design engineering, planning, and financial and municipal advisory services. Clients in this segment are state and local governments, school districts, and utility districts.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were founded in 1964 and are headquartered in Anaheim, California. </w:t>
      </w:r>
    </w:p>
    <w:p>
      <w:pPr>
        <w:pStyle w:val="TextBody"/>
        <w:shd w:fill="FFFFFF" w:val="clear"/>
        <w:bidi w:val="0"/>
        <w:spacing w:before="0" w:after="100"/>
        <w:ind w:left="0" w:right="0" w:firstLine="72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Third Quarter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304"/>
        <w:gridCol w:w="406"/>
        <w:gridCol w:w="196"/>
        <w:gridCol w:w="691"/>
        <w:gridCol w:w="406"/>
        <w:gridCol w:w="529"/>
        <w:gridCol w:w="241"/>
        <w:gridCol w:w="406"/>
        <w:gridCol w:w="196"/>
        <w:gridCol w:w="691"/>
        <w:gridCol w:w="406"/>
        <w:gridCol w:w="529"/>
        <w:gridCol w:w="241"/>
        <w:gridCol w:w="406"/>
        <w:gridCol w:w="196"/>
        <w:gridCol w:w="796"/>
        <w:gridCol w:w="406"/>
        <w:gridCol w:w="871"/>
        <w:gridCol w:w="288"/>
      </w:tblGrid>
      <w:tr>
        <w:tc>
          <w:tcPr>
            <w:tcW w:w="2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63040" cy="175260"/>
                      <wp:effectExtent l="0" t="0" r="0" b="0"/>
                      <wp:wrapNone/>
                      <wp:docPr id="233" name="Frame233"/>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57810" cy="175260"/>
                      <wp:effectExtent l="0" t="0" r="0" b="0"/>
                      <wp:wrapNone/>
                      <wp:docPr id="234" name="Frame23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7810" cy="175260"/>
                      <wp:effectExtent l="0" t="0" r="0" b="0"/>
                      <wp:wrapNone/>
                      <wp:docPr id="237" name="Frame23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35915" cy="175260"/>
                      <wp:effectExtent l="0" t="0" r="0" b="0"/>
                      <wp:wrapNone/>
                      <wp:docPr id="238" name="Frame23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3035" cy="175260"/>
                      <wp:effectExtent l="0" t="0" r="0" b="0"/>
                      <wp:wrapNone/>
                      <wp:docPr id="239" name="Frame23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57810" cy="175260"/>
                      <wp:effectExtent l="0" t="0" r="0" b="0"/>
                      <wp:wrapNone/>
                      <wp:docPr id="240" name="Frame24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42" name="Frame2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7810" cy="175260"/>
                      <wp:effectExtent l="0" t="0" r="0" b="0"/>
                      <wp:wrapNone/>
                      <wp:docPr id="243" name="Frame2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35915" cy="175260"/>
                      <wp:effectExtent l="0" t="0" r="0" b="0"/>
                      <wp:wrapNone/>
                      <wp:docPr id="244" name="Frame24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3035" cy="175260"/>
                      <wp:effectExtent l="0" t="0" r="0" b="0"/>
                      <wp:wrapNone/>
                      <wp:docPr id="245" name="Frame24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57810" cy="175260"/>
                      <wp:effectExtent l="0" t="0" r="0" b="0"/>
                      <wp:wrapNone/>
                      <wp:docPr id="246" name="Frame24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8" name="Frame2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7810" cy="175260"/>
                      <wp:effectExtent l="0" t="0" r="0" b="0"/>
                      <wp:wrapNone/>
                      <wp:docPr id="249" name="Frame2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53085" cy="175260"/>
                      <wp:effectExtent l="0" t="0" r="0" b="0"/>
                      <wp:wrapNone/>
                      <wp:docPr id="250" name="Frame25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2880" cy="175260"/>
                      <wp:effectExtent l="0" t="0" r="0" b="0"/>
                      <wp:wrapNone/>
                      <wp:docPr id="251" name="Frame25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720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406" w:type="dxa"/>
            <w:tcBorders/>
            <w:vAlign w:val="center"/>
          </w:tcPr>
          <w:p>
            <w:pPr>
              <w:pStyle w:val="TableContents"/>
              <w:bidi w:val="0"/>
              <w:spacing w:before="0" w:after="0"/>
              <w:ind w:left="0" w:right="0" w:hanging="0"/>
              <w:jc w:val="center"/>
            </w:pPr>
            <w: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40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871" w:type="dxa"/>
            <w:tcBorders/>
            <w:vAlign w:val="center"/>
          </w:tcPr>
          <w:p>
            <w:pPr>
              <w:pStyle w:val="TableContents"/>
              <w:bidi w:val="0"/>
              <w:spacing w:before="0" w:after="0"/>
              <w:ind w:left="0" w:right="0" w:hanging="0"/>
              <w:jc w:val="center"/>
            </w:pPr>
            <w:r>
              <w:t>​</w:t>
            </w:r>
          </w:p>
        </w:tc>
        <w:tc>
          <w:tcPr>
            <w:tcW w:w="288" w:type="dxa"/>
            <w:tcBorders/>
            <w:vAlign w:val="center"/>
          </w:tcPr>
          <w:p>
            <w:pPr>
              <w:pStyle w:val="TableContents"/>
              <w:bidi w:val="0"/>
              <w:spacing w:before="0" w:after="0"/>
              <w:ind w:left="0" w:right="0" w:hanging="0"/>
              <w:jc w:val="center"/>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  ​ ​ ​ ​</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pPr>
            <w: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vAlign w:val="center"/>
          </w:tcPr>
          <w:p>
            <w:pPr>
              <w:pStyle w:val="TableContents"/>
              <w:bidi w:val="0"/>
              <w:spacing w:before="0" w:after="0"/>
              <w:ind w:left="0" w:right="0" w:hanging="0"/>
              <w:jc w:val="center"/>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pPr>
            <w:r>
              <w:t>​</w:t>
            </w:r>
          </w:p>
        </w:tc>
      </w:tr>
      <w:t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7207"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529" w:type="dxa"/>
            <w:tcBorders/>
            <w:vAlign w:val="center"/>
          </w:tcPr>
          <w:p>
            <w:pPr>
              <w:pStyle w:val="TableContents"/>
              <w:bidi w:val="0"/>
              <w:spacing w:before="0" w:after="0"/>
              <w:ind w:left="0" w:right="0" w:hanging="0"/>
              <w:jc w:val="center"/>
            </w:pPr>
            <w:r>
              <w:t>​</w:t>
            </w:r>
          </w:p>
        </w:tc>
        <w:tc>
          <w:tcPr>
            <w:tcW w:w="241"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529" w:type="dxa"/>
            <w:tcBorders/>
            <w:vAlign w:val="center"/>
          </w:tcPr>
          <w:p>
            <w:pPr>
              <w:pStyle w:val="TableContents"/>
              <w:bidi w:val="0"/>
              <w:spacing w:before="0" w:after="0"/>
              <w:ind w:left="0" w:right="0" w:hanging="0"/>
              <w:jc w:val="center"/>
            </w:pPr>
            <w:r>
              <w:t>​</w:t>
            </w:r>
          </w:p>
        </w:tc>
        <w:tc>
          <w:tcPr>
            <w:tcW w:w="241"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871" w:type="dxa"/>
            <w:tcBorders/>
            <w:vAlign w:val="center"/>
          </w:tcPr>
          <w:p>
            <w:pPr>
              <w:pStyle w:val="TableContents"/>
              <w:bidi w:val="0"/>
              <w:spacing w:before="0" w:after="0"/>
              <w:ind w:left="0" w:right="0" w:hanging="0"/>
              <w:jc w:val="center"/>
            </w:pPr>
            <w:r>
              <w:t>​</w:t>
            </w:r>
          </w:p>
        </w:tc>
        <w:tc>
          <w:tcPr>
            <w:tcW w:w="288" w:type="dxa"/>
            <w:tcBorders/>
            <w:vAlign w:val="center"/>
          </w:tcPr>
          <w:p>
            <w:pPr>
              <w:pStyle w:val="TableContents"/>
              <w:bidi w:val="0"/>
              <w:spacing w:before="0" w:after="0"/>
              <w:ind w:left="0" w:right="0" w:hanging="0"/>
              <w:jc w:val="center"/>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c>
          <w:tcPr>
            <w:tcW w:w="406" w:type="dxa"/>
            <w:tcBorders/>
            <w:shd w:fill="CCEEFF" w:val="clear"/>
            <w:vAlign w:val="center"/>
          </w:tcPr>
          <w:p>
            <w:pPr>
              <w:pStyle w:val="TableContents"/>
              <w:bidi w:val="0"/>
              <w:spacing w:before="0" w:after="0"/>
              <w:ind w:left="0" w:right="0" w:hanging="0"/>
              <w:jc w:val="right"/>
            </w:pPr>
            <w: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pPr>
            <w: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c>
          <w:tcPr>
            <w:tcW w:w="406" w:type="dxa"/>
            <w:tcBorders/>
            <w:shd w:fill="CCEEFF" w:val="clear"/>
            <w:vAlign w:val="center"/>
          </w:tcPr>
          <w:p>
            <w:pPr>
              <w:pStyle w:val="TableContents"/>
              <w:bidi w:val="0"/>
              <w:spacing w:before="0" w:after="0"/>
              <w:ind w:left="0" w:right="0" w:hanging="0"/>
              <w:jc w:val="right"/>
            </w:pPr>
            <w: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pPr>
            <w: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32,521</w:t>
            </w:r>
          </w:p>
        </w:tc>
        <w:tc>
          <w:tcPr>
            <w:tcW w:w="406" w:type="dxa"/>
            <w:tcBorders/>
            <w:shd w:fill="CCEEFF" w:val="clear"/>
            <w:vAlign w:val="center"/>
          </w:tcPr>
          <w:p>
            <w:pPr>
              <w:pStyle w:val="TableContents"/>
              <w:bidi w:val="0"/>
              <w:spacing w:before="0" w:after="0"/>
              <w:ind w:left="0" w:right="0" w:hanging="0"/>
              <w:jc w:val="right"/>
            </w:pPr>
            <w:r>
              <w:t>  ​ ​ ​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29,702</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27,878</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15.3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1,824</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102,372</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47.7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87,039</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47.8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15,333</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17.6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132,074</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61.6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114,917</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63.1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17,157</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14.9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82,453</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38.4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67,089</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36.9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15,364</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39,476</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31,720</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17.4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7,756</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24.5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facility related</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2,499</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4,972</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3,147</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58.0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3,913</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47.7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13,422</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11,078</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21.2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66,149</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30.8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52,227</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28.7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13,922</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26.7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16,304</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7.6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14,862</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1,442</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18.7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58.2 </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15,399</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14,290</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7.9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288" w:type="dxa"/>
            <w:tcBorders/>
            <w:vAlign w:val="center"/>
          </w:tcPr>
          <w:p>
            <w:pPr>
              <w:pStyle w:val="TableContents"/>
              <w:bidi w:val="0"/>
              <w:spacing w:before="0" w:after="0"/>
              <w:ind w:left="0" w:right="0" w:hanging="0"/>
              <w:jc w:val="left"/>
            </w:pPr>
            <w:r>
              <w:t>​</w:t>
            </w:r>
          </w:p>
        </w:tc>
      </w:tr>
      <w:t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3,538</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w:t>
            </w:r>
          </w:p>
        </w:tc>
        <w:tc>
          <w:tcPr>
            <w:tcW w:w="406" w:type="dxa"/>
            <w:tcBorders/>
            <w:shd w:fill="CCEEFF" w:val="clear"/>
            <w:vAlign w:val="center"/>
          </w:tcPr>
          <w:p>
            <w:pPr>
              <w:pStyle w:val="TableContents"/>
              <w:bidi w:val="0"/>
              <w:spacing w:before="0" w:after="0"/>
              <w:ind w:left="0" w:right="0" w:hanging="0"/>
              <w:jc w:val="left"/>
            </w:pPr>
            <w: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pPr>
            <w:r>
              <w:t>​</w:t>
            </w:r>
          </w:p>
        </w:tc>
        <w:tc>
          <w:tcPr>
            <w:tcW w:w="40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2,969</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521.8 </w:t>
            </w:r>
          </w:p>
        </w:tc>
        <w:tc>
          <w:tcPr>
            <w:tcW w:w="288" w:type="dxa"/>
            <w:tcBorders/>
            <w:shd w:fill="CCEEFF" w:val="clear"/>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40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11,861</w:t>
            </w:r>
          </w:p>
        </w:tc>
        <w:tc>
          <w:tcPr>
            <w:tcW w:w="406" w:type="dxa"/>
            <w:tcBorders/>
            <w:vAlign w:val="center"/>
          </w:tcPr>
          <w:p>
            <w:pPr>
              <w:pStyle w:val="TableContents"/>
              <w:bidi w:val="0"/>
              <w:spacing w:before="0" w:after="0"/>
              <w:ind w:left="0" w:right="0" w:hanging="0"/>
              <w:jc w:val="left"/>
            </w:pPr>
            <w: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13,721</w:t>
            </w:r>
          </w:p>
        </w:tc>
        <w:tc>
          <w:tcPr>
            <w:tcW w:w="406" w:type="dxa"/>
            <w:tcBorders/>
            <w:vAlign w:val="center"/>
          </w:tcPr>
          <w:p>
            <w:pPr>
              <w:pStyle w:val="TableContents"/>
              <w:bidi w:val="0"/>
              <w:spacing w:before="0" w:after="0"/>
              <w:ind w:left="0" w:right="0" w:hanging="0"/>
              <w:jc w:val="left"/>
            </w:pPr>
            <w: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 </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406" w:type="dxa"/>
            <w:tcBorders/>
            <w:vAlign w:val="center"/>
          </w:tcPr>
          <w:p>
            <w:pPr>
              <w:pStyle w:val="TableContents"/>
              <w:bidi w:val="0"/>
              <w:spacing w:before="0" w:after="0"/>
              <w:ind w:left="0" w:right="0" w:hanging="0"/>
              <w:jc w:val="left"/>
            </w:pPr>
            <w: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8" w:type="dxa"/>
            <w:tcBorders/>
            <w:vAlign w:val="center"/>
          </w:tcPr>
          <w:p>
            <w:pPr>
              <w:pStyle w:val="TableContents"/>
              <w:bidi w:val="0"/>
              <w:spacing w:before="0" w:after="0"/>
              <w:ind w:left="0" w:right="0" w:hanging="0"/>
              <w:jc w:val="left"/>
            </w:pPr>
            <w:r>
              <w:t>​</w:t>
            </w:r>
          </w:p>
        </w:tc>
      </w:tr>
      <w:tr>
        <w:tc>
          <w:tcPr>
            <w:tcW w:w="2304"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lef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left"/>
            </w:pPr>
            <w:r>
              <w:t>​</w:t>
            </w:r>
          </w:p>
        </w:tc>
        <w:tc>
          <w:tcPr>
            <w:tcW w:w="24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left"/>
            </w:pPr>
            <w:r>
              <w:t>​</w:t>
            </w:r>
          </w:p>
        </w:tc>
        <w:tc>
          <w:tcPr>
            <w:tcW w:w="288" w:type="dxa"/>
            <w:tcBorders/>
            <w:vAlign w:val="center"/>
          </w:tcPr>
          <w:p>
            <w:pPr>
              <w:pStyle w:val="TableContents"/>
              <w:bidi w:val="0"/>
              <w:spacing w:before="0" w:after="0"/>
              <w:ind w:left="0" w:right="0" w:hanging="0"/>
              <w:jc w:val="left"/>
            </w:pPr>
            <w: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pPr>
      <w:r>
        <w:t>​</w:t>
      </w:r>
    </w:p>
    <w:p>
      <w:pPr>
        <w:pStyle w:val="TextBody"/>
        <w:bidi w:val="0"/>
        <w:spacing w:before="0" w:after="0"/>
        <w:ind w:left="36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37"/>
        <w:gridCol w:w="346"/>
        <w:gridCol w:w="196"/>
        <w:gridCol w:w="691"/>
        <w:gridCol w:w="346"/>
        <w:gridCol w:w="533"/>
        <w:gridCol w:w="241"/>
        <w:gridCol w:w="346"/>
        <w:gridCol w:w="196"/>
        <w:gridCol w:w="691"/>
        <w:gridCol w:w="406"/>
        <w:gridCol w:w="533"/>
        <w:gridCol w:w="241"/>
        <w:gridCol w:w="346"/>
        <w:gridCol w:w="196"/>
        <w:gridCol w:w="796"/>
        <w:gridCol w:w="406"/>
        <w:gridCol w:w="871"/>
        <w:gridCol w:w="287"/>
      </w:tblGrid>
      <w:tr>
        <w:tc>
          <w:tcPr>
            <w:tcW w:w="2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10995" cy="175260"/>
                      <wp:effectExtent l="0" t="0" r="0" b="0"/>
                      <wp:wrapNone/>
                      <wp:docPr id="252" name="Frame252"/>
                      <a:graphic xmlns:a="http://schemas.openxmlformats.org/drawingml/2006/main">
                        <a:graphicData uri="http://schemas.microsoft.com/office/word/2010/wordprocessingShape">
                          <wps:wsp>
                            <wps:cNvSpPr txBox="1"/>
                            <wps:spPr>
                              <a:xfrm>
                                <a:off x="0" y="0"/>
                                <a:ext cx="16109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4"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38785" cy="175260"/>
                      <wp:effectExtent l="0" t="0" r="0" b="0"/>
                      <wp:wrapNone/>
                      <wp:docPr id="255" name="Frame2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38455" cy="175260"/>
                      <wp:effectExtent l="0" t="0" r="0" b="0"/>
                      <wp:wrapNone/>
                      <wp:docPr id="257" name="Frame25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3035" cy="175260"/>
                      <wp:effectExtent l="0" t="0" r="0" b="0"/>
                      <wp:wrapNone/>
                      <wp:docPr id="258" name="Frame2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4460" cy="175260"/>
                      <wp:effectExtent l="0" t="0" r="0" b="0"/>
                      <wp:wrapNone/>
                      <wp:docPr id="260"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38785" cy="175260"/>
                      <wp:effectExtent l="0" t="0" r="0" b="0"/>
                      <wp:wrapNone/>
                      <wp:docPr id="261" name="Frame2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57810" cy="175260"/>
                      <wp:effectExtent l="0" t="0" r="0" b="0"/>
                      <wp:wrapNone/>
                      <wp:docPr id="262" name="Frame26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38455" cy="175260"/>
                      <wp:effectExtent l="0" t="0" r="0" b="0"/>
                      <wp:wrapNone/>
                      <wp:docPr id="263" name="Frame263"/>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3035" cy="175260"/>
                      <wp:effectExtent l="0" t="0" r="0" b="0"/>
                      <wp:wrapNone/>
                      <wp:docPr id="264" name="Frame26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6"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05460" cy="175260"/>
                      <wp:effectExtent l="0" t="0" r="0" b="0"/>
                      <wp:wrapNone/>
                      <wp:docPr id="267" name="Frame2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57810" cy="175260"/>
                      <wp:effectExtent l="0" t="0" r="0" b="0"/>
                      <wp:wrapNone/>
                      <wp:docPr id="268" name="Frame26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53085" cy="175260"/>
                      <wp:effectExtent l="0" t="0" r="0" b="0"/>
                      <wp:wrapNone/>
                      <wp:docPr id="269" name="Frame26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82245" cy="175260"/>
                      <wp:effectExtent l="0" t="0" r="0" b="0"/>
                      <wp:wrapNone/>
                      <wp:docPr id="270" name="Frame27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035"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287" w:type="dxa"/>
            <w:tcBorders/>
            <w:vAlign w:val="center"/>
          </w:tcPr>
          <w:p>
            <w:pPr>
              <w:pStyle w:val="TableContents"/>
              <w:bidi w:val="0"/>
              <w:spacing w:before="0" w:after="0"/>
              <w:ind w:left="0" w:right="0" w:hanging="0"/>
              <w:jc w:val="center"/>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206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871" w:type="dxa"/>
            <w:tcBorders/>
            <w:vAlign w:val="center"/>
          </w:tcPr>
          <w:p>
            <w:pPr>
              <w:pStyle w:val="TableContents"/>
              <w:bidi w:val="0"/>
              <w:spacing w:before="0" w:after="0"/>
              <w:ind w:left="0" w:right="0" w:hanging="0"/>
              <w:jc w:val="center"/>
            </w:pPr>
            <w:r>
              <w:t>​</w:t>
            </w:r>
          </w:p>
        </w:tc>
        <w:tc>
          <w:tcPr>
            <w:tcW w:w="287" w:type="dxa"/>
            <w:tcBorders/>
            <w:vAlign w:val="center"/>
          </w:tcPr>
          <w:p>
            <w:pPr>
              <w:pStyle w:val="TableContents"/>
              <w:bidi w:val="0"/>
              <w:spacing w:before="0" w:after="0"/>
              <w:ind w:left="0" w:right="0" w:hanging="0"/>
              <w:jc w:val="center"/>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20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vAlign w:val="center"/>
          </w:tcPr>
          <w:p>
            <w:pPr>
              <w:pStyle w:val="TableContents"/>
              <w:bidi w:val="0"/>
              <w:spacing w:before="0" w:after="0"/>
              <w:ind w:left="0" w:right="0" w:hanging="0"/>
              <w:jc w:val="center"/>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pPr>
            <w:r>
              <w:t>​</w:t>
            </w:r>
          </w:p>
        </w:tc>
      </w:tr>
      <w:t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035"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7" w:type="dxa"/>
            <w:tcBorders/>
            <w:vAlign w:val="center"/>
          </w:tcPr>
          <w:p>
            <w:pPr>
              <w:pStyle w:val="TableContents"/>
              <w:bidi w:val="0"/>
              <w:spacing w:before="0" w:after="0"/>
              <w:ind w:left="0" w:right="0" w:hanging="0"/>
              <w:jc w:val="center"/>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533" w:type="dxa"/>
            <w:tcBorders/>
            <w:vAlign w:val="center"/>
          </w:tcPr>
          <w:p>
            <w:pPr>
              <w:pStyle w:val="TableContents"/>
              <w:bidi w:val="0"/>
              <w:spacing w:before="0" w:after="0"/>
              <w:ind w:left="0" w:right="0" w:hanging="0"/>
              <w:jc w:val="center"/>
            </w:pPr>
            <w:r>
              <w:t>​</w:t>
            </w:r>
          </w:p>
        </w:tc>
        <w:tc>
          <w:tcPr>
            <w:tcW w:w="24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533" w:type="dxa"/>
            <w:tcBorders/>
            <w:vAlign w:val="center"/>
          </w:tcPr>
          <w:p>
            <w:pPr>
              <w:pStyle w:val="TableContents"/>
              <w:bidi w:val="0"/>
              <w:spacing w:before="0" w:after="0"/>
              <w:ind w:left="0" w:right="0" w:hanging="0"/>
              <w:jc w:val="center"/>
            </w:pPr>
            <w:r>
              <w:t>​</w:t>
            </w:r>
          </w:p>
        </w:tc>
        <w:tc>
          <w:tcPr>
            <w:tcW w:w="24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center"/>
            </w:pPr>
            <w:r>
              <w:t>​</w:t>
            </w:r>
          </w:p>
        </w:tc>
        <w:tc>
          <w:tcPr>
            <w:tcW w:w="406" w:type="dxa"/>
            <w:tcBorders/>
            <w:vAlign w:val="center"/>
          </w:tcPr>
          <w:p>
            <w:pPr>
              <w:pStyle w:val="TableContents"/>
              <w:bidi w:val="0"/>
              <w:spacing w:before="0" w:after="0"/>
              <w:ind w:left="0" w:right="0" w:hanging="0"/>
              <w:jc w:val="center"/>
            </w:pPr>
            <w:r>
              <w:t>​</w:t>
            </w:r>
          </w:p>
        </w:tc>
        <w:tc>
          <w:tcPr>
            <w:tcW w:w="871" w:type="dxa"/>
            <w:tcBorders/>
            <w:vAlign w:val="center"/>
          </w:tcPr>
          <w:p>
            <w:pPr>
              <w:pStyle w:val="TableContents"/>
              <w:bidi w:val="0"/>
              <w:spacing w:before="0" w:after="0"/>
              <w:ind w:left="0" w:right="0" w:hanging="0"/>
              <w:jc w:val="center"/>
            </w:pPr>
            <w:r>
              <w:t>​</w:t>
            </w:r>
          </w:p>
        </w:tc>
        <w:tc>
          <w:tcPr>
            <w:tcW w:w="287" w:type="dxa"/>
            <w:tcBorders/>
            <w:vAlign w:val="center"/>
          </w:tcPr>
          <w:p>
            <w:pPr>
              <w:pStyle w:val="TableContents"/>
              <w:bidi w:val="0"/>
              <w:spacing w:before="0" w:after="0"/>
              <w:ind w:left="0" w:right="0" w:hanging="0"/>
              <w:jc w:val="center"/>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c>
          <w:tcPr>
            <w:tcW w:w="346" w:type="dxa"/>
            <w:tcBorders/>
            <w:shd w:fill="CCEEFF" w:val="clear"/>
            <w:vAlign w:val="center"/>
          </w:tcPr>
          <w:p>
            <w:pPr>
              <w:pStyle w:val="TableContents"/>
              <w:bidi w:val="0"/>
              <w:spacing w:before="0" w:after="0"/>
              <w:ind w:left="0" w:right="0" w:hanging="0"/>
              <w:jc w:val="right"/>
            </w:pPr>
            <w:r>
              <w:t>  ​ ​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c>
          <w:tcPr>
            <w:tcW w:w="406" w:type="dxa"/>
            <w:tcBorders/>
            <w:shd w:fill="CCEEFF" w:val="clear"/>
            <w:vAlign w:val="center"/>
          </w:tcPr>
          <w:p>
            <w:pPr>
              <w:pStyle w:val="TableContents"/>
              <w:bidi w:val="0"/>
              <w:spacing w:before="0" w:after="0"/>
              <w:ind w:left="0" w:right="0" w:hanging="0"/>
              <w:jc w:val="left"/>
            </w:pPr>
            <w:r>
              <w:t>  ​ ​ ​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92,804</w:t>
            </w:r>
          </w:p>
        </w:tc>
        <w:tc>
          <w:tcPr>
            <w:tcW w:w="406" w:type="dxa"/>
            <w:tcBorders/>
            <w:shd w:fill="CCEEFF" w:val="clear"/>
            <w:vAlign w:val="center"/>
          </w:tcPr>
          <w:p>
            <w:pPr>
              <w:pStyle w:val="TableContents"/>
              <w:bidi w:val="0"/>
              <w:spacing w:before="0" w:after="0"/>
              <w:ind w:left="0" w:right="0" w:hanging="0"/>
              <w:jc w:val="left"/>
            </w:pPr>
            <w:r>
              <w:t>  ​ ​ ​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18.3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88,766</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82,198</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278,840</w:t>
            </w:r>
          </w:p>
        </w:tc>
        <w:tc>
          <w:tcPr>
            <w:tcW w:w="346" w:type="dxa"/>
            <w:tcBorders/>
            <w:vAlign w:val="center"/>
          </w:tcPr>
          <w:p>
            <w:pPr>
              <w:pStyle w:val="TableContents"/>
              <w:bidi w:val="0"/>
              <w:spacing w:before="0" w:after="0"/>
              <w:ind w:left="0" w:right="0" w:hanging="0"/>
              <w:jc w:val="righ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46.4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232,592</w:t>
            </w:r>
          </w:p>
        </w:tc>
        <w:tc>
          <w:tcPr>
            <w:tcW w:w="406" w:type="dxa"/>
            <w:tcBorders/>
            <w:vAlign w:val="center"/>
          </w:tcPr>
          <w:p>
            <w:pPr>
              <w:pStyle w:val="TableContents"/>
              <w:bidi w:val="0"/>
              <w:spacing w:before="0" w:after="0"/>
              <w:ind w:left="0" w:right="0" w:hanging="0"/>
              <w:jc w:val="lef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45.8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46,248</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19.9 </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367,606</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314,790</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62.0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52,816</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16.8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233,063</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38.8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193,075</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38.0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39,988</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20.7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112,944</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95,404</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17,540</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facility related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7,392</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7,362</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13,475</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8,755</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4,720</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53.9 </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18,197</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13,857</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4,340</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31.3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37,725</w:t>
            </w:r>
          </w:p>
        </w:tc>
        <w:tc>
          <w:tcPr>
            <w:tcW w:w="346" w:type="dxa"/>
            <w:tcBorders/>
            <w:vAlign w:val="center"/>
          </w:tcPr>
          <w:p>
            <w:pPr>
              <w:pStyle w:val="TableContents"/>
              <w:bidi w:val="0"/>
              <w:spacing w:before="0" w:after="0"/>
              <w:ind w:left="0" w:right="0" w:hanging="0"/>
              <w:jc w:val="righ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33,983</w:t>
            </w:r>
          </w:p>
        </w:tc>
        <w:tc>
          <w:tcPr>
            <w:tcW w:w="406" w:type="dxa"/>
            <w:tcBorders/>
            <w:vAlign w:val="center"/>
          </w:tcPr>
          <w:p>
            <w:pPr>
              <w:pStyle w:val="TableContents"/>
              <w:bidi w:val="0"/>
              <w:spacing w:before="0" w:after="0"/>
              <w:ind w:left="0" w:right="0" w:hanging="0"/>
              <w:jc w:val="lef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3,742</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 </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189,733</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159,361</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31.4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30,372</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19.1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43,330</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33,714</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9,616</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28.5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pPr>
            <w:r>
              <w:t>​</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(4,890)</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66.7 </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(1,592)</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(4,050)</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2,458</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right"/>
            </w:pPr>
            <w:r>
              <w:t>​</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shd w:fill="CCEEFF" w:val="clear"/>
            <w:vAlign w:val="center"/>
          </w:tcPr>
          <w:p>
            <w:pPr>
              <w:pStyle w:val="TableContents"/>
              <w:bidi w:val="0"/>
              <w:spacing w:before="0" w:after="0"/>
              <w:ind w:left="0" w:right="0" w:hanging="0"/>
              <w:jc w:val="right"/>
            </w:pPr>
            <w:r>
              <w:t>​</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41,738</w:t>
            </w:r>
          </w:p>
        </w:tc>
        <w:tc>
          <w:tcPr>
            <w:tcW w:w="346" w:type="dxa"/>
            <w:tcBorders/>
            <w:vAlign w:val="center"/>
          </w:tcPr>
          <w:p>
            <w:pPr>
              <w:pStyle w:val="TableContents"/>
              <w:bidi w:val="0"/>
              <w:spacing w:before="0" w:after="0"/>
              <w:ind w:left="0" w:right="0" w:hanging="0"/>
              <w:jc w:val="righ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29,664</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12,074</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40.7 </w:t>
            </w:r>
          </w:p>
        </w:tc>
        <w:tc>
          <w:tcPr>
            <w:tcW w:w="287" w:type="dxa"/>
            <w:tcBorders/>
            <w:vAlign w:val="center"/>
          </w:tcPr>
          <w:p>
            <w:pPr>
              <w:pStyle w:val="TableContents"/>
              <w:bidi w:val="0"/>
              <w:spacing w:before="0" w:after="0"/>
              <w:ind w:left="0" w:right="0" w:hanging="0"/>
              <w:jc w:val="left"/>
            </w:pPr>
            <w:r>
              <w:t>​</w:t>
            </w:r>
          </w:p>
        </w:tc>
      </w:tr>
      <w:t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(2,998)</w:t>
            </w:r>
          </w:p>
        </w:tc>
        <w:tc>
          <w:tcPr>
            <w:tcW w:w="346" w:type="dxa"/>
            <w:tcBorders/>
            <w:shd w:fill="CCEEFF" w:val="clear"/>
            <w:vAlign w:val="center"/>
          </w:tcPr>
          <w:p>
            <w:pPr>
              <w:pStyle w:val="TableContents"/>
              <w:bidi w:val="0"/>
              <w:spacing w:before="0" w:after="0"/>
              <w:ind w:left="0" w:right="0" w:hanging="0"/>
              <w:jc w:val="righ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(4,180)</w:t>
            </w:r>
          </w:p>
        </w:tc>
        <w:tc>
          <w:tcPr>
            <w:tcW w:w="406" w:type="dxa"/>
            <w:tcBorders/>
            <w:shd w:fill="CCEEFF" w:val="clear"/>
            <w:vAlign w:val="center"/>
          </w:tcPr>
          <w:p>
            <w:pPr>
              <w:pStyle w:val="TableContents"/>
              <w:bidi w:val="0"/>
              <w:spacing w:before="0" w:after="0"/>
              <w:ind w:left="0" w:right="0" w:hanging="0"/>
              <w:jc w:val="left"/>
            </w:pPr>
            <w: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4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w:t>
            </w:r>
          </w:p>
        </w:tc>
        <w:tc>
          <w:tcPr>
            <w:tcW w:w="406" w:type="dxa"/>
            <w:tcBorders/>
            <w:shd w:fill="CCEEFF" w:val="clear"/>
            <w:vAlign w:val="center"/>
          </w:tcPr>
          <w:p>
            <w:pPr>
              <w:pStyle w:val="TableContents"/>
              <w:bidi w:val="0"/>
              <w:spacing w:before="0" w:after="0"/>
              <w:ind w:left="0" w:right="0" w:hanging="0"/>
              <w:jc w:val="left"/>
            </w:pPr>
            <w: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c>
          <w:tcPr>
            <w:tcW w:w="287" w:type="dxa"/>
            <w:tcBorders/>
            <w:shd w:fill="CCEEFF" w:val="clear"/>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44,736</w:t>
            </w:r>
          </w:p>
        </w:tc>
        <w:tc>
          <w:tcPr>
            <w:tcW w:w="346" w:type="dxa"/>
            <w:tcBorders/>
            <w:vAlign w:val="center"/>
          </w:tcPr>
          <w:p>
            <w:pPr>
              <w:pStyle w:val="TableContents"/>
              <w:bidi w:val="0"/>
              <w:spacing w:before="0" w:after="0"/>
              <w:ind w:left="0" w:right="0" w:hanging="0"/>
              <w:jc w:val="right"/>
            </w:pPr>
            <w: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33,844</w:t>
            </w:r>
          </w:p>
        </w:tc>
        <w:tc>
          <w:tcPr>
            <w:tcW w:w="406" w:type="dxa"/>
            <w:tcBorders/>
            <w:vAlign w:val="center"/>
          </w:tcPr>
          <w:p>
            <w:pPr>
              <w:pStyle w:val="TableContents"/>
              <w:bidi w:val="0"/>
              <w:spacing w:before="0" w:after="0"/>
              <w:ind w:left="0" w:right="0" w:hanging="0"/>
              <w:jc w:val="left"/>
            </w:pPr>
            <w: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 </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10,892</w:t>
            </w:r>
          </w:p>
        </w:tc>
        <w:tc>
          <w:tcPr>
            <w:tcW w:w="406" w:type="dxa"/>
            <w:tcBorders/>
            <w:vAlign w:val="center"/>
          </w:tcPr>
          <w:p>
            <w:pPr>
              <w:pStyle w:val="TableContents"/>
              <w:bidi w:val="0"/>
              <w:spacing w:before="0" w:after="0"/>
              <w:ind w:left="0" w:right="0" w:hanging="0"/>
              <w:jc w:val="left"/>
            </w:pPr>
            <w: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32.2 </w:t>
            </w:r>
          </w:p>
        </w:tc>
        <w:tc>
          <w:tcPr>
            <w:tcW w:w="287" w:type="dxa"/>
            <w:tcBorders/>
            <w:vAlign w:val="center"/>
          </w:tcPr>
          <w:p>
            <w:pPr>
              <w:pStyle w:val="TableContents"/>
              <w:bidi w:val="0"/>
              <w:spacing w:before="0" w:after="0"/>
              <w:ind w:left="0" w:right="0" w:hanging="0"/>
              <w:jc w:val="left"/>
            </w:pPr>
            <w:r>
              <w:t>​</w:t>
            </w:r>
          </w:p>
        </w:tc>
      </w:tr>
      <w:tr>
        <w:tc>
          <w:tcPr>
            <w:tcW w:w="253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lef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left"/>
            </w:pPr>
            <w:r>
              <w:t>​</w:t>
            </w:r>
          </w:p>
        </w:tc>
        <w:tc>
          <w:tcPr>
            <w:tcW w:w="2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871" w:type="dxa"/>
            <w:tcBorders/>
            <w:vAlign w:val="center"/>
          </w:tcPr>
          <w:p>
            <w:pPr>
              <w:pStyle w:val="TableContents"/>
              <w:bidi w:val="0"/>
              <w:spacing w:before="0" w:after="0"/>
              <w:ind w:left="0" w:right="0" w:hanging="0"/>
              <w:jc w:val="left"/>
            </w:pPr>
            <w:r>
              <w:t>​</w:t>
            </w:r>
          </w:p>
        </w:tc>
        <w:tc>
          <w:tcPr>
            <w:tcW w:w="287" w:type="dxa"/>
            <w:tcBorders/>
            <w:vAlign w:val="center"/>
          </w:tcPr>
          <w:p>
            <w:pPr>
              <w:pStyle w:val="TableContents"/>
              <w:bidi w:val="0"/>
              <w:spacing w:before="0" w:after="0"/>
              <w:ind w:left="0" w:right="0" w:hanging="0"/>
              <w:jc w:val="left"/>
            </w:pPr>
            <w:r>
              <w:t>​</w:t>
            </w:r>
          </w:p>
        </w:tc>
      </w:tr>
    </w:tbl>
    <w:p>
      <w:pPr>
        <w:pStyle w:val="TextBody"/>
        <w:bidi w:val="0"/>
        <w:spacing w:before="0" w:after="0"/>
        <w:ind w:left="360" w:right="0" w:hanging="0"/>
        <w:jc w:val="left"/>
        <w:rPr>
          <w:rFonts w:ascii="Times New Roman;Times;serif" w:hAnsi="Times New Roman;Times;serif"/>
          <w:i/>
          <w:sz w:val="2"/>
        </w:rPr>
      </w:pPr>
      <w:r>
        <w:rPr>
          <w:rFonts w:ascii="Times New Roman;Times;serif" w:hAnsi="Times New Roman;Times;serif"/>
          <w:i/>
          <w:sz w:val="2"/>
        </w:rPr>
        <w:t>11</w:t>
      </w:r>
    </w:p>
    <w:tbl>
      <w:tblPr>
        <w:tblW w:w="7262" w:type="dxa"/>
        <w:jc w:val="left"/>
        <w:tblInd w:w="0" w:type="dxa"/>
        <w:tblLayout w:type="fixed"/>
        <w:tblCellMar>
          <w:top w:w="0" w:type="dxa"/>
          <w:left w:w="0" w:type="dxa"/>
          <w:bottom w:w="0" w:type="dxa"/>
          <w:right w:w="0" w:type="dxa"/>
        </w:tblCellMar>
      </w:tblPr>
      <w:tblGrid>
        <w:gridCol w:w="286"/>
        <w:gridCol w:w="6976"/>
      </w:tblGrid>
      <w:t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tbl>
      <w:tblPr>
        <w:tblW w:w="278" w:type="dxa"/>
        <w:jc w:val="left"/>
        <w:tblInd w:w="0" w:type="dxa"/>
        <w:tblLayout w:type="fixed"/>
        <w:tblCellMar>
          <w:top w:w="0" w:type="dxa"/>
          <w:left w:w="0" w:type="dxa"/>
          <w:bottom w:w="0" w:type="dxa"/>
          <w:right w:w="0" w:type="dxa"/>
        </w:tblCellMar>
      </w:tblPr>
      <w:tblGrid>
        <w:gridCol w:w="124"/>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about disaggregated revenue of our two segments, Energy and Engineering and Consulting, by contract type, client type and geographical region:</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34085" cy="175260"/>
                      <wp:effectExtent l="0" t="0" r="0" b="0"/>
                      <wp:wrapNone/>
                      <wp:docPr id="271" name="Frame27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73" name="Frame2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1295" cy="175260"/>
                      <wp:effectExtent l="0" t="0" r="0" b="0"/>
                      <wp:wrapNone/>
                      <wp:docPr id="276" name="Frame27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18490" cy="175260"/>
                      <wp:effectExtent l="0" t="0" r="0" b="0"/>
                      <wp:wrapNone/>
                      <wp:docPr id="277" name="Frame27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5460" cy="175260"/>
                      <wp:effectExtent l="0" t="0" r="0" b="0"/>
                      <wp:wrapNone/>
                      <wp:docPr id="280"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2, 2026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27,296</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46,495</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60,213</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69,393</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97,299</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98,639</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44,580</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47,880</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77,569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26,284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103,853</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62,659</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62,794</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184,808</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29,719</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214,527</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2, 2026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54,537</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56,046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110,583</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171,544</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196,009</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289,284</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4,793</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294,077</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122,818</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129,935</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191,249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77,871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269,120</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201,298</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201,614</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600,669</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515,365</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85,304</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600,669</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34085" cy="175260"/>
                      <wp:effectExtent l="0" t="0" r="0" b="0"/>
                      <wp:wrapNone/>
                      <wp:docPr id="281" name="Frame2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4460" cy="175260"/>
                      <wp:effectExtent l="0" t="0" r="0" b="0"/>
                      <wp:wrapNone/>
                      <wp:docPr id="283" name="Frame2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38785" cy="175260"/>
                      <wp:effectExtent l="0" t="0" r="0" b="0"/>
                      <wp:wrapNone/>
                      <wp:docPr id="284" name="Frame2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1295" cy="175260"/>
                      <wp:effectExtent l="0" t="0" r="0" b="0"/>
                      <wp:wrapNone/>
                      <wp:docPr id="286" name="Frame2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18490" cy="175260"/>
                      <wp:effectExtent l="0" t="0" r="0" b="0"/>
                      <wp:wrapNone/>
                      <wp:docPr id="287" name="Frame28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67360" cy="175260"/>
                      <wp:effectExtent l="0" t="0" r="0" b="0"/>
                      <wp:wrapNone/>
                      <wp:docPr id="290" name="Frame29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3, 2025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12,866</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18,382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31,248</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58,252</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65,217</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83,632</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85,541</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15,942</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17,887</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64,587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89,843</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74,221</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74,276</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154,750</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27,256</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182,006</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3, 2025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36,201</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55,341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91,542</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164,209</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19,707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183,916</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227,337</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232,407</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47,550</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53,061</w:t>
            </w:r>
          </w:p>
        </w:tc>
      </w:tr>
      <w:t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168,750</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74,452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243,202</w:t>
            </w:r>
          </w:p>
        </w:tc>
      </w:tr>
      <w:t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211,447</w:t>
            </w:r>
          </w:p>
        </w:tc>
        <w:tc>
          <w:tcPr>
            <w:tcW w:w="346" w:type="dxa"/>
            <w:tcBorders/>
            <w:vAlign w:val="center"/>
          </w:tcPr>
          <w:p>
            <w:pPr>
              <w:pStyle w:val="TableContents"/>
              <w:bidi w:val="0"/>
              <w:spacing w:before="0" w:after="0"/>
              <w:ind w:left="0" w:right="0" w:hanging="0"/>
              <w:jc w:val="left"/>
            </w:pPr>
            <w: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211,602</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left"/>
            </w:pPr>
            <w:r>
              <w:t>​</w:t>
            </w:r>
          </w:p>
        </w:tc>
      </w:tr>
      <w:t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317" w:type="dxa"/>
            <w:tcBorders/>
            <w:shd w:fill="CCEEFF" w:val="clear"/>
            <w:vAlign w:val="center"/>
          </w:tcPr>
          <w:p>
            <w:pPr>
              <w:pStyle w:val="TableContents"/>
              <w:bidi w:val="0"/>
              <w:spacing w:before="0" w:after="0"/>
              <w:ind w:left="0" w:right="0" w:hanging="0"/>
              <w:jc w:val="left"/>
            </w:pPr>
            <w:r>
              <w:t>​</w:t>
            </w:r>
          </w:p>
        </w:tc>
        <w:tc>
          <w:tcPr>
            <w:tcW w:w="97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left"/>
            </w:pPr>
            <w:r>
              <w:t>​</w:t>
            </w:r>
          </w:p>
        </w:tc>
      </w:tr>
      <w:t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427,747</w:t>
            </w:r>
          </w:p>
        </w:tc>
        <w:tc>
          <w:tcPr>
            <w:tcW w:w="346" w:type="dxa"/>
            <w:tcBorders/>
            <w:vAlign w:val="center"/>
          </w:tcPr>
          <w:p>
            <w:pPr>
              <w:pStyle w:val="TableContents"/>
              <w:bidi w:val="0"/>
              <w:spacing w:before="0" w:after="0"/>
              <w:ind w:left="0" w:right="0" w:hanging="0"/>
              <w:jc w:val="left"/>
            </w:pPr>
            <w: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80,118</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507,865</w:t>
            </w:r>
          </w:p>
        </w:tc>
      </w:tr>
      <w:tr>
        <w:tc>
          <w:tcPr>
            <w:tcW w:w="14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7" w:type="dxa"/>
            <w:tcBorders/>
            <w:vAlign w:val="center"/>
          </w:tcPr>
          <w:p>
            <w:pPr>
              <w:pStyle w:val="TableContents"/>
              <w:bidi w:val="0"/>
              <w:spacing w:before="0" w:after="0"/>
              <w:ind w:left="0" w:right="0" w:hanging="0"/>
              <w:jc w:val="left"/>
            </w:pPr>
            <w:r>
              <w:t>​</w:t>
            </w:r>
          </w:p>
        </w:tc>
        <w:tc>
          <w:tcPr>
            <w:tcW w:w="97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tbl>
      <w:tblPr>
        <w:tblW w:w="4022" w:type="dxa"/>
        <w:jc w:val="left"/>
        <w:tblInd w:w="0" w:type="dxa"/>
        <w:tblLayout w:type="fixed"/>
        <w:tblCellMar>
          <w:top w:w="0" w:type="dxa"/>
          <w:left w:w="0" w:type="dxa"/>
          <w:bottom w:w="0" w:type="dxa"/>
          <w:right w:w="0" w:type="dxa"/>
        </w:tblCellMar>
      </w:tblPr>
      <w:tblGrid>
        <w:gridCol w:w="286"/>
        <w:gridCol w:w="3736"/>
      </w:tblGrid>
      <w:t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452" w:type="dxa"/>
        <w:jc w:val="left"/>
        <w:tblInd w:w="0" w:type="dxa"/>
        <w:tblLayout w:type="fixed"/>
        <w:tblCellMar>
          <w:top w:w="0" w:type="dxa"/>
          <w:left w:w="0" w:type="dxa"/>
          <w:bottom w:w="0" w:type="dxa"/>
          <w:right w:w="0" w:type="dxa"/>
        </w:tblCellMar>
      </w:tblPr>
      <w:tblGrid>
        <w:gridCol w:w="286"/>
        <w:gridCol w:w="9166"/>
      </w:tblGrid>
      <w:t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16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Revenue from our foreign operations was not material for the three and nine months ended October 2, 2026 and October 3, 2025.</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October 2, 2026 Compared to Three Months Ended October 3,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$32.5 million, or 17.9%,</w:t>
      </w:r>
      <w:r>
        <w:rPr>
          <w:rFonts w:ascii="Times New Roman;Times;serif" w:hAnsi="Times New Roman;Times;serif"/>
          <w:color w:val="EE0000"/>
          <w:sz w:val="20"/>
        </w:rPr>
        <w:t xml:space="preserve"> </w:t>
      </w:r>
      <w:r>
        <w:rPr>
          <w:rFonts w:ascii="Times New Roman;Times;serif" w:hAnsi="Times New Roman;Times;serif"/>
          <w:sz w:val="20"/>
        </w:rPr>
        <w:t xml:space="preserve">in the three months ended October 2, 2026, compared to the three months ended October 3, 2025, as a result of increased demand for our services in both our Energy segment and our Engineering and Consulting segment.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$30.1 million, or 19.4%, in the three months ended October 2, 2026, compared to the three months ended October 3, 2025, primarily as a result of </w:t>
      </w:r>
      <w:r>
        <w:rPr>
          <w:rFonts w:ascii="Times New Roman;Times;serif" w:hAnsi="Times New Roman;Times;serif"/>
          <w:sz w:val="20"/>
          <w:shd w:fill="FFFFFF" w:val="clear"/>
        </w:rPr>
        <w:t>higher revenues across all of our service offerings</w:t>
      </w:r>
      <w:r>
        <w:rPr>
          <w:rFonts w:ascii="Times New Roman;Times;serif" w:hAnsi="Times New Roman;Times;serif"/>
          <w:color w:val="212529"/>
          <w:sz w:val="20"/>
          <w:shd w:fill="FFFFFF" w:val="clear"/>
        </w:rPr>
        <w:t>,</w:t>
      </w:r>
      <w:r>
        <w:rPr>
          <w:rFonts w:ascii="Times New Roman;Times;serif" w:hAnsi="Times New Roman;Times;serif"/>
          <w:sz w:val="20"/>
        </w:rPr>
        <w:t xml:space="preserve"> combined with incremental revenues from our acquisition of Burton Energy Group, LLC. (“Burton”) in May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$2.4 million, or 9.0%, in the three months ended October 2, 2026, compared to the three months ended October 3, 2025, primarily due to increased demand for services provided to our clients, combined with the incremental revenues from our acquisition of Compass Municipal Advisors, LLC. (“Compass”) in January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Direct costs of consolidated contract revenue increased $17.2 million, or 14.9%, for the three months ended October 2, 2026, compared to the three months ended</w:t>
      </w:r>
      <w:r>
        <w:rPr>
          <w:rFonts w:ascii="Times New Roman;Times;serif" w:hAnsi="Times New Roman;Times;serif"/>
          <w:sz w:val="20"/>
        </w:rPr>
        <w:t xml:space="preserve"> October 3, 2025, primarily as a result of the increased volume in contract revenues as described above. As a percentage of contract revenue, subcontractor services and other direct costs were relatively flat for the three months ended October 2, 2026 compared to the three months ended October 3, 2025. Direct salaries and wages declined, as a percentage of contract revenues, to 13.8% in the three months ended October 2, 2026, from 15.3% in the three months ended October 3, 2025, reflecting the increased mix of revenues from commercial projects and higher incentive revenue under utility programs in the current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$16.4 million, or 16.0%, for the three months ended October 2, 2026, compared to the three months ended October 3, 2025.</w:t>
      </w:r>
      <w:r>
        <w:rPr>
          <w:rFonts w:ascii="Times New Roman;Times;serif" w:hAnsi="Times New Roman;Times;serif"/>
          <w:sz w:val="20"/>
          <w:shd w:fill="FFFFFF" w:val="clear"/>
        </w:rPr>
        <w:t xml:space="preserve"> </w:t>
      </w:r>
      <w:r>
        <w:rPr>
          <w:rFonts w:ascii="Times New Roman;Times;serif" w:hAnsi="Times New Roman;Times;serif"/>
          <w:sz w:val="20"/>
        </w:rPr>
        <w:t>Direct costs of contract revenue for the Engineering and Consulting segment increased $0.8 million, or 6.3%, in the three months ended October 2, 2026, compared to the three months ended October 3,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22.9% to $82.5 million, or a 38.4% gross margin, for the three months ended October 2, 2026, compared to gross profit of $67.1 million, or a 36.9% gross margin, for the three months ended October 3, 2025. The increase in our gross margin was primarily driven by the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$13.9 million, or 26.7%, to $66.1 million in the three months ended October 2, 2026, compared to $52.2 million for the three months ended October 3, 2025. As a percentage of contract revenues, G&amp;A increased to 30.8% in the three months ended October 2, 2026 from 28.7% in the three months ended October 3, 2025. G&amp;A expenses consisted of an increase of $10.8 million, or 27.4%, in the Energy segment combined with an increase of $1.4 million, or 13.2%, in the Engineering and Consulting segment, and the remaining increase of $1.7 million, or 67.9%,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$7.8 million in salaries and wages, payroll taxes and employee benefits, an increase of $2.3 million </w:t>
      </w:r>
      <w:r>
        <w:rPr>
          <w:rFonts w:ascii="Times New Roman;Times;serif" w:hAnsi="Times New Roman;Times;serif"/>
          <w:sz w:val="20"/>
          <w:shd w:fill="FFFFFF" w:val="clear"/>
        </w:rPr>
        <w:t>in other general and administrative expenses,</w:t>
      </w:r>
      <w:r>
        <w:rPr>
          <w:rFonts w:ascii="Times New Roman;Times;serif" w:hAnsi="Times New Roman;Times;serif"/>
          <w:sz w:val="20"/>
        </w:rPr>
        <w:t xml:space="preserve"> an increase of $1.9 million in depreciation and amortization, and an increase of $1.8 million in stock-based compensation. The increase in salaries and wages, payroll taxes and employee benefits was primarily due to increased staffing from acquisitions, an increase in incentive compensation consistent with the increase in operating profit, and higher fringe benefit costs consistent with the growth in direct and indirect labor costs. </w:t>
      </w:r>
      <w:r>
        <w:rPr>
          <w:rFonts w:ascii="Times New Roman;Times;serif" w:hAnsi="Times New Roman;Times;serif"/>
          <w:sz w:val="20"/>
          <w:shd w:fill="FFFFFF" w:val="clear"/>
        </w:rPr>
        <w:t>The increase in other general and administrative expenses was primarily due to increased professional service fees, software and other computer-related expenses. The increase in stock-based compensation expenses was primarily related to new stock grants to current employees, and members of the Board of Directors at a higher stock price. The increase in depreciation and amortization was driven by higher amortization of intangible assets from recent acquisitions.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9.7% to $16.3 million for the three months ended October 2, 2026, compared to an operating income of $14.9 million for the three months ended October 3, 2025,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$0.3 million, or 58.2%, for the three months ended, October 2, 2026, compared to the three months ended October 3, 2025, primarily due to the higher interest expense resulting from the increased borrowing under our Existing Revolving Credit Facility (as defined below) to partially finance the acquisition of Burton.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$3.5 million for the three months ended October 2, 2026, an effective tax expense rate of 23.0% on income before income tax expense, compared to an income tax expense of $0.6 million for the three months ended October 3, 2025, an effective tax rate of 4.0% on income before tax expense. The increase in the effective tax rate primarily resulted from decreases in discrete items related to stock compensation deductions and certain energy-efficiency building deductions.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decreased 13.6% to $11.9 million for the three months ended October 2, 2026, as compared to a net income of $13.7 million for the three months ended October 3, 2025. The decrease in net income was primarily attributable to a higher effective tax rate combined with an increase in Total other expense, net.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Nine Months Ended October 2, 2026 Compared to Nine Months Ended October 3,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$92.8 million, or 18.3%, in the nine months ended October 2, 2026, compared to the nine months ended October 3, 2025, as a result of increased demand for our services in both our Energy segment and our Engineering and Consulting segment, combined with incremental revenues from Burton. The rate of growth was impacted by the effect of having one fewer week in the nine months ended of fiscal year 2026 when compared to our nine months ended of fiscal year 2025. When removing the impact of the additional week in the nine months ended of fiscal year 2025, contract revenue increased 21.3% in the nine months ended October 2, 2026, compared to the adjusted nine months ended October 3,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$87.6 million, or 20.5%, in the nine months ended October 2, 2026, compared to the nine months ended October 3, 2025, primarily as a result of </w:t>
      </w:r>
      <w:r>
        <w:rPr>
          <w:rFonts w:ascii="Times New Roman;Times;serif" w:hAnsi="Times New Roman;Times;serif"/>
          <w:sz w:val="20"/>
          <w:shd w:fill="FFFFFF" w:val="clear"/>
        </w:rPr>
        <w:t>higher revenues across our service offerings</w:t>
      </w:r>
      <w:r>
        <w:rPr>
          <w:rFonts w:ascii="Times New Roman;Times;serif" w:hAnsi="Times New Roman;Times;serif"/>
          <w:color w:val="212529"/>
          <w:sz w:val="20"/>
          <w:shd w:fill="FFFFFF" w:val="clear"/>
        </w:rPr>
        <w:t>,</w:t>
      </w:r>
      <w:r>
        <w:rPr>
          <w:rFonts w:ascii="Times New Roman;Times;serif" w:hAnsi="Times New Roman;Times;serif"/>
          <w:sz w:val="20"/>
        </w:rPr>
        <w:t xml:space="preserve"> combined with incremental revenues from our acquisition of Burton.</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$5.2 million, or 6.5%, in the nine months ended October 2, 2026, compared to the nine months ended October 3, 2025, primarily due to increased demand for services provided to our clients, combined with the incremental revenues from our acquisition of Compass.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$52.8 million, or 16.8%, for the nine months ended October 2, 2026, compared to the nine months ended October 3, 2025, primarily as a result of the increased volume of contract revenues as described above. As a percentage of contract revenue, subcontractor services and other direct costs increased modestly to 46.4% in the nine months ended October 2, 2026 from 45.8% in the nine months ended October 3, 2025, reflecting the higher mix of construction management revenues. Direct salaries and wages increased $6.6 million, or 8.0%, to support the increased volume of projects in the nine months ended October 2, 2026, compared to the nine months ended October 3, 2025, and declined, as a percentage of contract revenue, to 14.8% in the nine months ended October 2, 2026, from 16.2% in the nine months ended October 3,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$50.2 million, or 18.0%, for the nine months ended October 2, 2026, compared to the nine months ended October 3, 2025. Direct costs of contract revenue for the Engineering and Consulting segment increased $2.6 million, or 7.1%, in the nine months ended October 2, 2026, compared to the nine months ended October 3,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20.7% to $233.1 million, or a 38.8% gross margin, for the nine months ended October 2, 2026, compared to gross profit of $193.1 million, or a 38.0% gross margin, for the nine months ended October 3, 2025. The increase in our gross margin was primarily driven by the changes in the mix of project revenues.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G&amp;A expenses increased $30.4 million, or 19.1%, to $189.7 million in the nine months ended October 2, 2026, compared to $159.4 million for the nine months ended October 3, 2025. As a percentage of contract revenue, G&amp;A expenses were 31.6% of contract revenues in the nine months ended October 2, 2026, compared to 31.4% for the nine months ended October 3, 2025. G&amp;A expenses consisted of an increase of $24.0 million, or 20.3%, in the Energy segment combined with an increase of $4.1 million, or 13.0%, in the Engineering and Consulting segment, and the remaining increase of $2.3 million, or 23.7%, in unallocated corporate expenses.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$17.5 million in salaries and wages, payroll taxes and employee benefits, an increase of $4.7 million in stock-based compensation, an increase of $4.3 million in depreciation and amortization, and an increase of $3.7 million in other general and administrative expenses. The increase in salaries and wages, payroll taxes and employee benefits was primarily due to increased staffing from acquisitions, an increase in incentive compensation, consistent with the improvement in operating profit, and higher fringe benefit costs consistent with the growth in direct and indirect labor costs. The increase in stock-based compensation expenses was primarily related to new stock grants to current employees and members of the Board of Directors at a higher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 The increase in depreciation and amortization was driven by higher amortization of intangible assets from recent acquisitions. The increase in other general and administrative expenses was primarily due to increased professional service fees, software and other computer-related expenses.</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Income (loss) from operations. </w:t>
      </w:r>
      <w:r>
        <w:rPr>
          <w:rFonts w:ascii="Times New Roman;Times;serif" w:hAnsi="Times New Roman;Times;serif"/>
          <w:sz w:val="20"/>
        </w:rPr>
        <w:t>Operating income increased 28.5% to $43.3 million for the nine months ended October 2, 2026, compared to an operating income of $33.7 million for the nine months ended October 3, 2025,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$2.5 million, or 60.7%, for the nine months ended October 2, 2026, compared to the nine months ended October 3, 2025, primarily due to the absence of a </w:t>
      </w:r>
      <w:r>
        <w:rPr>
          <w:rFonts w:ascii="Times New Roman;Times;serif" w:hAnsi="Times New Roman;Times;serif"/>
          <w:sz w:val="20"/>
          <w:shd w:fill="FFFFFF" w:val="clear"/>
        </w:rPr>
        <w:t xml:space="preserve">one-time charge for unamortized debt issuance costs related to our prior credit facilities that we had in the second quarter of fiscal 2025 and the absence of </w:t>
      </w:r>
      <w:r>
        <w:rPr>
          <w:rFonts w:ascii="Times New Roman;Times;serif" w:hAnsi="Times New Roman;Times;serif"/>
          <w:sz w:val="20"/>
        </w:rPr>
        <w:t>a one-time charge related to a facility lease modification</w:t>
      </w:r>
      <w:r>
        <w:rPr>
          <w:rFonts w:ascii="Times New Roman;Times;serif" w:hAnsi="Times New Roman;Times;serif"/>
          <w:sz w:val="20"/>
          <w:shd w:fill="FFFFFF" w:val="clear"/>
        </w:rPr>
        <w:t xml:space="preserve"> </w:t>
      </w:r>
      <w:r>
        <w:rPr>
          <w:rFonts w:ascii="Times New Roman;Times;serif" w:hAnsi="Times New Roman;Times;serif"/>
          <w:sz w:val="20"/>
        </w:rPr>
        <w:t xml:space="preserve">that we had in the </w:t>
      </w:r>
      <w:r>
        <w:rPr>
          <w:rFonts w:ascii="Times New Roman;Times;serif" w:hAnsi="Times New Roman;Times;serif"/>
          <w:sz w:val="20"/>
          <w:shd w:fill="FFFFFF" w:val="clear"/>
        </w:rPr>
        <w:t>first fiscal quarter of fiscal 2025</w:t>
      </w:r>
      <w:r>
        <w:rPr>
          <w:rFonts w:ascii="Times New Roman;Times;serif" w:hAnsi="Times New Roman;Times;serif"/>
          <w:sz w:val="20"/>
        </w:rPr>
        <w:t>, combined with by the higher interest expense resulting from the higher debt levels under our credit facilities in the first half of fiscal 2025.</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$3.0 million for the nine months ended October 2, 2026, an effective tax benefit rate of 7.2% on income before income tax expense, compared to an income tax benefit of $4.2 million for the nine months ended October 3, 2025, an effective tax rate of 14.1% on income before tax expense. The increase in the effective tax rate resulted from the increase in income before income tax, combined with the decreases in discrete items related to stock compensation deductions and energy-efficiency building deductions. </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$44.7 million for the nine months ended October 2, 2026, as compared to a net income of $33.8 million for the nine months ended October 3, 2025. The increase in net income was primarily attributable to the increase in income from operations a result of increasing revenue, combined with a reduction in Total other expense, net and higher effective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c>
          <w:tcPr>
            <w:tcW w:w="43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5460" cy="175260"/>
                      <wp:effectExtent l="0" t="0" r="0" b="0"/>
                      <wp:wrapNone/>
                      <wp:docPr id="292" name="Frame2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34035" cy="175260"/>
                      <wp:effectExtent l="0" t="0" r="0" b="0"/>
                      <wp:wrapNone/>
                      <wp:docPr id="295" name="Frame29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3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c>
          <w:tcPr>
            <w:tcW w:w="43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46" w:type="dxa"/>
            <w:tcBorders/>
            <w:vAlign w:val="center"/>
          </w:tcPr>
          <w:p>
            <w:pPr>
              <w:pStyle w:val="TableContents"/>
              <w:bidi w:val="0"/>
              <w:spacing w:before="0" w:after="0"/>
              <w:ind w:left="0" w:right="0" w:hanging="0"/>
              <w:jc w:val="center"/>
            </w:pPr>
            <w: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w:t>
            </w:r>
          </w:p>
        </w:tc>
      </w:tr>
      <w:tr>
        <w:tc>
          <w:tcPr>
            <w:tcW w:w="43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3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pPr>
            <w:r>
              <w:t>  ​ ​ ​</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41" w:type="dxa"/>
            <w:tcBorders/>
            <w:shd w:fill="CCEEFF" w:val="clear"/>
            <w:vAlign w:val="center"/>
          </w:tcPr>
          <w:p>
            <w:pPr>
              <w:pStyle w:val="TableContents"/>
              <w:bidi w:val="0"/>
              <w:spacing w:before="0" w:after="0"/>
              <w:ind w:left="0" w:right="0" w:hanging="0"/>
              <w:jc w:val="left"/>
            </w:pPr>
            <w:r>
              <w:t>​</w:t>
            </w:r>
          </w:p>
        </w:tc>
      </w:tr>
      <w:t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pPr>
            <w: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46" w:type="dxa"/>
            <w:tcBorders/>
            <w:vAlign w:val="center"/>
          </w:tcPr>
          <w:p>
            <w:pPr>
              <w:pStyle w:val="TableContents"/>
              <w:bidi w:val="0"/>
              <w:spacing w:before="0" w:after="0"/>
              <w:ind w:left="0" w:right="0" w:hanging="0"/>
              <w:jc w:val="right"/>
            </w:pPr>
            <w: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40,904</w:t>
            </w:r>
          </w:p>
        </w:tc>
      </w:tr>
      <w:t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(60,958)</w:t>
            </w:r>
          </w:p>
        </w:tc>
        <w:tc>
          <w:tcPr>
            <w:tcW w:w="346" w:type="dxa"/>
            <w:tcBorders/>
            <w:shd w:fill="CCEEFF" w:val="clear"/>
            <w:vAlign w:val="center"/>
          </w:tcPr>
          <w:p>
            <w:pPr>
              <w:pStyle w:val="TableContents"/>
              <w:bidi w:val="0"/>
              <w:spacing w:before="0" w:after="0"/>
              <w:ind w:left="0" w:right="0" w:hanging="0"/>
              <w:jc w:val="right"/>
            </w:pPr>
            <w:r>
              <w:t>​</w:t>
            </w:r>
          </w:p>
        </w:tc>
        <w:tc>
          <w:tcPr>
            <w:tcW w:w="211" w:type="dxa"/>
            <w:tcBorders/>
            <w:shd w:fill="CCEEFF" w:val="clear"/>
            <w:vAlign w:val="center"/>
          </w:tcPr>
          <w:p>
            <w:pPr>
              <w:pStyle w:val="TableContents"/>
              <w:bidi w:val="0"/>
              <w:spacing w:before="0" w:after="0"/>
              <w:ind w:left="0" w:right="0" w:hanging="0"/>
              <w:jc w:val="left"/>
            </w:pPr>
            <w: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(40,327)</w:t>
            </w:r>
          </w:p>
        </w:tc>
      </w:tr>
      <w:t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346" w:type="dxa"/>
            <w:tcBorders/>
            <w:vAlign w:val="center"/>
          </w:tcPr>
          <w:p>
            <w:pPr>
              <w:pStyle w:val="TableContents"/>
              <w:bidi w:val="0"/>
              <w:spacing w:before="0" w:after="0"/>
              <w:ind w:left="0" w:right="0" w:hanging="0"/>
              <w:jc w:val="righ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(41,626)</w:t>
            </w:r>
          </w:p>
        </w:tc>
      </w:tr>
      <w:t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46" w:type="dxa"/>
            <w:tcBorders/>
            <w:shd w:fill="CCEEFF" w:val="clear"/>
            <w:vAlign w:val="center"/>
          </w:tcPr>
          <w:p>
            <w:pPr>
              <w:pStyle w:val="TableContents"/>
              <w:bidi w:val="0"/>
              <w:spacing w:before="0" w:after="0"/>
              <w:ind w:left="0" w:right="0" w:hanging="0"/>
              <w:jc w:val="righ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(41,049)</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 xml:space="preserve">available borrowings under our revolving credit facility(the “Existing Revolving Credit Facility”) and delayed draw term loan facility (the “Existing Delayed Draw Term Loan Facility”) under the Credit Agreement (as defined below). We believe that these sources will be sufficient to finance our operating activities for at least the next 12 months.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October 2, 2026</w:t>
      </w:r>
      <w:r>
        <w:rPr>
          <w:rFonts w:ascii="Times New Roman;Times;serif" w:hAnsi="Times New Roman;Times;serif"/>
          <w:sz w:val="20"/>
        </w:rPr>
        <w:t xml:space="preserve">, </w:t>
      </w:r>
      <w:r>
        <w:rPr>
          <w:rFonts w:ascii="Times New Roman;Times;serif" w:hAnsi="Times New Roman;Times;serif"/>
          <w:sz w:val="20"/>
          <w:shd w:fill="FFFFFF" w:val="clear"/>
        </w:rPr>
        <w:t>we had a fully drawn $50.0 million term loan facility (the “Existing Term Loan Facility”) with $46.9 million outstanding, a $100.0 million Existing Revolving Credit Facility with $15.0 million outstanding</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 xml:space="preserve">and $1.6 million in letters of credit issued. We also had an undrawn $50.0 million Existing Delayed Draw Term Loan Facility. The Existing Delayed Draw Term Loan Facility must be drawn before May 2027. The Existing Term Loan Facility, the Existing Revolving Credit Facility, and the Existing Delayed Draw Term Loan Facility (collectively, the “Existing Credit Facilities”) are each scheduled to mature on May 5, 2030. In addition to the Existing Credit Facilities, we had $39.2 million of unrestricted cash and cash equivalents as of October 2, 2026. Unhedged borrowings under our Existing Credit Facilities, exclusive of the effects of upfront fees, undrawn fees and issuance cost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amortization, bore interest at an annual rate of 5.5% as of October 2, 2026.</w:t>
      </w:r>
      <w:r>
        <w:rPr>
          <w:rFonts w:ascii="Times New Roman;Times;serif" w:hAnsi="Times New Roman;Times;serif"/>
          <w:sz w:val="20"/>
        </w:rPr>
        <w:t xml:space="preserve"> </w:t>
      </w:r>
      <w:r>
        <w:rPr>
          <w:rFonts w:ascii="Times New Roman;Times;serif" w:hAnsi="Times New Roman;Times;serif"/>
          <w:sz w:val="20"/>
          <w:shd w:fill="FFFFFF" w:val="clear"/>
        </w:rPr>
        <w:t xml:space="preserve">See Part I, Item 1, Note 6, “Debt Obligations”, of the Notes to Condensed Consolidated Financial Statements included in this Quarterly Report on Form 10-Q, and Part II, Item 8, Note 5, “Debt Obligations”, of the Notes to Consolidated Financial Statements included in our Annual Report on Form 10-K </w:t>
      </w:r>
      <w:r>
        <w:rPr>
          <w:rFonts w:ascii="Times New Roman;Times;serif" w:hAnsi="Times New Roman;Times;serif"/>
          <w:sz w:val="20"/>
        </w:rPr>
        <w:t>for the fiscal year ended January 2, 2026</w:t>
      </w:r>
      <w:r>
        <w:rPr>
          <w:rFonts w:ascii="Times New Roman;Times;serif" w:hAnsi="Times New Roman;Times;serif"/>
          <w:sz w:val="20"/>
          <w:shd w:fill="FFFFFF" w:val="clear"/>
        </w:rPr>
        <w:t>, for information regarding our indebtedness, including information about the Credit Agreement and repayments, principal repayment terms, interest rates, covenants, and other key terms of our outstanding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October 30, 2026, we entered into an Increase Request and Second Amendment to Amended and Restated Credit Agreement (the “Amendment”), which amends our Amended and Restated Credit Agreement, dated as of May 5, 2025 (as amended, supplemented, or otherwise modified prior to the date of the Amendment, the “Existing Credit Agreement”; the Existing Credit Agreement as amended by the Amendment, the “Credit Agreement”). The Amendment amended the Existing Credit Agreement to, among other things, add an additional up to $250.0 million term loan facility (the “New Term Loan Facility”) to finance the acquisition of Mantis Intermediate Holdings, LLC (“Mantis”). </w:t>
      </w:r>
      <w:r>
        <w:rPr>
          <w:rFonts w:ascii="Times New Roman;Times;serif" w:hAnsi="Times New Roman;Times;serif"/>
          <w:sz w:val="20"/>
          <w:shd w:fill="FFFFFF" w:val="clear"/>
        </w:rPr>
        <w:t>As of October 30, 2026</w:t>
      </w:r>
      <w:r>
        <w:rPr>
          <w:rFonts w:ascii="Times New Roman;Times;serif" w:hAnsi="Times New Roman;Times;serif"/>
          <w:sz w:val="20"/>
        </w:rPr>
        <w:t xml:space="preserve">, </w:t>
      </w:r>
      <w:r>
        <w:rPr>
          <w:rFonts w:ascii="Times New Roman;Times;serif" w:hAnsi="Times New Roman;Times;serif"/>
          <w:sz w:val="20"/>
          <w:shd w:fill="FFFFFF" w:val="clear"/>
        </w:rPr>
        <w:t>we had a fully drawn $50.0 million Existing Term Loan Facility with $46.9 million outstanding, a $100.0 million Existing Revolving Credit Facility with $35.0 million outstanding</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and $1.6 million in letters of credit issued, and a fully drawn $250.0 million New Term Loan Facility. We also had an undrawn $50.0 million Existing Delayed Draw Term Loan Facility. For more information, see Part I, Item 1, Note 14, “Subsequent Events”, of the Notes to Condensed Consolidated Financial Statements included in this Quarterly Report on Form 10-Q.</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Cash flows provided by operating activities were $32.9 million for the nine months ended October 2, 2026, as compared to $40.9 million for the nine months ended October 3, 2025.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nine months ended October 2, 2026, resulted primarily from the higher net income supplemented by non-cash expenses from stock compensation and intangible amortization, partially offset by higher working capital requirements to support the growth in revenue. Cash flows provided by operating activities for the nine months ended October 3, 2025, resulted primarily from the increase in earnings partially offset by higher working capital requirements to support the expansion of revenue.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w:t>
      </w:r>
      <w:r>
        <w:rPr>
          <w:rFonts w:ascii="Times New Roman;Times;serif" w:hAnsi="Times New Roman;Times;serif"/>
          <w:sz w:val="20"/>
          <w:shd w:fill="FFFFFF" w:val="clear"/>
        </w:rPr>
        <w:t>sh flows used in investing activities were $61.0 million for the nine months ended October 2, 2026, as compared to cash flows used in investing activities of $40.3 million for the nine months ended October 3, 2025. Cash flows used in investing activities for the nine months ended October 2, 2026 and for the nine months ended October 3, 2025 were primarily due to cash paid for acquisitions, combined with cash paid for the development of proprietary software and the purchase of computers and equipment.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financing activities were $4.3 million for the </w:t>
      </w:r>
      <w:r>
        <w:rPr>
          <w:rFonts w:ascii="Times New Roman;Times;serif" w:hAnsi="Times New Roman;Times;serif"/>
          <w:sz w:val="20"/>
          <w:shd w:fill="FFFFFF" w:val="clear"/>
        </w:rPr>
        <w:t>nine months ended October 2, 2026</w:t>
      </w:r>
      <w:r>
        <w:rPr>
          <w:rFonts w:ascii="Times New Roman;Times;serif" w:hAnsi="Times New Roman;Times;serif"/>
          <w:sz w:val="20"/>
        </w:rPr>
        <w:t xml:space="preserve">, as compared to cash flows used in financing activities of $41.6 million for </w:t>
      </w:r>
      <w:r>
        <w:rPr>
          <w:rFonts w:ascii="Times New Roman;Times;serif" w:hAnsi="Times New Roman;Times;serif"/>
          <w:sz w:val="20"/>
          <w:shd w:fill="FFFFFF" w:val="clear"/>
        </w:rPr>
        <w:t>the nine months ended October 3, 2025</w:t>
      </w:r>
      <w:r>
        <w:rPr>
          <w:rFonts w:ascii="Times New Roman;Times;serif" w:hAnsi="Times New Roman;Times;serif"/>
          <w:sz w:val="20"/>
        </w:rPr>
        <w:t xml:space="preserve">. </w:t>
      </w:r>
    </w:p>
    <w:p>
      <w:pPr>
        <w:pStyle w:val="TextBody"/>
        <w:bidi w:val="0"/>
        <w:spacing w:before="180" w:after="0"/>
        <w:ind w:left="0" w:right="0" w:firstLine="720"/>
        <w:jc w:val="left"/>
        <w:rPr>
          <w:rFonts w:ascii="Times New Roman;Times;serif" w:hAnsi="Times New Roman;Times;serif"/>
          <w:sz w:val="20"/>
        </w:rPr>
      </w:pPr>
      <w:r>
        <w:rPr>
          <w:rFonts w:ascii="Times New Roman;Times;serif" w:hAnsi="Times New Roman;Times;serif"/>
          <w:sz w:val="20"/>
        </w:rPr>
        <w:t>For the nine months ended October 2, 2026, cash flows provided by financing activities were primarily attributable to b</w:t>
      </w:r>
      <w:r>
        <w:rPr>
          <w:rFonts w:ascii="Times New Roman;Times;serif" w:hAnsi="Times New Roman;Times;serif"/>
          <w:sz w:val="20"/>
          <w:shd w:fill="FFFFFF" w:val="clear"/>
        </w:rPr>
        <w:t xml:space="preserve">orrowings, and repayments, of $30.0 million and $15.0 million, respectively, under the Existing </w:t>
      </w:r>
      <w:r>
        <w:rPr>
          <w:rFonts w:ascii="Times New Roman;Times;serif" w:hAnsi="Times New Roman;Times;serif"/>
          <w:sz w:val="20"/>
        </w:rPr>
        <w:t>Revolving Credit Facility</w:t>
      </w:r>
      <w:r>
        <w:rPr>
          <w:rFonts w:ascii="Times New Roman;Times;serif" w:hAnsi="Times New Roman;Times;serif"/>
          <w:sz w:val="20"/>
          <w:shd w:fill="FFFFFF" w:val="clear"/>
        </w:rPr>
        <w:t xml:space="preserve"> </w:t>
      </w:r>
      <w:r>
        <w:rPr>
          <w:rFonts w:ascii="Times New Roman;Times;serif" w:hAnsi="Times New Roman;Times;serif"/>
          <w:sz w:val="20"/>
        </w:rPr>
        <w:t xml:space="preserve">combined with $4.3 million of proceeds from sales of common stock under the employee stock purchase plan, and $3.1 million of proceeds from stock option exercises. In addition, the receipt, and disbursement, of $7.2 million and $4.2 million, respectively, related to utility rebates impacted Restricted Cash. Cash flows provided by financing activities were partially offset by $9.1 million cash used to fund the repurchase of vesting stock grants to support the payments of withholding taxes, $8.8 million in payments for contingent consideration, </w:t>
      </w:r>
      <w:r>
        <w:rPr>
          <w:rFonts w:ascii="Times New Roman;Times;serif" w:hAnsi="Times New Roman;Times;serif"/>
          <w:sz w:val="20"/>
          <w:shd w:fill="FFFFFF" w:val="clear"/>
        </w:rPr>
        <w:t xml:space="preserve">and $1.9 million cash used for principal payments on our Existing Term Loan Facility. </w:t>
      </w:r>
      <w:r>
        <w:rPr>
          <w:rFonts w:ascii="Times New Roman;Times;serif" w:hAnsi="Times New Roman;Times;serif"/>
          <w:sz w:val="20"/>
        </w:rPr>
        <w:t xml:space="preserve">For the nine months ended October 3, 2025, cash flows used in financing activities were primarily attributable to the $39.0 million cash used to pay down our Existing Revolving Credit Facility, $5.1 million cash used to fund the repurchase of vesting stock grants to support the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of withholding taxes, $1.1 million principal payments on finance leases combined with repayments and borrowings of $90.0 million and $88.4 million, respectively, related to our Existing Credit Agreement. Cash flows used in financing activities were partially offset by $3.2 million of proceeds from sales of common stock under the employee stock purchase plan, and $2.5 million in proceeds from stock option exercise.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Finally, we do not have any majority-owned subsidiaries or any interests in, or relationships with, any special-purpose entities that are not included in the consolidated financial statements. We have, however, an administrative services agreement with Genesys Engineering, P.C.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October 2, 2026:</w:t>
      </w:r>
    </w:p>
    <w:tbl>
      <w:tblPr>
        <w:tblW w:w="10146" w:type="dxa"/>
        <w:jc w:val="left"/>
        <w:tblInd w:w="0" w:type="dxa"/>
        <w:tblLayout w:type="fixed"/>
        <w:tblCellMar>
          <w:top w:w="0" w:type="dxa"/>
          <w:left w:w="0" w:type="dxa"/>
          <w:bottom w:w="0" w:type="dxa"/>
          <w:right w:w="0" w:type="dxa"/>
        </w:tblCellMar>
      </w:tblPr>
      <w:tblGrid>
        <w:gridCol w:w="3436"/>
        <w:gridCol w:w="346"/>
        <w:gridCol w:w="211"/>
        <w:gridCol w:w="676"/>
        <w:gridCol w:w="346"/>
        <w:gridCol w:w="214"/>
        <w:gridCol w:w="687"/>
        <w:gridCol w:w="346"/>
        <w:gridCol w:w="239"/>
        <w:gridCol w:w="766"/>
        <w:gridCol w:w="346"/>
        <w:gridCol w:w="239"/>
        <w:gridCol w:w="766"/>
        <w:gridCol w:w="346"/>
        <w:gridCol w:w="267"/>
        <w:gridCol w:w="724"/>
        <w:gridCol w:w="191"/>
      </w:tblGrid>
      <w:t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81860" cy="175260"/>
                      <wp:effectExtent l="0" t="0" r="0" b="0"/>
                      <wp:wrapNone/>
                      <wp:docPr id="296" name="Frame29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5890" cy="175260"/>
                      <wp:effectExtent l="0" t="0" r="0" b="0"/>
                      <wp:wrapNone/>
                      <wp:docPr id="301" name="Frame30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6245" cy="175260"/>
                      <wp:effectExtent l="0" t="0" r="0" b="0"/>
                      <wp:wrapNone/>
                      <wp:docPr id="302" name="Frame30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51765" cy="175260"/>
                      <wp:effectExtent l="0" t="0" r="0" b="0"/>
                      <wp:wrapNone/>
                      <wp:docPr id="304" name="Frame30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86410" cy="175260"/>
                      <wp:effectExtent l="0" t="0" r="0" b="0"/>
                      <wp:wrapNone/>
                      <wp:docPr id="305" name="Frame30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51765" cy="175260"/>
                      <wp:effectExtent l="0" t="0" r="0" b="0"/>
                      <wp:wrapNone/>
                      <wp:docPr id="307" name="Frame30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86410" cy="175260"/>
                      <wp:effectExtent l="0" t="0" r="0" b="0"/>
                      <wp:wrapNone/>
                      <wp:docPr id="308" name="Frame30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9545" cy="175260"/>
                      <wp:effectExtent l="0" t="0" r="0" b="0"/>
                      <wp:wrapNone/>
                      <wp:docPr id="310" name="Frame31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59740" cy="175260"/>
                      <wp:effectExtent l="0" t="0" r="0" b="0"/>
                      <wp:wrapNone/>
                      <wp:docPr id="311" name="Frame31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1285" cy="175260"/>
                      <wp:effectExtent l="0" t="0" r="0" b="0"/>
                      <wp:wrapNone/>
                      <wp:docPr id="312" name="Frame3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211"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46" w:type="dxa"/>
            <w:tcBorders/>
            <w:vAlign w:val="center"/>
          </w:tcPr>
          <w:p>
            <w:pPr>
              <w:pStyle w:val="TableContents"/>
              <w:bidi w:val="0"/>
              <w:spacing w:before="0" w:after="0"/>
              <w:ind w:left="0" w:right="0" w:hanging="0"/>
              <w:jc w:val="center"/>
            </w:pPr>
            <w:r>
              <w:t>  ​ ​ ​</w:t>
            </w:r>
          </w:p>
        </w:tc>
        <w:tc>
          <w:tcPr>
            <w:tcW w:w="239" w:type="dxa"/>
            <w:tcBorders/>
            <w:vAlign w:val="center"/>
          </w:tcPr>
          <w:p>
            <w:pPr>
              <w:pStyle w:val="TableContents"/>
              <w:bidi w:val="0"/>
              <w:spacing w:before="0" w:after="0"/>
              <w:ind w:left="0" w:right="0" w:hanging="0"/>
              <w:jc w:val="center"/>
            </w:pPr>
            <w:r>
              <w:t>​</w:t>
            </w:r>
          </w:p>
        </w:tc>
        <w:tc>
          <w:tcPr>
            <w:tcW w:w="76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239" w:type="dxa"/>
            <w:tcBorders/>
            <w:vAlign w:val="center"/>
          </w:tcPr>
          <w:p>
            <w:pPr>
              <w:pStyle w:val="TableContents"/>
              <w:bidi w:val="0"/>
              <w:spacing w:before="0" w:after="0"/>
              <w:ind w:left="0" w:right="0" w:hanging="0"/>
              <w:jc w:val="center"/>
            </w:pPr>
            <w:r>
              <w:t>​</w:t>
            </w:r>
          </w:p>
        </w:tc>
        <w:tc>
          <w:tcPr>
            <w:tcW w:w="76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pPr>
            <w:r>
              <w:t> </w:t>
            </w:r>
          </w:p>
        </w:tc>
      </w:tr>
      <w:t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46" w:type="dxa"/>
            <w:tcBorders/>
            <w:vAlign w:val="center"/>
          </w:tcPr>
          <w:p>
            <w:pPr>
              <w:pStyle w:val="TableContents"/>
              <w:bidi w:val="0"/>
              <w:spacing w:before="0" w:after="0"/>
              <w:ind w:left="0" w:right="0" w:hanging="0"/>
              <w:jc w:val="center"/>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pPr>
            <w:r>
              <w:t> </w:t>
            </w:r>
          </w:p>
        </w:tc>
      </w:tr>
      <w:tr>
        <w:tc>
          <w:tcPr>
            <w:tcW w:w="34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6173"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pPr>
            <w:r>
              <w:t>​</w:t>
            </w:r>
          </w:p>
        </w:tc>
      </w:tr>
      <w:t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61,637</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54,269</w:t>
            </w:r>
          </w:p>
        </w:tc>
        <w:tc>
          <w:tcPr>
            <w:tcW w:w="346" w:type="dxa"/>
            <w:tcBorders/>
            <w:shd w:fill="CCEEFF" w:val="clear"/>
            <w:vAlign w:val="center"/>
          </w:tcPr>
          <w:p>
            <w:pPr>
              <w:pStyle w:val="TableContents"/>
              <w:bidi w:val="0"/>
              <w:spacing w:before="0" w:after="0"/>
              <w:ind w:left="0" w:right="0" w:hanging="0"/>
              <w:jc w:val="left"/>
            </w:pPr>
            <w: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pPr>
            <w:r>
              <w:t>—</w:t>
            </w:r>
          </w:p>
        </w:tc>
        <w:tc>
          <w:tcPr>
            <w:tcW w:w="191" w:type="dxa"/>
            <w:tcBorders/>
            <w:shd w:fill="CCEEFF" w:val="clear"/>
            <w:vAlign w:val="center"/>
          </w:tcPr>
          <w:p>
            <w:pPr>
              <w:pStyle w:val="TableContents"/>
              <w:bidi w:val="0"/>
              <w:spacing w:before="0" w:after="0"/>
              <w:ind w:left="0" w:right="0" w:hanging="0"/>
              <w:jc w:val="left"/>
            </w:pPr>
            <w:r>
              <w:t>​</w:t>
            </w:r>
          </w:p>
        </w:tc>
      </w:tr>
      <w:t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left"/>
            </w:pPr>
            <w: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6,360</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vAlign w:val="center"/>
          </w:tcPr>
          <w:p>
            <w:pPr>
              <w:pStyle w:val="TableContents"/>
              <w:bidi w:val="0"/>
              <w:spacing w:before="0" w:after="0"/>
              <w:ind w:left="0" w:right="0" w:hanging="0"/>
              <w:jc w:val="left"/>
            </w:pPr>
            <w:r>
              <w:t>​</w:t>
            </w:r>
          </w:p>
        </w:tc>
        <w:tc>
          <w:tcPr>
            <w:tcW w:w="267" w:type="dxa"/>
            <w:tcBorders/>
            <w:vAlign w:val="center"/>
          </w:tcPr>
          <w:p>
            <w:pPr>
              <w:pStyle w:val="TableContents"/>
              <w:bidi w:val="0"/>
              <w:spacing w:before="0" w:after="0"/>
              <w:ind w:left="0" w:right="0" w:hanging="0"/>
              <w:jc w:val="left"/>
            </w:pPr>
            <w:r>
              <w:t>​</w:t>
            </w:r>
          </w:p>
        </w:tc>
        <w:tc>
          <w:tcPr>
            <w:tcW w:w="724" w:type="dxa"/>
            <w:tcBorders/>
            <w:vAlign w:val="center"/>
          </w:tcPr>
          <w:p>
            <w:pPr>
              <w:pStyle w:val="TableContents"/>
              <w:bidi w:val="0"/>
              <w:spacing w:before="0" w:after="0"/>
              <w:ind w:left="0" w:right="0" w:hanging="0"/>
              <w:jc w:val="right"/>
            </w:pPr>
            <w:r>
              <w:t>—</w:t>
            </w:r>
          </w:p>
        </w:tc>
        <w:tc>
          <w:tcPr>
            <w:tcW w:w="191" w:type="dxa"/>
            <w:tcBorders/>
            <w:vAlign w:val="center"/>
          </w:tcPr>
          <w:p>
            <w:pPr>
              <w:pStyle w:val="TableContents"/>
              <w:bidi w:val="0"/>
              <w:spacing w:before="0" w:after="0"/>
              <w:ind w:left="0" w:right="0" w:hanging="0"/>
              <w:jc w:val="left"/>
            </w:pPr>
            <w:r>
              <w:t>​</w:t>
            </w:r>
          </w:p>
        </w:tc>
      </w:tr>
      <w:t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18,686</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4,768</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right"/>
            </w:pPr>
            <w: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c>
          <w:tcPr>
            <w:tcW w:w="346" w:type="dxa"/>
            <w:tcBorders/>
            <w:shd w:fill="CCEEFF" w:val="clear"/>
            <w:vAlign w:val="center"/>
          </w:tcPr>
          <w:p>
            <w:pPr>
              <w:pStyle w:val="TableContents"/>
              <w:bidi w:val="0"/>
              <w:spacing w:before="0" w:after="0"/>
              <w:ind w:left="0" w:right="0" w:hanging="0"/>
              <w:jc w:val="left"/>
            </w:pPr>
            <w:r>
              <w:t>​</w:t>
            </w:r>
          </w:p>
        </w:tc>
        <w:tc>
          <w:tcPr>
            <w:tcW w:w="267" w:type="dxa"/>
            <w:tcBorders/>
            <w:shd w:fill="CCEEFF" w:val="clear"/>
            <w:vAlign w:val="center"/>
          </w:tcPr>
          <w:p>
            <w:pPr>
              <w:pStyle w:val="TableContents"/>
              <w:bidi w:val="0"/>
              <w:spacing w:before="0" w:after="0"/>
              <w:ind w:left="0" w:right="0" w:hanging="0"/>
              <w:jc w:val="right"/>
            </w:pPr>
            <w: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w:t>
            </w:r>
          </w:p>
        </w:tc>
        <w:tc>
          <w:tcPr>
            <w:tcW w:w="191" w:type="dxa"/>
            <w:tcBorders/>
            <w:shd w:fill="CCEEFF" w:val="clear"/>
            <w:vAlign w:val="center"/>
          </w:tcPr>
          <w:p>
            <w:pPr>
              <w:pStyle w:val="TableContents"/>
              <w:bidi w:val="0"/>
              <w:spacing w:before="0" w:after="0"/>
              <w:ind w:left="0" w:right="0" w:hanging="0"/>
              <w:jc w:val="left"/>
            </w:pPr>
            <w:r>
              <w:t>​</w:t>
            </w:r>
          </w:p>
        </w:tc>
      </w:tr>
      <w:t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pPr>
            <w: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pPr>
            <w:r>
              <w:t>​</w:t>
            </w:r>
          </w:p>
        </w:tc>
      </w:tr>
      <w:t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94,296</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11,721</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58,926</w:t>
            </w:r>
          </w:p>
        </w:tc>
        <w:tc>
          <w:tcPr>
            <w:tcW w:w="346" w:type="dxa"/>
            <w:tcBorders/>
            <w:shd w:fill="CCEEFF" w:val="clear"/>
            <w:vAlign w:val="center"/>
          </w:tcPr>
          <w:p>
            <w:pPr>
              <w:pStyle w:val="TableContents"/>
              <w:bidi w:val="0"/>
              <w:spacing w:before="0" w:after="0"/>
              <w:ind w:left="0" w:right="0" w:hanging="0"/>
              <w:jc w:val="left"/>
            </w:pPr>
            <w: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w:t>
            </w:r>
          </w:p>
        </w:tc>
        <w:tc>
          <w:tcPr>
            <w:tcW w:w="191" w:type="dxa"/>
            <w:tcBorders/>
            <w:shd w:fill="CCEEFF" w:val="clear"/>
            <w:vAlign w:val="center"/>
          </w:tcPr>
          <w:p>
            <w:pPr>
              <w:pStyle w:val="TableContents"/>
              <w:bidi w:val="0"/>
              <w:spacing w:before="0" w:after="0"/>
              <w:ind w:left="0" w:right="0" w:hanging="0"/>
              <w:jc w:val="left"/>
            </w:pPr>
            <w:r>
              <w:t>​</w:t>
            </w:r>
          </w:p>
        </w:tc>
      </w:tr>
    </w:tbl>
    <w:tbl>
      <w:tblPr>
        <w:tblW w:w="10205" w:type="dxa"/>
        <w:jc w:val="left"/>
        <w:tblInd w:w="0" w:type="dxa"/>
        <w:tblLayout w:type="fixed"/>
        <w:tblCellMar>
          <w:top w:w="0" w:type="dxa"/>
          <w:left w:w="0" w:type="dxa"/>
          <w:bottom w:w="0" w:type="dxa"/>
          <w:right w:w="0" w:type="dxa"/>
        </w:tblCellMar>
      </w:tblPr>
      <w:tblGrid>
        <w:gridCol w:w="252"/>
        <w:gridCol w:w="9953"/>
      </w:tblGrid>
      <w:tr>
        <w:tc>
          <w:tcPr>
            <w:tcW w:w="25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3"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8"/>
                <w:shd w:fill="FFFFFF" w:val="clear"/>
              </w:rPr>
              <w:t xml:space="preserve">Debt includes $46.6 million outstanding on our Existing Term Loan Facility, net of issuance costs, </w:t>
            </w:r>
            <w:r>
              <w:rPr>
                <w:rFonts w:ascii="Times New Roman;Times;serif" w:hAnsi="Times New Roman;Times;serif"/>
                <w:b w:val="false"/>
                <w:i w:val="false"/>
                <w:caps w:val="false"/>
                <w:smallCaps w:val="false"/>
                <w:sz w:val="18"/>
              </w:rPr>
              <w:t>$15.0 million outstanding on our Existing Revolving Credit Facility</w:t>
            </w:r>
            <w:r>
              <w:rPr>
                <w:rFonts w:ascii="Times New Roman;Times;serif" w:hAnsi="Times New Roman;Times;serif"/>
                <w:b w:val="false"/>
                <w:i w:val="false"/>
                <w:caps w:val="false"/>
                <w:smallCaps w:val="false"/>
                <w:sz w:val="18"/>
                <w:shd w:fill="FFFFFF" w:val="clear"/>
              </w:rPr>
              <w:t xml:space="preserve">, and no borrowed amounts outstanding on our Existing Delayed Draw Term Loan Facility as of October 2, 2026. </w:t>
            </w:r>
            <w:r>
              <w:rPr>
                <w:rFonts w:ascii="Times New Roman;Times;serif" w:hAnsi="Times New Roman;Times;serif"/>
                <w:b w:val="false"/>
                <w:i w:val="false"/>
                <w:caps w:val="false"/>
                <w:smallCaps w:val="false"/>
                <w:sz w:val="18"/>
              </w:rPr>
              <w:t>We have assumed no future borrowings or repayments after October 2, 2026 (other than at maturity) for purposes of this table. Our Existing Term Loan Facility and Existing and Revolving Credit Facility are scheduled to mature on May 5, 2030.</w:t>
            </w:r>
          </w:p>
        </w:tc>
      </w:tr>
    </w:tbl>
    <w:tbl>
      <w:tblPr>
        <w:tblW w:w="10205" w:type="dxa"/>
        <w:jc w:val="left"/>
        <w:tblInd w:w="0" w:type="dxa"/>
        <w:tblLayout w:type="fixed"/>
        <w:tblCellMar>
          <w:top w:w="0" w:type="dxa"/>
          <w:left w:w="0" w:type="dxa"/>
          <w:bottom w:w="0" w:type="dxa"/>
          <w:right w:w="0" w:type="dxa"/>
        </w:tblCellMar>
      </w:tblPr>
      <w:tblGrid>
        <w:gridCol w:w="265"/>
        <w:gridCol w:w="9940"/>
      </w:tblGrid>
      <w:tr>
        <w:tc>
          <w:tcPr>
            <w:tcW w:w="26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Existing Term Loan Facility and Existing Revolving Credit Facility bear interest at a variable rate. Future interest payments on our Existing Credit Facilities are estimated using floating rates in effect as of October 2, 2026.</w:t>
            </w:r>
          </w:p>
        </w:tc>
      </w:tr>
    </w:tbl>
    <w:p>
      <w:pPr>
        <w:pStyle w:val="TextBody"/>
        <w:bidi w:val="0"/>
        <w:spacing w:before="0" w:after="0"/>
        <w:ind w:left="36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contingent obligations to make earnout payments in connection with our acquisitions of </w:t>
      </w:r>
      <w:r>
        <w:rPr>
          <w:rFonts w:ascii="Times New Roman;Times;serif" w:hAnsi="Times New Roman;Times;serif"/>
          <w:sz w:val="20"/>
          <w:shd w:fill="FFFFFF" w:val="clear"/>
        </w:rPr>
        <w:t>Enica Engineering, PLLC. (“Enica”), Alternative Power Generation, Inc. (“APG”),</w:t>
      </w:r>
      <w:r>
        <w:rPr>
          <w:rFonts w:ascii="Times New Roman;Times;serif" w:hAnsi="Times New Roman;Times;serif"/>
          <w:sz w:val="20"/>
        </w:rPr>
        <w:t xml:space="preserve"> </w:t>
      </w:r>
      <w:r>
        <w:rPr>
          <w:rFonts w:ascii="Times New Roman;Times;serif" w:hAnsi="Times New Roman;Times;serif"/>
          <w:sz w:val="20"/>
          <w:shd w:fill="FFFFFF" w:val="clear"/>
        </w:rPr>
        <w:t xml:space="preserve">Compass, Burton, and KCS Corporation (“KCS”), </w:t>
      </w:r>
      <w:r>
        <w:rPr>
          <w:rFonts w:ascii="Times New Roman;Times;serif" w:hAnsi="Times New Roman;Times;serif"/>
          <w:sz w:val="20"/>
        </w:rPr>
        <w:t xml:space="preserve">subject to their future financial performance.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October 2, 2026, we are contingently obligated to pay up to $3.0 million in cash if Enica exceeds certain financial targets during the second year after the Enica closing date of October 23, 2024, contingently obligated to pay up to $12.0 million if APG exceeds certain financial targets during the second and third year after the APG closing date of March 3, 2025, contingently obligated to pay up to $1.0 million in cash if Compass exceeds certain financial targets during the first year after the Compass closing date of January 2, 2026, contingently obligated to pay up to $12.0 million in cash if Burton exceeds certain financial targets during the first and second year after the Burton closing date of May 4, 2026, and contingently obligated to pay up to $1.5 million in cash if KCS exceeds certain financial targets during the first and second year after the KCS closing date of August 17,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October 2, 2026, we had contingent consideration payable of $25.9 million related to the acquisitions of Enica, APG, Compass, Burton, and KCS. Through the nine months ended October 2, 2026, our statement of operations includes $2.4 million of interest accretion (excluding fair value adjustments) related to the contingent consideration.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and Note 14 “</w:t>
      </w:r>
      <w:r>
        <w:rPr>
          <w:rFonts w:ascii="Times New Roman;Times;serif" w:hAnsi="Times New Roman;Times;serif"/>
          <w:i/>
          <w:sz w:val="20"/>
        </w:rPr>
        <w:t>Subsequent Events</w:t>
      </w:r>
      <w:r>
        <w:rPr>
          <w:rFonts w:ascii="Times New Roman;Times;serif" w:hAnsi="Times New Roman;Times;serif"/>
          <w:sz w:val="20"/>
        </w:rPr>
        <w:t>”, of the Notes to Condensed Consolidated Financial Statements included in this Quarterly Report on Form 10-Q, and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our Annual Report on Form 10-K for the fiscal year ended January 2, 2026, for information regarding our indebtedness, including information about new borrowings and repayments, principal repayment terms, interest rates, covenants, and other key terms of our outstanding indebtedness.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hedging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 We currently do not have any interest rate hedges in place.</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pPr>
      <w: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Certain Federal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Federal policies related to tariffs and renewable energy incentives have been subject to frequent and significant changes from executive orders issued by the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October 2, 2026, 18% of our contracts are time-and-materials contracts, 33% are unit-based contracts, and 49% are fixed price contracts, compared to 18% are time-and-materials contracts, 36% are unit-based contracts, and 46% are fixed price contracts, as of October 3,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January 2, 2026. Please refer to Part II, Item 7 of our Annual Report on Form 10-K for the fiscal year ended January 2, 2026 for a discussion of our critical accounting policies and estimates.</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25" w:name="ITEM7AQUANTITATIVEANDQUALITATIVE_562372"/>
      <w:bookmarkStart w:id="1726" w:name="_8d21c826_6f2c_4219_8235_d0c73f5f9f96"/>
      <w:bookmarkEnd w:id="1725"/>
      <w:bookmarkEnd w:id="172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October 2, 2026, we had cash and cash equivalents of $42.2 million, including restricted cash. This amount represents cash on hand in business checking accounts with our banks.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Existing Term Loan Facility and borrowings, if any, under our Existing Revolving Credit Facility, each of which bears interest at variable rates. As of October 2, 2026, the Company had a fully drawn $50.0 million Existing Term Loan Facility with $46.9 million outstanding, a $100.0 million Existing Revolving Credit Facility with $15.0 million outstanding, and $1.6 million in letters of credit issued, and a $50.0 million Existing Delayed Draw Term Loan Facility with no borrowed amounts. Each of our Existing Credit Facilities matures on May 5, 2030 and is governed by our Credit Agreement. For information regarding our borrowings under the New Term Loan Facility and the Existing Revolving Credit Facility on October 30, 2026, see Part I, Item 1, Note 14, “Subsequent Events”, of the Notes to Condensed Consolidated Financial Statements included in this Quarterly Report on Form 10-Q.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October 2, 2026, a one percentage point increase in the effective interest rate would change our annual interest expense by approximately $0.6 million in fiscal year 2026. </w:t>
      </w:r>
    </w:p>
    <w:p>
      <w:pPr>
        <w:pStyle w:val="TextBody"/>
        <w:bidi w:val="0"/>
        <w:spacing w:before="100" w:after="100"/>
        <w:ind w:left="0" w:right="0" w:firstLine="720"/>
        <w:jc w:val="left"/>
      </w:pPr>
      <w:r>
        <w:t>​</w:t>
      </w:r>
    </w:p>
    <w:p>
      <w:pPr>
        <w:pStyle w:val="TextBody"/>
        <w:bidi w:val="0"/>
        <w:spacing w:before="28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727" w:name="Item4ControlsandProcedures_72182"/>
      <w:bookmarkStart w:id="1728" w:name="_d4934631_5903_4396_bf46_35370736ab9c"/>
      <w:bookmarkEnd w:id="1727"/>
      <w:bookmarkEnd w:id="1728"/>
      <w:r>
        <w:rPr>
          <w:rFonts w:ascii="Times New Roman;Times;serif" w:hAnsi="Times New Roman;Times;serif"/>
          <w:b/>
          <w:sz w:val="20"/>
        </w:rPr>
        <w:t>ITEM 4.  Controls and Procedures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w:t>
      </w:r>
      <w:r>
        <w:rPr>
          <w:rFonts w:ascii="Times New Roman;Times;serif" w:hAnsi="Times New Roman;Times;serif"/>
          <w:sz w:val="20"/>
          <w:shd w:fill="FFFFFF" w:val="clear"/>
        </w:rPr>
        <w:t>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principal executive officer and principal financial officer, of the effectiveness of our disclosure controls and procedures as of October 2, 2026. Based on that evaluation, our principal executive officer and principal financial officer concluded that our disclosure controls and procedures were effective, at a reasonable assurance level, as of October 2, 2026. </w:t>
      </w:r>
    </w:p>
    <w:p>
      <w:pPr>
        <w:pStyle w:val="TextBody"/>
        <w:bidi w:val="0"/>
        <w:spacing w:before="0" w:after="0"/>
        <w:ind w:left="0" w:right="0" w:firstLine="720"/>
        <w:jc w:val="left"/>
      </w:pPr>
      <w: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January 2, 2026, May 4, 2026 and August 17, 2026, we completed the acquisition of Compass, Burton, and KCS, respectively.</w:t>
      </w:r>
      <w:r>
        <w:rPr>
          <w:rFonts w:ascii="Times New Roman;Times;serif" w:hAnsi="Times New Roman;Times;serif"/>
          <w:sz w:val="20"/>
          <w:shd w:fill="FFFFFF" w:val="clear"/>
        </w:rPr>
        <w:t xml:space="preserve"> </w:t>
      </w:r>
      <w:r>
        <w:rPr>
          <w:rFonts w:ascii="Times New Roman;Times;serif" w:hAnsi="Times New Roman;Times;serif"/>
          <w:sz w:val="20"/>
        </w:rPr>
        <w:t>Prior to the acquisition, Compass, Burton, and KCS were privately-held companies and were not subject to the Sarbanes-Oxley Act of 2002, the rules and regulations of the SEC, or other corporate governance requirements applicable to public reporting companies. As part of our ongoing integration activities, we are continuing to incorporate our controls and procedures into Compass, Burton, and KCS, and, if needed, to augment our company-wide controls to reflect the risks that may be inherent in the acquisition of these privately-held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our integration of Compass, Burton and KCS, there have been no changes in our internal control over financial reporting during the quarter ended October 2, 2026, that have materially affected, or are reasonably likely to materially affect, our internal control over financial reporting.</w:t>
      </w:r>
    </w:p>
    <w:p>
      <w:pPr>
        <w:pStyle w:val="TextBody"/>
        <w:bidi w:val="0"/>
        <w:spacing w:before="0" w:after="180"/>
        <w:ind w:left="0" w:right="0" w:hanging="0"/>
        <w:jc w:val="left"/>
      </w:pPr>
      <w:r>
        <w:t>​</w:t>
      </w:r>
    </w:p>
    <w:p>
      <w:pPr>
        <w:pStyle w:val="TextBody"/>
        <w:bidi w:val="0"/>
        <w:spacing w:before="0" w:after="0"/>
        <w:ind w:left="0" w:right="0" w:firstLine="720"/>
        <w:jc w:val="left"/>
      </w:pPr>
      <w:r>
        <w:t>​</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29" w:name="PARTIIOTHERINFORMATION_167293"/>
      <w:bookmarkStart w:id="1730" w:name="_c23d5492_21c1_4960_b00d_5958af5f3333"/>
      <w:bookmarkEnd w:id="1729"/>
      <w:bookmarkEnd w:id="1730"/>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31" w:name="ITEM3LEGALPROCEEDINGS_429119"/>
      <w:bookmarkEnd w:id="1731"/>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bookmarkStart w:id="1732" w:name="_1958f762_d3a4_4513_853c_07621439143c"/>
      <w:bookmarkStart w:id="1733" w:name="ITEM1ARiskFactors"/>
      <w:bookmarkEnd w:id="1732"/>
      <w:bookmarkEnd w:id="1733"/>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January 2, 2026.</w:t>
      </w:r>
    </w:p>
    <w:p>
      <w:pPr>
        <w:pStyle w:val="TextBody"/>
        <w:bidi w:val="0"/>
        <w:spacing w:before="0" w:after="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bookmarkStart w:id="1734" w:name="Item_2"/>
      <w:bookmarkStart w:id="1735" w:name="_877910e2_39a5_43c4_8d56_a127e792ea7f"/>
      <w:bookmarkEnd w:id="1734"/>
      <w:bookmarkEnd w:id="1735"/>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fiscal quarter ended October 2, 2026,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1934"/>
        <w:gridCol w:w="1295"/>
        <w:gridCol w:w="1101"/>
        <w:gridCol w:w="4151"/>
        <w:gridCol w:w="1724"/>
      </w:tblGrid>
      <w:tr>
        <w:tc>
          <w:tcPr>
            <w:tcW w:w="1934"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before="0" w:after="283"/>
              <w:ind w:left="0" w:right="0" w:hanging="0"/>
              <w:jc w:val="left"/>
              <w:rPr>
                <w:sz w:val="4"/>
                <w:szCs w:val="4"/>
              </w:rPr>
            </w:pPr>
            <w:r>
              <w:rPr>
                <w:sz w:val="4"/>
                <w:szCs w:val="4"/>
              </w:rPr>
            </w:r>
          </w:p>
        </w:tc>
        <w:tc>
          <w:tcPr>
            <w:tcW w:w="1101" w:type="dxa"/>
            <w:tcBorders/>
            <w:vAlign w:val="center"/>
          </w:tcPr>
          <w:p>
            <w:pPr>
              <w:pStyle w:val="TableContents"/>
              <w:bidi w:val="0"/>
              <w:spacing w:before="0" w:after="0"/>
              <w:ind w:left="0" w:right="0" w:hanging="0"/>
              <w:jc w:val="left"/>
            </w:pPr>
            <w:r>
              <w:t>​</w:t>
            </w:r>
          </w:p>
        </w:tc>
        <w:tc>
          <w:tcPr>
            <w:tcW w:w="4151" w:type="dxa"/>
            <w:tcBorders/>
            <w:vAlign w:val="center"/>
          </w:tcPr>
          <w:p>
            <w:pPr>
              <w:pStyle w:val="TableContents"/>
              <w:bidi w:val="0"/>
              <w:spacing w:before="0" w:after="0"/>
              <w:ind w:left="0" w:right="0" w:hanging="0"/>
              <w:jc w:val="left"/>
            </w:pPr>
            <w:r>
              <w:t>​</w:t>
            </w:r>
          </w:p>
        </w:tc>
        <w:tc>
          <w:tcPr>
            <w:tcW w:w="1724" w:type="dxa"/>
            <w:tcBorders/>
            <w:vAlign w:val="center"/>
          </w:tcPr>
          <w:p>
            <w:pPr>
              <w:pStyle w:val="TableContents"/>
              <w:bidi w:val="0"/>
              <w:spacing w:before="0" w:after="283"/>
              <w:ind w:left="0" w:right="0" w:hanging="0"/>
              <w:jc w:val="left"/>
              <w:rPr>
                <w:sz w:val="4"/>
                <w:szCs w:val="4"/>
              </w:rPr>
            </w:pPr>
            <w:r>
              <w:rPr>
                <w:sz w:val="4"/>
                <w:szCs w:val="4"/>
              </w:rPr>
            </w:r>
          </w:p>
        </w:tc>
      </w:tr>
      <w:tr>
        <w:tc>
          <w:tcPr>
            <w:tcW w:w="19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1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41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c>
          <w:tcPr>
            <w:tcW w:w="1934"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4, 2026 – July 31, 2026</w:t>
            </w:r>
          </w:p>
        </w:tc>
        <w:tc>
          <w:tcPr>
            <w:tcW w:w="129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pPr>
            <w:r>
              <w:t>—</w:t>
            </w:r>
          </w:p>
        </w:tc>
        <w:tc>
          <w:tcPr>
            <w:tcW w:w="110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pPr>
            <w:r>
              <w:t>—</w:t>
            </w:r>
          </w:p>
        </w:tc>
        <w:tc>
          <w:tcPr>
            <w:tcW w:w="415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pPr>
            <w:r>
              <w:t>—</w:t>
            </w:r>
          </w:p>
        </w:tc>
        <w:tc>
          <w:tcPr>
            <w:tcW w:w="172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pPr>
            <w:r>
              <w:t>—</w:t>
            </w:r>
          </w:p>
        </w:tc>
      </w:tr>
      <w:tr>
        <w:tc>
          <w:tcPr>
            <w:tcW w:w="19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2026 – August 28, 2026</w:t>
            </w:r>
          </w:p>
        </w:tc>
        <w:tc>
          <w:tcPr>
            <w:tcW w:w="129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1,093</w:t>
            </w:r>
          </w:p>
        </w:tc>
        <w:tc>
          <w:tcPr>
            <w:tcW w:w="110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$74.13</w:t>
            </w:r>
          </w:p>
        </w:tc>
        <w:tc>
          <w:tcPr>
            <w:tcW w:w="415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pPr>
            <w:r>
              <w:t>—</w:t>
            </w:r>
          </w:p>
        </w:tc>
        <w:tc>
          <w:tcPr>
            <w:tcW w:w="172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pPr>
            <w:r>
              <w:t>—</w:t>
            </w:r>
          </w:p>
        </w:tc>
      </w:tr>
      <w:tr>
        <w:tc>
          <w:tcPr>
            <w:tcW w:w="1934"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29, 2026 – October 2, 2026</w:t>
            </w:r>
          </w:p>
        </w:tc>
        <w:tc>
          <w:tcPr>
            <w:tcW w:w="1295"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10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pPr>
            <w:r>
              <w:t>—</w:t>
            </w:r>
          </w:p>
        </w:tc>
        <w:tc>
          <w:tcPr>
            <w:tcW w:w="415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724"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pPr>
            <w:r>
              <w:t>—</w:t>
            </w:r>
          </w:p>
        </w:tc>
      </w:tr>
      <w:tr>
        <w:tc>
          <w:tcPr>
            <w:tcW w:w="19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2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1,093</w:t>
            </w:r>
          </w:p>
        </w:tc>
        <w:tc>
          <w:tcPr>
            <w:tcW w:w="11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$74.13</w:t>
            </w:r>
          </w:p>
        </w:tc>
        <w:tc>
          <w:tcPr>
            <w:tcW w:w="41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6" w:name="ITEM3_Defaults"/>
      <w:bookmarkStart w:id="1737" w:name="_896c4d99_76f8_4e44_81cf_680e09f93a29"/>
      <w:bookmarkEnd w:id="1736"/>
      <w:bookmarkEnd w:id="1737"/>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bookmarkStart w:id="1738" w:name="ITEM4_MineSafety"/>
      <w:bookmarkStart w:id="1739" w:name="_1d3de4a7_f707_432f_9cd8_464ba715259c"/>
      <w:bookmarkEnd w:id="1738"/>
      <w:bookmarkEnd w:id="1739"/>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bookmarkStart w:id="1740" w:name="ITEM5_OtherInfo"/>
      <w:bookmarkStart w:id="1741" w:name="_2b5be7ac_a9fd_4132_84b9_58ec481b8587"/>
      <w:bookmarkEnd w:id="1740"/>
      <w:bookmarkEnd w:id="1741"/>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third quarter of 2026, none of our directors or executive officers adopted or terminated any “Rule 10b5-1 trading arrangement” or “non-Rule 10b5-1 trading arrangement” (as each term is defined in Item 408(a) of Regulation S-K).</w:t>
      </w:r>
    </w:p>
    <w:p>
      <w:pPr>
        <w:pStyle w:val="TextBody"/>
        <w:bidi w:val="0"/>
        <w:spacing w:before="0" w:after="12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42" w:name="ITEM15EXHIBITS_40412"/>
      <w:bookmarkStart w:id="1743" w:name="_be4b6176_973e_42ae_a3f0_9a7d58cd28b5"/>
      <w:bookmarkEnd w:id="1742"/>
      <w:bookmarkEnd w:id="1743"/>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70"/>
        <w:gridCol w:w="109"/>
        <w:gridCol w:w="9326"/>
      </w:tblGrid>
      <w:tr>
        <w:tc>
          <w:tcPr>
            <w:tcW w:w="77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44475" cy="29210"/>
                      <wp:effectExtent l="0" t="0" r="0" b="0"/>
                      <wp:wrapNone/>
                      <wp:docPr id="313" name="Frame313"/>
                      <a:graphic xmlns:a="http://schemas.openxmlformats.org/drawingml/2006/main">
                        <a:graphicData uri="http://schemas.microsoft.com/office/word/2010/wordprocessingShape">
                          <wps:wsp>
                            <wps:cNvSpPr txBox="1"/>
                            <wps:spPr>
                              <a:xfrm>
                                <a:off x="0" y="0"/>
                                <a:ext cx="244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pPr>
            <w:r>
              <w:t>​</w:t>
            </w:r>
          </w:p>
        </w:tc>
        <w:tc>
          <w:tcPr>
            <w:tcW w:w="9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961005" cy="29210"/>
                      <wp:effectExtent l="0" t="0" r="0" b="0"/>
                      <wp:wrapNone/>
                      <wp:docPr id="314" name="Frame314"/>
                      <a:graphic xmlns:a="http://schemas.openxmlformats.org/drawingml/2006/main">
                        <a:graphicData uri="http://schemas.microsoft.com/office/word/2010/wordprocessingShape">
                          <wps:wsp>
                            <wps:cNvSpPr txBox="1"/>
                            <wps:spPr>
                              <a:xfrm>
                                <a:off x="0" y="0"/>
                                <a:ext cx="2961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770"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0" w:after="0"/>
              <w:ind w:left="0" w:right="0" w:hanging="0"/>
              <w:jc w:val="center"/>
            </w:pPr>
            <w:r>
              <w:t>​</w:t>
            </w:r>
          </w:p>
        </w:tc>
        <w:tc>
          <w:tcPr>
            <w:tcW w:w="9326"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c>
          <w:tcPr>
            <w:tcW w:w="770"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2.1</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2">
              <w:r>
                <w:rPr>
                  <w:rStyle w:val="InternetLink"/>
                  <w:rFonts w:ascii="Times New Roman;Times;serif" w:hAnsi="Times New Roman;Times;serif"/>
                  <w:b w:val="false"/>
                  <w:i w:val="false"/>
                  <w:caps w:val="false"/>
                  <w:smallCaps w:val="false"/>
                  <w:sz w:val="20"/>
                </w:rPr>
                <w:t>Stock Purchase Agreement, dated as of March 3, 2025, by and among Willdan Group, Inc., Willdan Energy Solutions, Inc. and each of the stockholders of APG. (incorporated by reference to Exhibit 2.1 to Willdan Group, Inc.’s Quarterly Report on Form 10-Q, filed with the SEC on May 9, 2025).</w:t>
              </w:r>
            </w:hyperlink>
          </w:p>
        </w:tc>
      </w:tr>
      <w:tr>
        <w:tc>
          <w:tcPr>
            <w:tcW w:w="770"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2.2</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3">
              <w:r>
                <w:rPr>
                  <w:rStyle w:val="InternetLink"/>
                  <w:rFonts w:ascii="Times New Roman;Times;serif" w:hAnsi="Times New Roman;Times;serif"/>
                  <w:b w:val="false"/>
                  <w:i w:val="false"/>
                  <w:caps w:val="false"/>
                  <w:smallCaps w:val="false"/>
                  <w:sz w:val="20"/>
                </w:rPr>
                <w:t>Equity Purchase Agreement, dated as of May 4, 2026, by and among Willdan Group, Inc., Willdan Energy Solutions, Inc., and each of the shareholders of Burton Energy Group, LLC. (incorporated by reference to Exhibit 2.2 to Willdan Group, Inc.’s Quarterly Report on Form 10-Q, filed with the SEC on May 8, 2026).</w:t>
              </w:r>
            </w:hyperlink>
          </w:p>
        </w:tc>
      </w:tr>
      <w:tr>
        <w:tc>
          <w:tcPr>
            <w:tcW w:w="770"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2.3</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4">
              <w:r>
                <w:rPr>
                  <w:rStyle w:val="InternetLink"/>
                  <w:rFonts w:ascii="Times New Roman;Times;serif" w:hAnsi="Times New Roman;Times;serif"/>
                  <w:b w:val="false"/>
                  <w:i w:val="false"/>
                  <w:caps w:val="false"/>
                  <w:smallCaps w:val="false"/>
                  <w:sz w:val="20"/>
                </w:rPr>
                <w:t xml:space="preserve">Membership Interest Purchase Agreement, dated as of September 22, 2026, by and among </w:t>
              </w:r>
            </w:hyperlink>
            <w:hyperlink r:id="rId5">
              <w:r>
                <w:rPr>
                  <w:rStyle w:val="InternetLink"/>
                  <w:rFonts w:ascii="Times New Roman;Times;serif" w:hAnsi="Times New Roman;Times;serif"/>
                  <w:b w:val="false"/>
                  <w:i w:val="false"/>
                  <w:caps w:val="false"/>
                  <w:smallCaps w:val="false"/>
                  <w:sz w:val="20"/>
                  <w:shd w:fill="FFFFFF" w:val="clear"/>
                </w:rPr>
                <w:t>Mantis NewCo, LLC, Willdan Energy Solutions, Inc. and Willdan Group, Inc.</w:t>
              </w:r>
            </w:hyperlink>
            <w:hyperlink r:id="rId6">
              <w:r>
                <w:rPr>
                  <w:rStyle w:val="InternetLink"/>
                  <w:rFonts w:ascii="Times New Roman;Times;serif" w:hAnsi="Times New Roman;Times;serif"/>
                  <w:caps w:val="false"/>
                  <w:smallCaps w:val="false"/>
                  <w:sz w:val="20"/>
                </w:rPr>
                <w:t xml:space="preserve"> </w:t>
              </w:r>
            </w:hyperlink>
            <w:hyperlink r:id="rId7">
              <w:r>
                <w:rPr>
                  <w:rStyle w:val="InternetLink"/>
                  <w:rFonts w:ascii="Times New Roman;Times;serif" w:hAnsi="Times New Roman;Times;serif"/>
                  <w:b w:val="false"/>
                  <w:i w:val="false"/>
                  <w:caps w:val="false"/>
                  <w:smallCaps w:val="false"/>
                  <w:sz w:val="20"/>
                </w:rPr>
                <w:t>(incorporated by reference to Exhibit 2.1 to Willdan Group, Inc.’s Current Report on Form 8-K filed on September 23, 2026).</w:t>
              </w:r>
            </w:hyperlink>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w:t>
            </w:r>
          </w:p>
        </w:tc>
        <w:tc>
          <w:tcPr>
            <w:tcW w:w="109" w:type="dxa"/>
            <w:tcBorders/>
            <w:vAlign w:val="center"/>
          </w:tcPr>
          <w:p>
            <w:pPr>
              <w:pStyle w:val="TableContents"/>
              <w:bidi w:val="0"/>
              <w:spacing w:lineRule="auto" w:line="304" w:before="0" w:after="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8">
              <w:r>
                <w:rPr>
                  <w:rStyle w:val="InternetLink"/>
                  <w:rFonts w:ascii="Times New Roman;Times;serif" w:hAnsi="Times New Roman;Times;serif"/>
                  <w:b w:val="false"/>
                  <w:i w:val="false"/>
                  <w:caps w:val="false"/>
                  <w:smallCaps w:val="false"/>
                  <w:sz w:val="18"/>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9">
              <w:r>
                <w:rPr>
                  <w:rStyle w:val="InternetLink"/>
                  <w:rFonts w:ascii="Times New Roman;Times;serif" w:hAnsi="Times New Roman;Times;serif"/>
                  <w:b w:val="false"/>
                  <w:i w:val="false"/>
                  <w:caps w:val="false"/>
                  <w:smallCaps w:val="false"/>
                  <w:sz w:val="18"/>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18"/>
              </w:rPr>
              <w:t xml:space="preserve"> </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4.1</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10">
              <w:r>
                <w:rPr>
                  <w:rStyle w:val="InternetLink"/>
                  <w:rFonts w:ascii="Times New Roman;Times;serif" w:hAnsi="Times New Roman;Times;serif"/>
                  <w:b w:val="false"/>
                  <w:i w:val="false"/>
                  <w:caps w:val="false"/>
                  <w:smallCaps w:val="false"/>
                  <w:sz w:val="18"/>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4.2</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rPr>
            </w:pPr>
            <w:r>
              <w:rPr>
                <w:rFonts w:ascii="Times New Roman;Times;serif" w:hAnsi="Times New Roman;Times;serif"/>
                <w:sz w:val="19"/>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8"/>
              </w:rPr>
            </w:pPr>
            <w:r>
              <w:rPr>
                <w:rFonts w:ascii="Times New Roman;Times;serif" w:hAnsi="Times New Roman;Times;serif"/>
                <w:sz w:val="19"/>
              </w:rPr>
              <w:t>10.1</w:t>
            </w:r>
            <w:r>
              <w:rPr>
                <w:rFonts w:ascii="Times New Roman;Times;serif" w:hAnsi="Times New Roman;Times;serif"/>
                <w:sz w:val="18"/>
              </w:rPr>
              <w:t>†</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11">
              <w:r>
                <w:rPr>
                  <w:rStyle w:val="InternetLink"/>
                  <w:rFonts w:ascii="Times New Roman;Times;serif" w:hAnsi="Times New Roman;Times;serif"/>
                  <w:b w:val="false"/>
                  <w:i w:val="false"/>
                  <w:caps w:val="false"/>
                  <w:smallCaps w:val="false"/>
                  <w:sz w:val="18"/>
                </w:rPr>
                <w:t>Willdan Group, Inc. Amended and Restated 2008 Performance Incentive Plan. (incorporated by reference to Exhibit 10.1 to Willdan Group, Inc.’s Current Report on Form 8-K, filed with the SEC on June 18, 2026)</w:t>
              </w:r>
            </w:hyperlink>
            <w:r>
              <w:rPr>
                <w:rFonts w:ascii="Times New Roman;Times;serif" w:hAnsi="Times New Roman;Times;serif"/>
                <w:sz w:val="19"/>
              </w:rPr>
              <w: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10.2</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r:id="rId12">
              <w:r>
                <w:rPr>
                  <w:rStyle w:val="InternetLink"/>
                  <w:rFonts w:ascii="Times New Roman;Times;serif" w:hAnsi="Times New Roman;Times;serif"/>
                  <w:b w:val="false"/>
                  <w:i w:val="false"/>
                  <w:caps w:val="false"/>
                  <w:smallCaps w:val="false"/>
                  <w:sz w:val="20"/>
                </w:rPr>
                <w:t>Increase Request and Second Amendment to Amended and Restated Credit Agreement, dated October 30, 2026, among Willdan Group, Inc., its subsidiaries from time to time party thereto, the financial institutions from time to time party thereto as lenders, and BMO Bank N.A., as administrative agent. (incorporated by reference to Exhibit 10.1 to Willdan Group, Inc.’s Current Report on Form 8-K filed on November 5, 2026).</w:t>
              </w:r>
            </w:hyperlink>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shd w:fill="FFFFFF" w:val="clear"/>
              </w:rPr>
            </w:pPr>
            <w:r>
              <w:rPr>
                <w:rFonts w:ascii="Times New Roman;Times;serif" w:hAnsi="Times New Roman;Times;serif"/>
                <w:sz w:val="19"/>
                <w:shd w:fill="FFFFFF" w:val="clear"/>
              </w:rPr>
              <w:t>31.1*</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w:anchor="wldn-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31.2*</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w:anchor="wldn-ex31d2.htm">
              <w:r>
                <w:rPr>
                  <w:rStyle w:val="InternetLink"/>
                  <w:rFonts w:ascii="Times New Roman;Times;serif" w:hAnsi="Times New Roman;Times;serif"/>
                  <w:b w:val="false"/>
                  <w:i w:val="false"/>
                  <w:caps w:val="false"/>
                  <w:smallCaps w:val="false"/>
                  <w:sz w:val="18"/>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19"/>
              </w:rPr>
              <w: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32.1**</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pPr>
            <w:hyperlink w:anchor="wldn-ex32d1.htm">
              <w:r>
                <w:rPr>
                  <w:rStyle w:val="InternetLink"/>
                  <w:rFonts w:ascii="Times New Roman;Times;serif" w:hAnsi="Times New Roman;Times;serif"/>
                  <w:b w:val="false"/>
                  <w:i w:val="false"/>
                  <w:caps w:val="false"/>
                  <w:smallCaps w:val="false"/>
                  <w:sz w:val="18"/>
                </w:rPr>
                <w:t>Certifications of Chief Executive Officer and Chief Financial Officer pursuant to 18 U.S.C. 1350, as adopted pursuant to § 906 of the Sarbanes-Oxley Act of 2002</w:t>
              </w:r>
            </w:hyperlink>
            <w:r>
              <w:rPr>
                <w:rFonts w:ascii="Times New Roman;Times;serif" w:hAnsi="Times New Roman;Times;serif"/>
                <w:sz w:val="19"/>
              </w:rPr>
              <w: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Instance Document (the instance document does not appear in the Interactive Data File because its XBRL tags are embedded within the Inline XBRL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Schema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Calculation Linkbase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Definition Linkbase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Label Linkbase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Presentation Linkbase Document</w:t>
            </w:r>
          </w:p>
        </w:tc>
      </w:tr>
      <w:tr>
        <w:tc>
          <w:tcPr>
            <w:tcW w:w="770"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lineRule="auto" w:line="300" w:before="40" w:after="40"/>
              <w:ind w:left="0" w:right="0" w:hanging="0"/>
              <w:jc w:val="left"/>
            </w:pPr>
            <w:r>
              <w:t>​</w:t>
            </w:r>
          </w:p>
        </w:tc>
        <w:tc>
          <w:tcPr>
            <w:tcW w:w="9326"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877" w:type="dxa"/>
        <w:jc w:val="left"/>
        <w:tblInd w:w="0" w:type="dxa"/>
        <w:tblLayout w:type="fixed"/>
        <w:tblCellMar>
          <w:top w:w="0" w:type="dxa"/>
          <w:left w:w="0" w:type="dxa"/>
          <w:bottom w:w="0" w:type="dxa"/>
          <w:right w:w="0" w:type="dxa"/>
        </w:tblCellMar>
      </w:tblPr>
      <w:tblGrid>
        <w:gridCol w:w="301"/>
        <w:gridCol w:w="1576"/>
      </w:tblGrid>
      <w:t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c>
          <w:tcPr>
            <w:tcW w:w="241" w:type="dxa"/>
            <w:tcBorders/>
            <w:vAlign w:val="center"/>
          </w:tcPr>
          <w:p>
            <w:pPr>
              <w:pStyle w:val="TableContents"/>
              <w:bidi w:val="0"/>
              <w:spacing w:before="0" w:after="0"/>
              <w:jc w:val="left"/>
            </w:pPr>
            <w: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is the type of information the Company customarily treats as private or confidential.</w:t>
            </w:r>
          </w:p>
        </w:tc>
      </w:tr>
    </w:tbl>
    <w:tbl>
      <w:tblPr>
        <w:tblW w:w="6542" w:type="dxa"/>
        <w:jc w:val="left"/>
        <w:tblInd w:w="0" w:type="dxa"/>
        <w:tblLayout w:type="fixed"/>
        <w:tblCellMar>
          <w:top w:w="0" w:type="dxa"/>
          <w:left w:w="0" w:type="dxa"/>
          <w:bottom w:w="0" w:type="dxa"/>
          <w:right w:w="0" w:type="dxa"/>
        </w:tblCellMar>
      </w:tblPr>
      <w:tblGrid>
        <w:gridCol w:w="211"/>
        <w:gridCol w:w="6331"/>
      </w:tblGrid>
      <w:t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p>
      <w:pPr>
        <w:pStyle w:val="TextBody"/>
        <w:bidi w:val="0"/>
        <w:spacing w:before="0" w:after="0"/>
        <w:ind w:left="0" w:right="0" w:hanging="0"/>
        <w:jc w:val="left"/>
      </w:pPr>
      <w:r>
        <w:rPr>
          <w:caps w:val="false"/>
          <w:smallCaps w:val="false"/>
        </w:rPr>
        <w:t>†</w:t>
      </w:r>
      <w:r>
        <w:rPr>
          <w:rFonts w:ascii="Times New Roman;Times;serif" w:hAnsi="Times New Roman;Times;serif"/>
          <w:sz w:val="18"/>
        </w:rPr>
        <w:t>Indicates a management contract or compensating plan or arrangement.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744" w:name="SIGNATURES"/>
      <w:bookmarkStart w:id="1745" w:name="_d96aafdb_a1a9_4e0e_a79c_df3839f70398"/>
      <w:bookmarkEnd w:id="1744"/>
      <w:bookmarkEnd w:id="1745"/>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643"/>
        <w:gridCol w:w="632"/>
      </w:tblGrid>
      <w:tr>
        <w:tc>
          <w:tcPr>
            <w:tcW w:w="124" w:type="dxa"/>
            <w:tcBorders/>
            <w:vAlign w:val="center"/>
          </w:tcPr>
          <w:p>
            <w:pPr>
              <w:pStyle w:val="TableContents"/>
              <w:bidi w:val="0"/>
              <w:spacing w:before="0" w:after="120"/>
              <w:ind w:left="0" w:right="0" w:hanging="0"/>
              <w:jc w:val="left"/>
            </w:pPr>
            <w:r>
              <w:t>​</w:t>
            </w:r>
          </w:p>
        </w:tc>
        <w:tc>
          <w:tcPr>
            <w:tcW w:w="6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18305" cy="29210"/>
                      <wp:effectExtent l="0" t="0" r="0" b="0"/>
                      <wp:wrapNone/>
                      <wp:docPr id="315" name="Frame315"/>
                      <a:graphic xmlns:a="http://schemas.openxmlformats.org/drawingml/2006/main">
                        <a:graphicData uri="http://schemas.microsoft.com/office/word/2010/wordprocessingShape">
                          <wps:wsp>
                            <wps:cNvSpPr txBox="1"/>
                            <wps:spPr>
                              <a:xfrm>
                                <a:off x="0" y="0"/>
                                <a:ext cx="42183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01320" cy="175260"/>
                      <wp:effectExtent l="0" t="0" r="0" b="0"/>
                      <wp:wrapNone/>
                      <wp:docPr id="316" name="Frame316"/>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2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pPr>
                            <w:r>
                              <w:t>​</w:t>
                            </w:r>
                          </w:p>
                        </w:txbxContent>
                      </v:textbox>
                      <w10:wrap type="none"/>
                    </v:rect>
                  </w:pict>
                </mc:Fallback>
              </mc:AlternateConten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c>
          <w:tcPr>
            <w:tcW w:w="124" w:type="dxa"/>
            <w:tcBorders/>
            <w:vAlign w:val="center"/>
          </w:tcPr>
          <w:p>
            <w:pPr>
              <w:pStyle w:val="TableContents"/>
              <w:pBdr/>
              <w:bidi w:val="0"/>
              <w:spacing w:lineRule="auto" w:line="304" w:before="0" w:after="0"/>
              <w:ind w:left="0" w:right="0" w:hanging="0"/>
              <w:jc w:val="left"/>
            </w:pPr>
            <w: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c>
          <w:tcPr>
            <w:tcW w:w="124" w:type="dxa"/>
            <w:tcBorders/>
            <w:vAlign w:val="center"/>
          </w:tcPr>
          <w:p>
            <w:pPr>
              <w:pStyle w:val="TableContents"/>
              <w:pBdr/>
              <w:bidi w:val="0"/>
              <w:spacing w:lineRule="auto" w:line="304" w:before="0" w:after="0"/>
              <w:ind w:left="0" w:right="0" w:hanging="0"/>
              <w:jc w:val="left"/>
            </w:pPr>
            <w:r>
              <w:t>​</w:t>
            </w:r>
          </w:p>
        </w:tc>
        <w:tc>
          <w:tcPr>
            <w:tcW w:w="66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November 5, 2026</w:t>
            </w:r>
          </w:p>
        </w:tc>
        <w:tc>
          <w:tcPr>
            <w:tcW w:w="632" w:type="dxa"/>
            <w:tcBorders/>
            <w:vAlign w:val="center"/>
          </w:tcPr>
          <w:p>
            <w:pPr>
              <w:pStyle w:val="TableContents"/>
              <w:bidi w:val="0"/>
              <w:spacing w:lineRule="auto" w:line="304" w:before="0" w:after="0"/>
              <w:ind w:left="0" w:right="0" w:hanging="0"/>
              <w:jc w:val="center"/>
            </w:pPr>
            <w:r>
              <w:t>​</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240"/>
        <w:ind w:left="0" w:right="0" w:hanging="0"/>
        <w:jc w:val="right"/>
        <w:rPr>
          <w:rFonts w:ascii="Times New Roman;Times;serif" w:hAnsi="Times New Roman;Times;serif"/>
          <w:b/>
          <w:sz w:val="20"/>
        </w:rPr>
      </w:pPr>
      <w:bookmarkStart w:id="1746" w:name="wldn-ex31d1.htm"/>
      <w:bookmarkStart w:id="1747" w:name="kswldnex31d1"/>
      <w:bookmarkEnd w:id="1746"/>
      <w:bookmarkEnd w:id="1747"/>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November 5, 2026</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c>
          <w:tcPr>
            <w:tcW w:w="151" w:type="dxa"/>
            <w:tcBorders/>
            <w:vAlign w:val="center"/>
          </w:tcPr>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58670" cy="29210"/>
                      <wp:effectExtent l="0" t="0" r="0" b="0"/>
                      <wp:wrapNone/>
                      <wp:docPr id="317" name="Frame317"/>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151"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c>
          <w:tcPr>
            <w:tcW w:w="151"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c>
          <w:tcPr>
            <w:tcW w:w="151"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240"/>
        <w:ind w:left="0" w:right="0" w:hanging="0"/>
        <w:jc w:val="right"/>
        <w:rPr>
          <w:rFonts w:ascii="Times New Roman;Times;serif" w:hAnsi="Times New Roman;Times;serif"/>
          <w:b/>
          <w:sz w:val="20"/>
        </w:rPr>
      </w:pPr>
      <w:bookmarkStart w:id="1748" w:name="wldn-ex31d2.htm"/>
      <w:bookmarkStart w:id="1749" w:name="kswldnex31d2"/>
      <w:bookmarkEnd w:id="1748"/>
      <w:bookmarkEnd w:id="1749"/>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November 5, 2026</w:t>
      </w:r>
    </w:p>
    <w:tbl>
      <w:tblPr>
        <w:tblW w:w="5031" w:type="dxa"/>
        <w:jc w:val="left"/>
        <w:tblInd w:w="0" w:type="dxa"/>
        <w:tblLayout w:type="fixed"/>
        <w:tblCellMar>
          <w:top w:w="0" w:type="dxa"/>
          <w:left w:w="0" w:type="dxa"/>
          <w:bottom w:w="0" w:type="dxa"/>
          <w:right w:w="0" w:type="dxa"/>
        </w:tblCellMar>
      </w:tblPr>
      <w:tblGrid>
        <w:gridCol w:w="124"/>
        <w:gridCol w:w="406"/>
        <w:gridCol w:w="4501"/>
      </w:tblGrid>
      <w:tr>
        <w:tc>
          <w:tcPr>
            <w:tcW w:w="124"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c>
          <w:tcPr>
            <w:tcW w:w="124"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c>
          <w:tcPr>
            <w:tcW w:w="124"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c>
          <w:tcPr>
            <w:tcW w:w="124"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c>
          <w:tcPr>
            <w:tcW w:w="124"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240"/>
        <w:ind w:left="0" w:right="0" w:hanging="0"/>
        <w:jc w:val="right"/>
        <w:rPr>
          <w:rFonts w:ascii="Times New Roman;Times;serif" w:hAnsi="Times New Roman;Times;serif"/>
          <w:b/>
          <w:sz w:val="20"/>
        </w:rPr>
      </w:pPr>
      <w:bookmarkStart w:id="1750" w:name="wldn-ex32d1.htm"/>
      <w:bookmarkStart w:id="1751" w:name="kswldnex32d1"/>
      <w:bookmarkEnd w:id="1750"/>
      <w:bookmarkEnd w:id="1751"/>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October 2, 2026,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c>
          <w:tcPr>
            <w:tcW w:w="124" w:type="dxa"/>
            <w:tcBorders/>
            <w:vAlign w:val="center"/>
          </w:tcPr>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November 5, 2026</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c>
          <w:tcPr>
            <w:tcW w:w="124" w:type="dxa"/>
            <w:tcBorders/>
            <w:vAlign w:val="center"/>
          </w:tcPr>
          <w:p>
            <w:pPr>
              <w:pStyle w:val="TableContents"/>
              <w:pBdr/>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November 5, 2026</w:t>
            </w:r>
          </w:p>
        </w:tc>
      </w:tr>
    </w:tbl>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450/000155837025007025/wldn-20250404xex2d1.htm" TargetMode="External"/><Relationship Id="rId3" Type="http://schemas.openxmlformats.org/officeDocument/2006/relationships/hyperlink" Target="https://www.sec.gov/Archives/edgar/data/1370450/000110465926057350/wldn-20260403xex2d2.htm" TargetMode="External"/><Relationship Id="rId4" Type="http://schemas.openxmlformats.org/officeDocument/2006/relationships/hyperlink" Target="https://www.sec.gov/Archives/edgar/data/1370450/000110465926110002/tm2625947d1_ex2-1.htm" TargetMode="External"/><Relationship Id="rId5" Type="http://schemas.openxmlformats.org/officeDocument/2006/relationships/hyperlink" Target="https://www.sec.gov/Archives/edgar/data/1370450/000110465926110002/tm2625947d1_ex2-1.htm" TargetMode="External"/><Relationship Id="rId6" Type="http://schemas.openxmlformats.org/officeDocument/2006/relationships/hyperlink" Target="https://www.sec.gov/Archives/edgar/data/1370450/000110465926110002/tm2625947d1_ex2-1.htm" TargetMode="External"/><Relationship Id="rId7" Type="http://schemas.openxmlformats.org/officeDocument/2006/relationships/hyperlink" Target="https://www.sec.gov/Archives/edgar/data/1370450/000110465926110002/tm2625947d1_ex2-1.htm" TargetMode="External"/><Relationship Id="rId8" Type="http://schemas.openxmlformats.org/officeDocument/2006/relationships/hyperlink" Target="http://www.sec.gov/Archives/edgar/data/1370450/000104746906010648/a2172308zex-3_1.htm" TargetMode="External"/><Relationship Id="rId9" Type="http://schemas.openxmlformats.org/officeDocument/2006/relationships/hyperlink" Target="https://www.sec.gov/Archives/edgar/data/1370450/000155837023011834/wldn-20230707xex3d1.htm" TargetMode="External"/><Relationship Id="rId10" Type="http://schemas.openxmlformats.org/officeDocument/2006/relationships/hyperlink" Target="http://www.sec.gov/Archives/edgar/data/1370450/000104746906011904/a2173104zex-4_1.htm" TargetMode="External"/><Relationship Id="rId11" Type="http://schemas.openxmlformats.org/officeDocument/2006/relationships/hyperlink" Target="https://www.sec.gov/Archives/edgar/data/1370450/000110465926075795/wldn-20260617xex10d1.htm" TargetMode="External"/><Relationship Id="rId12" Type="http://schemas.openxmlformats.org/officeDocument/2006/relationships/hyperlink" Target="https://www.sec.gov/Archives/edgar/data/1370450/000110465926123327/wldn-ex10d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25602</Words>
  <Characters>143265</Characters>
  <CharactersWithSpaces>171943</CharactersWithSpaces>
  <Paragraphs>8413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