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wldn-20260703x10q.htm"/>
        <w:bookmarkStart w:id="1" w:name="kswldn20260703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top w:val="single" w:sz="8" w:space="1" w:color="000000"/>
        </w:pBdr>
        <w:bidi w:val="0"/>
        <w:spacing w:before="0" w:after="0"/>
        <w:ind w:left="0" w:right="0" w:hanging="0"/>
        <w:jc w:val="left"/>
        <w:rPr>
          <w:bdr w:val="single" w:sz="24" w:space="1" w:color="000000"/>
        </w:rPr>
      </w:pPr>
      <w:bookmarkStart w:id="2" w:name="_34036291_8baf_4984_ab15_1c38a5720c9b"/>
      <w:bookmarkEnd w:id="2"/>
      <w:r>
        <w:rPr>
          <w:bdr w:val="single" w:sz="24" w:space="1" w:color="000000"/>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b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CFl8SgMOzEGqnnpVRC8gKw_1_1"/>
      <w:bookmarkStart w:id="4" w:name="_6ef743ce_2563_44ad_80c9_ea34ed34adb8"/>
      <w:bookmarkStart w:id="5" w:name="Tc_CFl8SgMOzEGqnnpVRC8gKw_1_1"/>
      <w:bookmarkStart w:id="6" w:name="_6ef743ce_2563_44ad_80c9_ea34ed34adb8"/>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For the quarterly period ended July 3, 2026</w:t>
      </w:r>
      <w:r>
        <w:rPr>
          <w:rFonts w:ascii="Times New Roman;Times;serif" w:hAnsi="Times New Roman;Times;serif"/>
          <w:sz w:val="20"/>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 w:name="Tc_oTHHsi_RsU6TF9en9OK-uQ_1_1"/>
      <w:bookmarkStart w:id="8" w:name="_43518137_0c98_49ef_a8fd_1cbf36c0488f"/>
      <w:bookmarkStart w:id="9" w:name="Tc_oTHHsi_RsU6TF9en9OK-uQ_1_1"/>
      <w:bookmarkStart w:id="10" w:name="_43518137_0c98_49ef_a8fd_1cbf36c0488f"/>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001-33076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WILLDAN GROUP,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LK2wQ-rhnkaggc8Q2xsvSw_5_2"/>
      <w:bookmarkStart w:id="12" w:name="Tc_izDGQCD1TUSMyYIgrJzrHg_5_0"/>
      <w:bookmarkStart w:id="13" w:name="Tc_SWiCDhhB50edP4AToUcS3w_4_0"/>
      <w:bookmarkStart w:id="14" w:name="Tc_7E91H0_MiE-UUk_Ucqz2yQ_2_2"/>
      <w:bookmarkStart w:id="15" w:name="Tc_1BKxe5yOpUSX4z6diZD3jQ_2_0"/>
      <w:bookmarkStart w:id="16" w:name="_b700fcd9_ad39_4b3b_8b08_4b18e973638e"/>
      <w:bookmarkStart w:id="17" w:name="Tc_LK2wQ-rhnkaggc8Q2xsvSw_5_2"/>
      <w:bookmarkStart w:id="18" w:name="Tc_izDGQCD1TUSMyYIgrJzrHg_5_0"/>
      <w:bookmarkStart w:id="19" w:name="Tc_SWiCDhhB50edP4AToUcS3w_4_0"/>
      <w:bookmarkStart w:id="20" w:name="Tc_7E91H0_MiE-UUk_Ucqz2yQ_2_2"/>
      <w:bookmarkStart w:id="21" w:name="Tc_1BKxe5yOpUSX4z6diZD3jQ_2_0"/>
      <w:bookmarkStart w:id="22" w:name="_b700fcd9_ad39_4b3b_8b08_4b18e973638e"/>
      <w:bookmarkEnd w:id="17"/>
      <w:bookmarkEnd w:id="18"/>
      <w:bookmarkEnd w:id="19"/>
      <w:bookmarkEnd w:id="20"/>
      <w:bookmarkEnd w:id="21"/>
      <w:bookmarkEnd w:id="22"/>
    </w:p>
    <w:tbl>
      <w:tblPr>
        <w:tblW w:w="6366" w:type="dxa"/>
        <w:jc w:val="left"/>
        <w:tblInd w:w="0" w:type="dxa"/>
        <w:tblLayout w:type="fixed"/>
        <w:tblCellMar>
          <w:top w:w="0" w:type="dxa"/>
          <w:left w:w="0" w:type="dxa"/>
          <w:bottom w:w="0" w:type="dxa"/>
          <w:right w:w="0" w:type="dxa"/>
        </w:tblCellMar>
      </w:tblPr>
      <w:tblGrid>
        <w:gridCol w:w="3361"/>
        <w:gridCol w:w="109"/>
        <w:gridCol w:w="289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14-1951112</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2401 East Katella Avenue, Suite 300</w:t>
              <w:br/>
              <w:t>Anaheim, California</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92806</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(800) 424-9144</w:t>
      </w:r>
    </w:p>
    <w:p>
      <w:pPr>
        <w:pStyle w:val="TextBody"/>
        <w:bidi w:val="0"/>
        <w:spacing w:before="0" w:after="0"/>
        <w:ind w:left="0" w:right="0" w:hanging="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3" w:name="Tc_--3G_ZE1WEu2OvVKMHpFEQ_2_2"/>
      <w:bookmarkStart w:id="24" w:name="Tc_BFbllnhSrEyq0B_Jk9A37A_1_2"/>
      <w:bookmarkStart w:id="25" w:name="Tc_tyRjllqlQkOrz5KoEajSIA_1_1"/>
      <w:bookmarkStart w:id="26" w:name="Tc_KbSNTv5dE0-vl72F5CFuAA_1_0"/>
      <w:bookmarkStart w:id="27" w:name="_c3674b7e_6568_4ca3_ab4b_78a52dcc636c"/>
      <w:bookmarkStart w:id="28" w:name="Tc_--3G_ZE1WEu2OvVKMHpFEQ_2_2"/>
      <w:bookmarkStart w:id="29" w:name="Tc_BFbllnhSrEyq0B_Jk9A37A_1_2"/>
      <w:bookmarkStart w:id="30" w:name="Tc_tyRjllqlQkOrz5KoEajSIA_1_1"/>
      <w:bookmarkStart w:id="31" w:name="Tc_KbSNTv5dE0-vl72F5CFuAA_1_0"/>
      <w:bookmarkStart w:id="32" w:name="_c3674b7e_6568_4ca3_ab4b_78a52dcc636c"/>
      <w:bookmarkEnd w:id="28"/>
      <w:bookmarkEnd w:id="29"/>
      <w:bookmarkEnd w:id="30"/>
      <w:bookmarkEnd w:id="31"/>
      <w:bookmarkEnd w:id="32"/>
    </w:p>
    <w:tbl>
      <w:tblPr>
        <w:tblW w:w="9018" w:type="dxa"/>
        <w:jc w:val="left"/>
        <w:tblInd w:w="0" w:type="dxa"/>
        <w:tblLayout w:type="fixed"/>
        <w:tblCellMar>
          <w:top w:w="0" w:type="dxa"/>
          <w:left w:w="0" w:type="dxa"/>
          <w:bottom w:w="0" w:type="dxa"/>
          <w:right w:w="0" w:type="dxa"/>
        </w:tblCellMar>
      </w:tblPr>
      <w:tblGrid>
        <w:gridCol w:w="3496"/>
        <w:gridCol w:w="169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19960" cy="29210"/>
                      <wp:effectExtent l="0" t="0" r="0" b="0"/>
                      <wp:wrapNone/>
                      <wp:docPr id="2" name="Frame2"/>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76960" cy="29210"/>
                      <wp:effectExtent l="0" t="0" r="0" b="0"/>
                      <wp:wrapNone/>
                      <wp:docPr id="3" name="Frame3"/>
                      <a:graphic xmlns:a="http://schemas.openxmlformats.org/drawingml/2006/main">
                        <a:graphicData uri="http://schemas.microsoft.com/office/word/2010/wordprocessingShape">
                          <wps:wsp>
                            <wps:cNvSpPr txBox="1"/>
                            <wps:spPr>
                              <a:xfrm>
                                <a:off x="0" y="0"/>
                                <a:ext cx="1076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429510" cy="29210"/>
                      <wp:effectExtent l="0" t="0" r="0" b="0"/>
                      <wp:wrapNone/>
                      <wp:docPr id="4" name="Frame4"/>
                      <a:graphic xmlns:a="http://schemas.openxmlformats.org/drawingml/2006/main">
                        <a:graphicData uri="http://schemas.microsoft.com/office/word/2010/wordprocessingShape">
                          <wps:wsp>
                            <wps:cNvSpPr txBox="1"/>
                            <wps:spPr>
                              <a:xfrm>
                                <a:off x="0" y="0"/>
                                <a:ext cx="2429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WLDN</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before="0" w:after="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center"/>
        <w:rPr/>
      </w:pPr>
      <w:r>
        <w:rPr/>
        <w:t>​</w:t>
      </w:r>
    </w:p>
    <w:tbl>
      <w:tblPr>
        <w:tblW w:w="4791" w:type="dxa"/>
        <w:jc w:val="left"/>
        <w:tblInd w:w="0" w:type="dxa"/>
        <w:tblLayout w:type="fixed"/>
        <w:tblCellMar>
          <w:top w:w="0" w:type="dxa"/>
          <w:left w:w="0" w:type="dxa"/>
          <w:bottom w:w="0" w:type="dxa"/>
          <w:right w:w="0" w:type="dxa"/>
        </w:tblCellMar>
      </w:tblPr>
      <w:tblGrid>
        <w:gridCol w:w="2101"/>
        <w:gridCol w:w="109"/>
        <w:gridCol w:w="258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r>
        <w:trPr/>
        <w:tc>
          <w:tcPr>
            <w:tcW w:w="21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20"/>
        </w:rPr>
        <w:t>As of August 6, 2026, there were 15,232,091 shares of common stock, $0.01 par value per share, of Willdan Group, Inc. issued and outstanding.</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240"/>
        <w:ind w:left="0" w:right="0" w:hanging="0"/>
        <w:jc w:val="left"/>
        <w:rPr/>
      </w:pPr>
      <w:r>
        <w:rPr/>
        <w:t>​</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 w:name="_6e1f9324_1a27_4b0a_b978_3cf6d71f34eb"/>
      <w:bookmarkEnd w:id="33"/>
      <w:r>
        <w:rPr>
          <w:rFonts w:ascii="Times New Roman;Times;serif" w:hAnsi="Times New Roman;Times;serif"/>
          <w:b/>
          <w:sz w:val="20"/>
        </w:rPr>
        <w:t>WILLDAN GROUP,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QUARTERLY REPORT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4" w:name="TOC"/>
      <w:bookmarkEnd w:id="34"/>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8601" w:type="dxa"/>
        <w:jc w:val="left"/>
        <w:tblInd w:w="0" w:type="dxa"/>
        <w:tblLayout w:type="fixed"/>
        <w:tblCellMar>
          <w:top w:w="0" w:type="dxa"/>
          <w:left w:w="0" w:type="dxa"/>
          <w:bottom w:w="0" w:type="dxa"/>
          <w:right w:w="0" w:type="dxa"/>
        </w:tblCellMar>
      </w:tblPr>
      <w:tblGrid>
        <w:gridCol w:w="7981"/>
        <w:gridCol w:w="109"/>
        <w:gridCol w:w="511"/>
      </w:tblGrid>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7981" w:type="dxa"/>
            <w:tcBorders/>
            <w:vAlign w:val="center"/>
          </w:tcPr>
          <w:p>
            <w:pPr>
              <w:pStyle w:val="TableContents"/>
              <w:bidi w:val="0"/>
              <w:spacing w:lineRule="atLeast" w:line="180" w:before="0" w:after="0"/>
              <w:ind w:left="0" w:right="0" w:hanging="0"/>
              <w:jc w:val="left"/>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PARTI">
              <w:r>
                <w:rPr>
                  <w:rStyle w:val="InternetLink"/>
                  <w:rFonts w:ascii="Times New Roman;Times;serif" w:hAnsi="Times New Roman;Times;serif"/>
                  <w:b w:val="false"/>
                  <w:i w:val="false"/>
                  <w:caps w:val="false"/>
                  <w:smallCaps w:val="false"/>
                  <w:sz w:val="20"/>
                </w:rPr>
                <w:t>PART I. FINANCIAL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Item 1. Financial Statements (Unaudited)</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7MANAGEMENTSDISCUSSION_533905">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7AQUANTITATIVEANDQUALITATIVE_562372">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4ControlsandProcedures_72182">
              <w:r>
                <w:rPr>
                  <w:rStyle w:val="InternetLink"/>
                  <w:rFonts w:ascii="Times New Roman;Times;serif" w:hAnsi="Times New Roman;Times;serif"/>
                  <w:b w:val="false"/>
                  <w:i w:val="false"/>
                  <w:caps w:val="false"/>
                  <w:smallCaps w:val="false"/>
                  <w:sz w:val="20"/>
                </w:rPr>
                <w:t>Item 4. Controls and Procedures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PARTIIOTHERINFORMATION_167293">
              <w:r>
                <w:rPr>
                  <w:rStyle w:val="InternetLink"/>
                  <w:rFonts w:ascii="Times New Roman;Times;serif" w:hAnsi="Times New Roman;Times;serif"/>
                  <w:b w:val="false"/>
                  <w:i w:val="false"/>
                  <w:caps w:val="false"/>
                  <w:smallCaps w:val="false"/>
                  <w:sz w:val="20"/>
                </w:rPr>
                <w:t>PART II. OTHER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3LEGALPROCEEDINGS_429119">
              <w:r>
                <w:rPr>
                  <w:rStyle w:val="InternetLink"/>
                  <w:rFonts w:ascii="Times New Roman;Times;serif" w:hAnsi="Times New Roman;Times;serif"/>
                  <w:b w:val="false"/>
                  <w:i w:val="false"/>
                  <w:caps w:val="false"/>
                  <w:smallCaps w:val="false"/>
                  <w:sz w:val="20"/>
                </w:rPr>
                <w:t>Item 1. Legal Proceedings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_2">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3_Defaults">
              <w:r>
                <w:rPr>
                  <w:rStyle w:val="InternetLink"/>
                  <w:rFonts w:ascii="Times New Roman;Times;serif" w:hAnsi="Times New Roman;Times;serif"/>
                  <w:b w:val="false"/>
                  <w:i w:val="false"/>
                  <w:caps w:val="false"/>
                  <w:smallCaps w:val="false"/>
                  <w:sz w:val="20"/>
                </w:rPr>
                <w:t>Item 3. Defaults upon Senior Securities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4_MineSafety">
              <w:r>
                <w:rPr>
                  <w:rStyle w:val="InternetLink"/>
                  <w:rFonts w:ascii="Times New Roman;Times;serif" w:hAnsi="Times New Roman;Times;serif"/>
                  <w:b w:val="false"/>
                  <w:i w:val="false"/>
                  <w:caps w:val="false"/>
                  <w:smallCaps w:val="false"/>
                  <w:sz w:val="20"/>
                </w:rPr>
                <w:t>Item 4. Mine Safety Disclosures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5_OtherInfo">
              <w:r>
                <w:rPr>
                  <w:rStyle w:val="InternetLink"/>
                  <w:rFonts w:ascii="Times New Roman;Times;serif" w:hAnsi="Times New Roman;Times;serif"/>
                  <w:b w:val="false"/>
                  <w:i w:val="false"/>
                  <w:caps w:val="false"/>
                  <w:smallCaps w:val="false"/>
                  <w:sz w:val="20"/>
                </w:rPr>
                <w:t>Item 5. Other Information</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79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bidi w:val="0"/>
              <w:spacing w:before="0" w:after="0"/>
              <w:ind w:left="0" w:right="0" w:hanging="0"/>
              <w:jc w:val="left"/>
              <w:rPr/>
            </w:pPr>
            <w:hyperlink w:anchor="ITEM15EXHIBITS_40412">
              <w:r>
                <w:rPr>
                  <w:rStyle w:val="InternetLink"/>
                  <w:rFonts w:ascii="Times New Roman;Times;serif" w:hAnsi="Times New Roman;Times;serif"/>
                  <w:b w:val="false"/>
                  <w:i w:val="false"/>
                  <w:caps w:val="false"/>
                  <w:smallCaps w:val="false"/>
                  <w:sz w:val="20"/>
                </w:rPr>
                <w:t>Item 6. Exhibits</w:t>
              </w:r>
            </w:hyperlink>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_b8d243cf_2bed_434d_b415_f8a8a9ddc076"/>
      <w:bookmarkEnd w:id="35"/>
      <w:r>
        <w:rPr>
          <w:rFonts w:ascii="Times New Roman;Times;serif" w:hAnsi="Times New Roman;Times;serif"/>
          <w:b/>
          <w:sz w:val="20"/>
        </w:rPr>
        <w:t>CAUTIONARY STATEMENT REGARDING FORWARD-LOOKING INFORMATION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Quarterly Report on Form 10-Q (this “10-Q”) contains statements that constitute forward-looking statements as that term is defined by the Private Securities Litigation Reform Act of 1995, as amended.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adequately complete projects in a timely manner;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compete successfully in the highly competitive energy services market, which represented 85% of our consolidated revenue in fiscal year 2025;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work from our top ten clients, which accounted for 51% of our consolidated contract revenue for fiscal year 2025;</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state, local and regional economies and government budgets;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win new contracts, to renew existing contracts and to compete effectively for contracts awarded through bidding processes;</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realize the full amount of our backlog;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ability to make principal and interest payments on our outstanding debt as they come due and to comply with the financial covenants contained in our debt agreements;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supply chain constraints, labor shortages, elevated interest rates, and elevated inflation;</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 and to refinance our outstanding debt as it matures;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our acquisitions and execute on our growth strategy; and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attract and retain managerial, technical, and administrative talent. </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above is not a complete list of factors or events that could cause actual results to differ from our expectations, and we cannot predict all of them. All written and oral forward-looking statements attributable to us,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persons acting on our behalf, are expressly qualified in their entirety by the cautionary statements disclosed elsewhere in this Quarterly Report on Form 10-Q, and under Part I, Item 1A. “Risk Factors”, “Management’s Discussion and Analysis of Financial Condition and Results of Operations” and elsewhere in our Annual Report on Form 10-K for the fiscal year ended January 2, 2026, as such disclosures may be amended, supplemented or superseded from time to time by other reports we file with the Securities and Exchange Commission, including subsequent Annual Reports on Form 10-K, Quarterly Reports on Form 10-Q, Current Reports on Form 8-K and public communications. You should evaluate all forward-looking statements made in this Quarterly Report on Form 10-Q and otherwise in the context of these risks and uncertainties.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Quarterly Report on Form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6" w:name="PARTI"/>
      <w:bookmarkStart w:id="37" w:name="_a0a8f08b_da20_4643_af54_52fc1a43c0a3"/>
      <w:bookmarkEnd w:id="36"/>
      <w:bookmarkEnd w:id="37"/>
      <w:r>
        <w:rPr>
          <w:rFonts w:ascii="Times New Roman;Times;serif" w:hAnsi="Times New Roman;Times;serif"/>
          <w:b/>
          <w:sz w:val="20"/>
        </w:rPr>
        <w:t>PART I. FINANCIAL INFORMATION</w:t>
      </w:r>
    </w:p>
    <w:p>
      <w:pPr>
        <w:pStyle w:val="TextBody"/>
        <w:bidi w:val="0"/>
        <w:spacing w:before="120" w:after="0"/>
        <w:ind w:left="0" w:right="0" w:hanging="0"/>
        <w:jc w:val="left"/>
        <w:rPr>
          <w:rFonts w:ascii="Times New Roman;Times;serif" w:hAnsi="Times New Roman;Times;serif"/>
          <w:b/>
          <w:sz w:val="20"/>
        </w:rPr>
      </w:pPr>
      <w:bookmarkStart w:id="38" w:name="Item1"/>
      <w:bookmarkEnd w:id="38"/>
      <w:r>
        <w:rPr>
          <w:rFonts w:ascii="Times New Roman;Times;serif" w:hAnsi="Times New Roman;Times;serif"/>
          <w:b/>
          <w:sz w:val="20"/>
        </w:rPr>
        <w:t>Item 1. Financial Statements</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39" w:name="BALANCESHEETS_75359"/>
      <w:bookmarkEnd w:id="39"/>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par value)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Normal"/>
        <w:bidi w:val="0"/>
        <w:spacing w:before="0" w:after="0"/>
        <w:jc w:val="left"/>
        <w:rPr>
          <w:sz w:val="4"/>
          <w:szCs w:val="4"/>
        </w:rPr>
      </w:pPr>
      <w:r>
        <w:rPr>
          <w:sz w:val="4"/>
          <w:szCs w:val="4"/>
        </w:rPr>
      </w:r>
      <w:bookmarkStart w:id="40" w:name="Tc_Nai6w_SKkU25k2ZS7wdzWw_45_5"/>
      <w:bookmarkStart w:id="41" w:name="Tc_XAdFN7CPA0un9T52cIjOng_45_2"/>
      <w:bookmarkStart w:id="42" w:name="Tc_gd0WdGJdb0avq5cf0_qdUg_45_0"/>
      <w:bookmarkStart w:id="43" w:name="Tc_7QtTdgVJNEG7ciULJgWX9Q_44_0"/>
      <w:bookmarkStart w:id="44" w:name="Tc_DkmQJ0OVrU-P6Xcv3PRuTg_43_0"/>
      <w:bookmarkStart w:id="45" w:name="Tc_mFoi5MdzOEetpi0_r6Oh6w_42_0"/>
      <w:bookmarkStart w:id="46" w:name="Tc_I-9IwCi6E02xmwW2Ri3wiQ_41_0"/>
      <w:bookmarkStart w:id="47" w:name="Tc_5C1t2-zZRE276CRJVe96MA_40_0"/>
      <w:bookmarkStart w:id="48" w:name="Tc_9fYMZhHnBkyaJj44QuZtPQ_39_0"/>
      <w:bookmarkStart w:id="49" w:name="Tc_LQczYzn23kiTzM3K40769g_38_0"/>
      <w:bookmarkStart w:id="50" w:name="Tc_UaDUQxTHVkyWDeSqH922Ug_36_0"/>
      <w:bookmarkStart w:id="51" w:name="Tc_-UrCKDvXQ02IRMSzgSqwcQ_34_0"/>
      <w:bookmarkStart w:id="52" w:name="Tc_SeKu5aHtBkOacCEUgNInag_33_0"/>
      <w:bookmarkStart w:id="53" w:name="Tc_pdFx2X0_c0WF-Ca0YxNH_g_32_0"/>
      <w:bookmarkStart w:id="54" w:name="Tc_uinmjeNiCU6gTk6PGdROWg_31_0"/>
      <w:bookmarkStart w:id="55" w:name="Tc_NbqxF_VUmEqIgUQtbD9mYw_30_0"/>
      <w:bookmarkStart w:id="56" w:name="Tc_iZhwgxZEvkGHXOD9SGZ3bA_29_0"/>
      <w:bookmarkStart w:id="57" w:name="Tc_wwXqEfdO3U6IbP9yUGknbQ_28_0"/>
      <w:bookmarkStart w:id="58" w:name="Tc_vGRvGLzmi0WHopte3sQKcg_27_0"/>
      <w:bookmarkStart w:id="59" w:name="Tc_S8uLMwgBtUm00D2w5OWJRg_26_0"/>
      <w:bookmarkStart w:id="60" w:name="Tc_VH0-3I9IAkyofEELF4uXig_25_0"/>
      <w:bookmarkStart w:id="61" w:name="Tc_gmS4NFoX4EyyEQ48h8ITYg_24_0"/>
      <w:bookmarkStart w:id="62" w:name="Tc_6GMN4yCixkeHRfry51iMCg_23_0"/>
      <w:bookmarkStart w:id="63" w:name="Tc_jyaD2Kc1BUey_ijCktZQIw_22_0"/>
      <w:bookmarkStart w:id="64" w:name="Tc_6FD6X_Il0kOj8FfErU9cHQ_21_5"/>
      <w:bookmarkStart w:id="65" w:name="Tc_pfNjRM6KSUWI8WJxcQHfaQ_21_2"/>
      <w:bookmarkStart w:id="66" w:name="Tc_k14dxgi4oUCgJsHVbqRCnw_21_0"/>
      <w:bookmarkStart w:id="67" w:name="Tc_JRwTfVcHTUWnwvqAyfgU6w_20_0"/>
      <w:bookmarkStart w:id="68" w:name="Tc_WwexVJzYCkq9ueJu7q_IKA_19_0"/>
      <w:bookmarkStart w:id="69" w:name="Tc_QNiudm_tRke3RWxRYdxGsw_18_5"/>
      <w:bookmarkStart w:id="70" w:name="Tc_z5saE3YU1kC7YAcWKBtvfA_18_2"/>
      <w:bookmarkStart w:id="71" w:name="Tc_wCVCP5pilEq7AGkmhgpx-Q_18_0"/>
      <w:bookmarkStart w:id="72" w:name="Tc_93i0C40C30ONKD-OOUyo-g_17_0"/>
      <w:bookmarkStart w:id="73" w:name="Tc_JmJwk4Ec2USMuOrcriluCg_16_0"/>
      <w:bookmarkStart w:id="74" w:name="Tc_0zF2mLn4akCzrCvsykxXKw_15_0"/>
      <w:bookmarkStart w:id="75" w:name="Tc_f9l-xggPoEKH255e7oDOXA_14_0"/>
      <w:bookmarkStart w:id="76" w:name="Tc_0NP4E9vFMEaB4x2KadbOyg_13_0"/>
      <w:bookmarkStart w:id="77" w:name="Tc_SN_YHetYY0mAmguCsuFF3Q_12_0"/>
      <w:bookmarkStart w:id="78" w:name="Tc_xLbwp9p3MkaU4UVRPFDuEg_11_0"/>
      <w:bookmarkStart w:id="79" w:name="Tc_gj5_G1RmWUyoWByH_yhUcg_10_0"/>
      <w:bookmarkStart w:id="80" w:name="Tc_yTRaEIIsyESElKzZwkj_yA_9_0"/>
      <w:bookmarkStart w:id="81" w:name="Tc_6voc5OINeU29NdxWklZRnw_8_0"/>
      <w:bookmarkStart w:id="82" w:name="Tc_z8upWZIw4k6za5gQfpBJ4w_7_0"/>
      <w:bookmarkStart w:id="83" w:name="Tc_8rnAkaI-7Uai4Nv0ZQTq7g_6_0"/>
      <w:bookmarkStart w:id="84" w:name="Tc_BBJ5yDk8OUi66HV_FpcBCg_5_5"/>
      <w:bookmarkStart w:id="85" w:name="Tc_1ohSwzPC2kyMZy598U6iBQ_5_2"/>
      <w:bookmarkStart w:id="86" w:name="Tc_suSk21GWUEyCDR6YmzVAnQ_5_0"/>
      <w:bookmarkStart w:id="87" w:name="Tc_XdK9N8iau0-TwKMa-LSn3A_4_0"/>
      <w:bookmarkStart w:id="88" w:name="Tc_xUZWJlcc_E-MQFOPtTR82A_3_0"/>
      <w:bookmarkStart w:id="89" w:name="Tc_3epLBs6u9UCvr_GF0afyHw_2_5"/>
      <w:bookmarkStart w:id="90" w:name="Tc_ZxjH58qYXki6GNueVM07cQ_2_2"/>
      <w:bookmarkStart w:id="91" w:name="Tc_6P6ZIWbD7E-xOiSBGN-MqA_1_5"/>
      <w:bookmarkStart w:id="92" w:name="Tc_2_HRt2B99kWlL9TXjbNQaQ_1_2"/>
      <w:bookmarkStart w:id="93" w:name="_d9f5a5fb_3c7f_4d8b_95e1_51dfd09dc385"/>
      <w:bookmarkStart w:id="94" w:name="Tc_Nai6w_SKkU25k2ZS7wdzWw_45_5"/>
      <w:bookmarkStart w:id="95" w:name="Tc_XAdFN7CPA0un9T52cIjOng_45_2"/>
      <w:bookmarkStart w:id="96" w:name="Tc_gd0WdGJdb0avq5cf0_qdUg_45_0"/>
      <w:bookmarkStart w:id="97" w:name="Tc_7QtTdgVJNEG7ciULJgWX9Q_44_0"/>
      <w:bookmarkStart w:id="98" w:name="Tc_DkmQJ0OVrU-P6Xcv3PRuTg_43_0"/>
      <w:bookmarkStart w:id="99" w:name="Tc_mFoi5MdzOEetpi0_r6Oh6w_42_0"/>
      <w:bookmarkStart w:id="100" w:name="Tc_I-9IwCi6E02xmwW2Ri3wiQ_41_0"/>
      <w:bookmarkStart w:id="101" w:name="Tc_5C1t2-zZRE276CRJVe96MA_40_0"/>
      <w:bookmarkStart w:id="102" w:name="Tc_9fYMZhHnBkyaJj44QuZtPQ_39_0"/>
      <w:bookmarkStart w:id="103" w:name="Tc_LQczYzn23kiTzM3K40769g_38_0"/>
      <w:bookmarkStart w:id="104" w:name="Tc_UaDUQxTHVkyWDeSqH922Ug_36_0"/>
      <w:bookmarkStart w:id="105" w:name="Tc_-UrCKDvXQ02IRMSzgSqwcQ_34_0"/>
      <w:bookmarkStart w:id="106" w:name="Tc_SeKu5aHtBkOacCEUgNInag_33_0"/>
      <w:bookmarkStart w:id="107" w:name="Tc_pdFx2X0_c0WF-Ca0YxNH_g_32_0"/>
      <w:bookmarkStart w:id="108" w:name="Tc_uinmjeNiCU6gTk6PGdROWg_31_0"/>
      <w:bookmarkStart w:id="109" w:name="Tc_NbqxF_VUmEqIgUQtbD9mYw_30_0"/>
      <w:bookmarkStart w:id="110" w:name="Tc_iZhwgxZEvkGHXOD9SGZ3bA_29_0"/>
      <w:bookmarkStart w:id="111" w:name="Tc_wwXqEfdO3U6IbP9yUGknbQ_28_0"/>
      <w:bookmarkStart w:id="112" w:name="Tc_vGRvGLzmi0WHopte3sQKcg_27_0"/>
      <w:bookmarkStart w:id="113" w:name="Tc_S8uLMwgBtUm00D2w5OWJRg_26_0"/>
      <w:bookmarkStart w:id="114" w:name="Tc_VH0-3I9IAkyofEELF4uXig_25_0"/>
      <w:bookmarkStart w:id="115" w:name="Tc_gmS4NFoX4EyyEQ48h8ITYg_24_0"/>
      <w:bookmarkStart w:id="116" w:name="Tc_6GMN4yCixkeHRfry51iMCg_23_0"/>
      <w:bookmarkStart w:id="117" w:name="Tc_jyaD2Kc1BUey_ijCktZQIw_22_0"/>
      <w:bookmarkStart w:id="118" w:name="Tc_6FD6X_Il0kOj8FfErU9cHQ_21_5"/>
      <w:bookmarkStart w:id="119" w:name="Tc_pfNjRM6KSUWI8WJxcQHfaQ_21_2"/>
      <w:bookmarkStart w:id="120" w:name="Tc_k14dxgi4oUCgJsHVbqRCnw_21_0"/>
      <w:bookmarkStart w:id="121" w:name="Tc_JRwTfVcHTUWnwvqAyfgU6w_20_0"/>
      <w:bookmarkStart w:id="122" w:name="Tc_WwexVJzYCkq9ueJu7q_IKA_19_0"/>
      <w:bookmarkStart w:id="123" w:name="Tc_QNiudm_tRke3RWxRYdxGsw_18_5"/>
      <w:bookmarkStart w:id="124" w:name="Tc_z5saE3YU1kC7YAcWKBtvfA_18_2"/>
      <w:bookmarkStart w:id="125" w:name="Tc_wCVCP5pilEq7AGkmhgpx-Q_18_0"/>
      <w:bookmarkStart w:id="126" w:name="Tc_93i0C40C30ONKD-OOUyo-g_17_0"/>
      <w:bookmarkStart w:id="127" w:name="Tc_JmJwk4Ec2USMuOrcriluCg_16_0"/>
      <w:bookmarkStart w:id="128" w:name="Tc_0zF2mLn4akCzrCvsykxXKw_15_0"/>
      <w:bookmarkStart w:id="129" w:name="Tc_f9l-xggPoEKH255e7oDOXA_14_0"/>
      <w:bookmarkStart w:id="130" w:name="Tc_0NP4E9vFMEaB4x2KadbOyg_13_0"/>
      <w:bookmarkStart w:id="131" w:name="Tc_SN_YHetYY0mAmguCsuFF3Q_12_0"/>
      <w:bookmarkStart w:id="132" w:name="Tc_xLbwp9p3MkaU4UVRPFDuEg_11_0"/>
      <w:bookmarkStart w:id="133" w:name="Tc_gj5_G1RmWUyoWByH_yhUcg_10_0"/>
      <w:bookmarkStart w:id="134" w:name="Tc_yTRaEIIsyESElKzZwkj_yA_9_0"/>
      <w:bookmarkStart w:id="135" w:name="Tc_6voc5OINeU29NdxWklZRnw_8_0"/>
      <w:bookmarkStart w:id="136" w:name="Tc_z8upWZIw4k6za5gQfpBJ4w_7_0"/>
      <w:bookmarkStart w:id="137" w:name="Tc_8rnAkaI-7Uai4Nv0ZQTq7g_6_0"/>
      <w:bookmarkStart w:id="138" w:name="Tc_BBJ5yDk8OUi66HV_FpcBCg_5_5"/>
      <w:bookmarkStart w:id="139" w:name="Tc_1ohSwzPC2kyMZy598U6iBQ_5_2"/>
      <w:bookmarkStart w:id="140" w:name="Tc_suSk21GWUEyCDR6YmzVAnQ_5_0"/>
      <w:bookmarkStart w:id="141" w:name="Tc_XdK9N8iau0-TwKMa-LSn3A_4_0"/>
      <w:bookmarkStart w:id="142" w:name="Tc_xUZWJlcc_E-MQFOPtTR82A_3_0"/>
      <w:bookmarkStart w:id="143" w:name="Tc_3epLBs6u9UCvr_GF0afyHw_2_5"/>
      <w:bookmarkStart w:id="144" w:name="Tc_ZxjH58qYXki6GNueVM07cQ_2_2"/>
      <w:bookmarkStart w:id="145" w:name="Tc_6P6ZIWbD7E-xOiSBGN-MqA_1_5"/>
      <w:bookmarkStart w:id="146" w:name="Tc_2_HRt2B99kWlL9TXjbNQaQ_1_2"/>
      <w:bookmarkStart w:id="147" w:name="_d9f5a5fb_3c7f_4d8b_95e1_51dfd09dc385"/>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tbl>
      <w:tblPr>
        <w:tblW w:w="10205" w:type="dxa"/>
        <w:jc w:val="left"/>
        <w:tblInd w:w="0" w:type="dxa"/>
        <w:tblLayout w:type="fixed"/>
        <w:tblCellMar>
          <w:top w:w="0" w:type="dxa"/>
          <w:left w:w="0" w:type="dxa"/>
          <w:bottom w:w="0" w:type="dxa"/>
          <w:right w:w="0" w:type="dxa"/>
        </w:tblCellMar>
      </w:tblPr>
      <w:tblGrid>
        <w:gridCol w:w="7375"/>
        <w:gridCol w:w="346"/>
        <w:gridCol w:w="211"/>
        <w:gridCol w:w="781"/>
        <w:gridCol w:w="346"/>
        <w:gridCol w:w="211"/>
        <w:gridCol w:w="781"/>
        <w:gridCol w:w="154"/>
      </w:tblGrid>
      <w:tr>
        <w:trPr/>
        <w:tc>
          <w:tcPr>
            <w:tcW w:w="7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83125" cy="175260"/>
                      <wp:effectExtent l="0" t="0" r="0" b="0"/>
                      <wp:wrapNone/>
                      <wp:docPr id="5" name="Frame5"/>
                      <a:graphic xmlns:a="http://schemas.openxmlformats.org/drawingml/2006/main">
                        <a:graphicData uri="http://schemas.microsoft.com/office/word/2010/wordprocessingShape">
                          <wps:wsp>
                            <wps:cNvSpPr txBox="1"/>
                            <wps:spPr>
                              <a:xfrm>
                                <a:off x="0" y="0"/>
                                <a:ext cx="4683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5935" cy="175260"/>
                      <wp:effectExtent l="0" t="0" r="0" b="0"/>
                      <wp:wrapNone/>
                      <wp:docPr id="8" name="Frame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175260"/>
                      <wp:effectExtent l="0" t="0" r="0" b="0"/>
                      <wp:wrapNone/>
                      <wp:docPr id="11" name="Frame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175260"/>
                      <wp:effectExtent l="0" t="0" r="0" b="0"/>
                      <wp:wrapNone/>
                      <wp:docPr id="12" name="Frame1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154" w:type="dxa"/>
            <w:tcBorders/>
            <w:vAlign w:val="center"/>
          </w:tcPr>
          <w:p>
            <w:pPr>
              <w:pStyle w:val="TableContents"/>
              <w:bidi w:val="0"/>
              <w:spacing w:before="0" w:after="0"/>
              <w:ind w:left="0" w:right="0" w:hanging="0"/>
              <w:jc w:val="center"/>
              <w:rPr/>
            </w:pPr>
            <w:r>
              <w:rPr/>
              <w:t>​</w:t>
            </w:r>
          </w:p>
        </w:tc>
      </w:tr>
      <w:tr>
        <w:trPr/>
        <w:tc>
          <w:tcPr>
            <w:tcW w:w="7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4" w:type="dxa"/>
            <w:tcBorders/>
            <w:vAlign w:val="center"/>
          </w:tcPr>
          <w:p>
            <w:pPr>
              <w:pStyle w:val="TableContents"/>
              <w:bidi w:val="0"/>
              <w:spacing w:before="0" w:after="0"/>
              <w:ind w:left="0" w:right="0" w:hanging="0"/>
              <w:jc w:val="center"/>
              <w:rPr/>
            </w:pPr>
            <w:r>
              <w:rPr/>
              <w:t>​</w:t>
            </w:r>
          </w:p>
        </w:tc>
      </w:tr>
      <w:tr>
        <w:trPr/>
        <w:tc>
          <w:tcPr>
            <w:tcW w:w="10051"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65,919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$266</w:t>
            </w:r>
            <w:r>
              <w:rPr>
                <w:rFonts w:ascii="Times New Roman;Times;serif" w:hAnsi="Times New Roman;Times;serif"/>
                <w:sz w:val="18"/>
              </w:rPr>
              <w:t xml:space="preserve"> </w:t>
            </w:r>
            <w:r>
              <w:rPr>
                <w:rFonts w:ascii="Times New Roman;Times;serif" w:hAnsi="Times New Roman;Times;serif"/>
                <w:sz w:val="19"/>
              </w:rPr>
              <w:t>and $340</w:t>
            </w:r>
            <w:r>
              <w:rPr>
                <w:rFonts w:ascii="Times New Roman;Times;serif" w:hAnsi="Times New Roman;Times;serif"/>
                <w:sz w:val="18"/>
              </w:rPr>
              <w:t xml:space="preserve"> </w:t>
            </w:r>
            <w:r>
              <w:rPr>
                <w:rFonts w:ascii="Times New Roman;Times;serif" w:hAnsi="Times New Roman;Times;serif"/>
                <w:sz w:val="19"/>
              </w:rPr>
              <w:t>at July 3, 2026 and January 2, 2026,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84,250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64,604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134,433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107,296</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6,330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7,528</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269,866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251,677</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Equipment and leasehold improvements,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29,595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31,491</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212,169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179,530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18,173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16,600</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intangible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35,521</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2,762</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34,248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26,630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634,875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544,211</w:t>
            </w:r>
          </w:p>
        </w:tc>
        <w:tc>
          <w:tcPr>
            <w:tcW w:w="154" w:type="dxa"/>
            <w:tcBorders/>
            <w:vAlign w:val="center"/>
          </w:tcPr>
          <w:p>
            <w:pPr>
              <w:pStyle w:val="TableContents"/>
              <w:bidi w:val="0"/>
              <w:spacing w:before="0" w:after="0"/>
              <w:ind w:left="0" w:right="0" w:hanging="0"/>
              <w:jc w:val="right"/>
              <w:rPr/>
            </w:pPr>
            <w:r>
              <w:rPr/>
              <w:t>​</w:t>
            </w:r>
          </w:p>
        </w:tc>
      </w:tr>
      <w:tr>
        <w:trPr/>
        <w:tc>
          <w:tcPr>
            <w:tcW w:w="10051"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Stockholders’ Equity</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62,916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45,628</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79,156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82,434</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15,792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3,732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30,271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21,565</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1,225</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4,670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196,664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161,754</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 less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16,651</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 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64,745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45,962</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 less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 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14,982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13,762</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284,410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239,360</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$0.01</w:t>
            </w:r>
            <w:r>
              <w:rPr>
                <w:rFonts w:ascii="Times New Roman;Times;serif" w:hAnsi="Times New Roman;Times;serif"/>
                <w:sz w:val="18"/>
              </w:rPr>
              <w:t xml:space="preserve"> </w:t>
            </w:r>
            <w:r>
              <w:rPr>
                <w:rFonts w:ascii="Times New Roman;Times;serif" w:hAnsi="Times New Roman;Times;serif"/>
                <w:sz w:val="19"/>
              </w:rPr>
              <w:t>par value, 10,000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 and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Common stock, $0.01</w:t>
            </w:r>
            <w:r>
              <w:rPr>
                <w:rFonts w:ascii="Times New Roman;Times;serif" w:hAnsi="Times New Roman;Times;serif"/>
                <w:sz w:val="18"/>
              </w:rPr>
              <w:t xml:space="preserve"> </w:t>
            </w:r>
            <w:r>
              <w:rPr>
                <w:rFonts w:ascii="Times New Roman;Times;serif" w:hAnsi="Times New Roman;Times;serif"/>
                <w:sz w:val="19"/>
              </w:rPr>
              <w:t>par value, 40,000</w:t>
            </w:r>
            <w:r>
              <w:rPr>
                <w:rFonts w:ascii="Times New Roman;Times;serif" w:hAnsi="Times New Roman;Times;serif"/>
                <w:sz w:val="18"/>
              </w:rPr>
              <w:t xml:space="preserve"> </w:t>
            </w:r>
            <w:r>
              <w:rPr>
                <w:rFonts w:ascii="Times New Roman;Times;serif" w:hAnsi="Times New Roman;Times;serif"/>
                <w:sz w:val="19"/>
              </w:rPr>
              <w:t>shares authorized; 15,197</w:t>
            </w:r>
            <w:r>
              <w:rPr>
                <w:rFonts w:ascii="Times New Roman;Times;serif" w:hAnsi="Times New Roman;Times;serif"/>
                <w:sz w:val="18"/>
              </w:rPr>
              <w:t xml:space="preserve"> </w:t>
            </w:r>
            <w:r>
              <w:rPr>
                <w:rFonts w:ascii="Times New Roman;Times;serif" w:hAnsi="Times New Roman;Times;serif"/>
                <w:sz w:val="19"/>
              </w:rPr>
              <w:t>and 14,762</w:t>
            </w:r>
            <w:r>
              <w:rPr>
                <w:rFonts w:ascii="Times New Roman;Times;serif" w:hAnsi="Times New Roman;Times;serif"/>
                <w:sz w:val="18"/>
              </w:rPr>
              <w:t xml:space="preserve"> </w:t>
            </w:r>
            <w:r>
              <w:rPr>
                <w:rFonts w:ascii="Times New Roman;Times;serif" w:hAnsi="Times New Roman;Times;serif"/>
                <w:sz w:val="19"/>
              </w:rPr>
              <w:t>shares issued and outstanding at July 3, 2026 and January 2, 2026,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227,805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215,269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122,579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89,704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7375"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350,465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304,851</w:t>
            </w:r>
          </w:p>
        </w:tc>
        <w:tc>
          <w:tcPr>
            <w:tcW w:w="154" w:type="dxa"/>
            <w:tcBorders/>
            <w:vAlign w:val="center"/>
          </w:tcPr>
          <w:p>
            <w:pPr>
              <w:pStyle w:val="TableContents"/>
              <w:bidi w:val="0"/>
              <w:spacing w:before="0" w:after="0"/>
              <w:ind w:left="0" w:right="0" w:hanging="0"/>
              <w:jc w:val="right"/>
              <w:rPr/>
            </w:pPr>
            <w:r>
              <w:rPr/>
              <w:t>​</w:t>
            </w:r>
          </w:p>
        </w:tc>
      </w:tr>
      <w:tr>
        <w:trPr/>
        <w:tc>
          <w:tcPr>
            <w:tcW w:w="737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634,875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544,211</w:t>
            </w:r>
          </w:p>
        </w:tc>
        <w:tc>
          <w:tcPr>
            <w:tcW w:w="154"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80" w:after="0"/>
        <w:ind w:left="0" w:right="0" w:hanging="0"/>
        <w:jc w:val="center"/>
        <w:rPr/>
      </w:pPr>
      <w:r>
        <w:rPr/>
        <w:t>​</w:t>
      </w:r>
    </w:p>
    <w:p>
      <w:pPr>
        <w:pStyle w:val="TextBody"/>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8" w:name="_14bc18dc_e7b1_47cb_b5a4_d1ff83fa5443"/>
      <w:bookmarkEnd w:id="148"/>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149" w:name="OPERATIONS_940148"/>
      <w:bookmarkEnd w:id="149"/>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0" w:name="Tc_B3xPP8tKqkeg4Qt3ZEmeJg_42_0"/>
      <w:bookmarkStart w:id="151" w:name="Tc_x_xU7H-qYkWh80PPeKUujw_41_0"/>
      <w:bookmarkStart w:id="152" w:name="Tc_iuMXnnUU-0uwCo1FTtEZug_40_0"/>
      <w:bookmarkStart w:id="153" w:name="Tc_n_PqUJqgmUylMMas7BrDdg_38_11"/>
      <w:bookmarkStart w:id="154" w:name="Tc_haXYSxk0rUWtXonEIdGA-A_38_8"/>
      <w:bookmarkStart w:id="155" w:name="Tc_U83kEOXzZkW8MDewWol5ZA_38_5"/>
      <w:bookmarkStart w:id="156" w:name="Tc_GP515hZxBke1qEVSfGy1fg_38_2"/>
      <w:bookmarkStart w:id="157" w:name="Tc_8lWvTXIB7UyhOkh3LAQd7Q_38_0"/>
      <w:bookmarkStart w:id="158" w:name="Tc_fVXdKfEPL02EbqCYQxij6Q_37_11"/>
      <w:bookmarkStart w:id="159" w:name="Tc_qVJY24NglUug4NJjSORrIQ_37_8"/>
      <w:bookmarkStart w:id="160" w:name="Tc_5rYIQtcF2UiR7MPwEXTuHQ_37_5"/>
      <w:bookmarkStart w:id="161" w:name="Tc_AVcoiIJScE68uc_sEYMdRw_37_2"/>
      <w:bookmarkStart w:id="162" w:name="Tc_k6_IIDXhf0edPr0BNfB3pA_37_0"/>
      <w:bookmarkStart w:id="163" w:name="Tc_i5Za9zgKXkeHngfDSqbvFQ_36_0"/>
      <w:bookmarkStart w:id="164" w:name="Tc_9BzbO-C7yUKCQhL63paN0w_34_11"/>
      <w:bookmarkStart w:id="165" w:name="Tc_UjRESxd6UUGjXfxbkbmMLw_34_8"/>
      <w:bookmarkStart w:id="166" w:name="Tc_QC64B6WoSUqkt-bfkYd04g_34_5"/>
      <w:bookmarkStart w:id="167" w:name="Tc_YvssPLdHZE-ZJ_wkiQNQvg_34_2"/>
      <w:bookmarkStart w:id="168" w:name="Tc_yWt1wXNYYUOjjlwyJjZT8g_34_0"/>
      <w:bookmarkStart w:id="169" w:name="Tc_uzUte0yGZEWL2IFo3yfo5Q_33_0"/>
      <w:bookmarkStart w:id="170" w:name="Tc_j2O4gegu6kCw-yy9wRlx1g_32_0"/>
      <w:bookmarkStart w:id="171" w:name="Tc_GxES7MmE90Gk-AYezBRJkA_30_0"/>
      <w:bookmarkStart w:id="172" w:name="Tc_xCXm6h-bN0mh3Jkupv5UOg_29_0"/>
      <w:bookmarkStart w:id="173" w:name="Tc_zd4X6Mdpf0KgUOS4LBRDMw_28_0"/>
      <w:bookmarkStart w:id="174" w:name="Tc_uY0n6QvuQkCcpUBLJUXy8A_26_0"/>
      <w:bookmarkStart w:id="175" w:name="Tc_XI_mmm8k7EGpZWkrx5WcwA_25_0"/>
      <w:bookmarkStart w:id="176" w:name="Tc_TF528rFeJ0-_QLr1iGSIXg_24_0"/>
      <w:bookmarkStart w:id="177" w:name="Tc_iVUfE6XqSU6Kd5i6AsafeA_23_0"/>
      <w:bookmarkStart w:id="178" w:name="Tc_cAqR2G18zEaseMksyEz56w_21_0"/>
      <w:bookmarkStart w:id="179" w:name="Tc_UvGPwhFhAUyTlwTTmm-pzA_19_0"/>
      <w:bookmarkStart w:id="180" w:name="Tc_g01DAxwzCEmujylNd8aGcw_18_0"/>
      <w:bookmarkStart w:id="181" w:name="Tc_jb_Az1at90q-T3EzFiEIFg_17_0"/>
      <w:bookmarkStart w:id="182" w:name="Tc_-yx1nWHUWkaDFbEKVLRSkA_16_0"/>
      <w:bookmarkStart w:id="183" w:name="Tc_ozidcOfofkCisD-ta0xkJw_15_0"/>
      <w:bookmarkStart w:id="184" w:name="Tc_q2uhOzMDu0CM5g08mQy4fw_14_0"/>
      <w:bookmarkStart w:id="185" w:name="Tc_i_5DiqXE3EGNFsG9r47cRQ_13_0"/>
      <w:bookmarkStart w:id="186" w:name="Tc_nvOSHEQdCk-B281_4r20IA_11_0"/>
      <w:bookmarkStart w:id="187" w:name="Tc_TCK1xL-2HEWKwV05NDRYfw_9_0"/>
      <w:bookmarkStart w:id="188" w:name="Tc_n9pqArp7FkG4SzYDktdcrw_8_0"/>
      <w:bookmarkStart w:id="189" w:name="Tc_iT8Oc2N-F02yptG2DBeTXQ_7_0"/>
      <w:bookmarkStart w:id="190" w:name="Tc_621TRwtBIECr9-hXI061XA_6_0"/>
      <w:bookmarkStart w:id="191" w:name="Tc_89l_mm13CE2Ml8H1gxiixw_4_11"/>
      <w:bookmarkStart w:id="192" w:name="Tc_h8rhu2GJkEeMDG0A0m2sJA_4_8"/>
      <w:bookmarkStart w:id="193" w:name="Tc_GZDtqdvsvkSfZuukPyMijw_4_5"/>
      <w:bookmarkStart w:id="194" w:name="Tc_yoPG78_CtUaEj9UufhDSnQ_4_2"/>
      <w:bookmarkStart w:id="195" w:name="Tc_7Qmsu1idh0SNd6ZBmDvnnQ_4_0"/>
      <w:bookmarkStart w:id="196" w:name="Tc_kOEZkMsbY0ePaZGYwgeaOQ_3_11"/>
      <w:bookmarkStart w:id="197" w:name="Tc_sCsQoHMGIECmSwrTRc205A_3_8"/>
      <w:bookmarkStart w:id="198" w:name="Tc_YGxHYOvRAE6QJanjthMxbQ_3_5"/>
      <w:bookmarkStart w:id="199" w:name="Tc_vr9POL_QMEyAJPH3kusLHw_3_2"/>
      <w:bookmarkStart w:id="200" w:name="Tc_cNzV5ZoM1EGdieJb3ttl6w_2_11"/>
      <w:bookmarkStart w:id="201" w:name="Tc_UFKNONSlnkef8Sxik_e98w_2_8"/>
      <w:bookmarkStart w:id="202" w:name="Tc_9SC0z2pLwEqDT4PoWGbz7w_2_5"/>
      <w:bookmarkStart w:id="203" w:name="Tc_8Gu_zRF3o06jlG24i4W5qg_2_2"/>
      <w:bookmarkStart w:id="204" w:name="Tc_vgxtTOXkLUyppJlZ7LTL5g_1_8"/>
      <w:bookmarkStart w:id="205" w:name="Tc_jUxyn3E6gEaEuqKAJhZ0sg_1_2"/>
      <w:bookmarkStart w:id="206" w:name="_3aba4ab8_bba5_491c_8d83_78aa3e16931c"/>
      <w:bookmarkStart w:id="207" w:name="Tc_B3xPP8tKqkeg4Qt3ZEmeJg_42_0"/>
      <w:bookmarkStart w:id="208" w:name="Tc_x_xU7H-qYkWh80PPeKUujw_41_0"/>
      <w:bookmarkStart w:id="209" w:name="Tc_iuMXnnUU-0uwCo1FTtEZug_40_0"/>
      <w:bookmarkStart w:id="210" w:name="Tc_n_PqUJqgmUylMMas7BrDdg_38_11"/>
      <w:bookmarkStart w:id="211" w:name="Tc_haXYSxk0rUWtXonEIdGA-A_38_8"/>
      <w:bookmarkStart w:id="212" w:name="Tc_U83kEOXzZkW8MDewWol5ZA_38_5"/>
      <w:bookmarkStart w:id="213" w:name="Tc_GP515hZxBke1qEVSfGy1fg_38_2"/>
      <w:bookmarkStart w:id="214" w:name="Tc_8lWvTXIB7UyhOkh3LAQd7Q_38_0"/>
      <w:bookmarkStart w:id="215" w:name="Tc_fVXdKfEPL02EbqCYQxij6Q_37_11"/>
      <w:bookmarkStart w:id="216" w:name="Tc_qVJY24NglUug4NJjSORrIQ_37_8"/>
      <w:bookmarkStart w:id="217" w:name="Tc_5rYIQtcF2UiR7MPwEXTuHQ_37_5"/>
      <w:bookmarkStart w:id="218" w:name="Tc_AVcoiIJScE68uc_sEYMdRw_37_2"/>
      <w:bookmarkStart w:id="219" w:name="Tc_k6_IIDXhf0edPr0BNfB3pA_37_0"/>
      <w:bookmarkStart w:id="220" w:name="Tc_i5Za9zgKXkeHngfDSqbvFQ_36_0"/>
      <w:bookmarkStart w:id="221" w:name="Tc_9BzbO-C7yUKCQhL63paN0w_34_11"/>
      <w:bookmarkStart w:id="222" w:name="Tc_UjRESxd6UUGjXfxbkbmMLw_34_8"/>
      <w:bookmarkStart w:id="223" w:name="Tc_QC64B6WoSUqkt-bfkYd04g_34_5"/>
      <w:bookmarkStart w:id="224" w:name="Tc_YvssPLdHZE-ZJ_wkiQNQvg_34_2"/>
      <w:bookmarkStart w:id="225" w:name="Tc_yWt1wXNYYUOjjlwyJjZT8g_34_0"/>
      <w:bookmarkStart w:id="226" w:name="Tc_uzUte0yGZEWL2IFo3yfo5Q_33_0"/>
      <w:bookmarkStart w:id="227" w:name="Tc_j2O4gegu6kCw-yy9wRlx1g_32_0"/>
      <w:bookmarkStart w:id="228" w:name="Tc_GxES7MmE90Gk-AYezBRJkA_30_0"/>
      <w:bookmarkStart w:id="229" w:name="Tc_xCXm6h-bN0mh3Jkupv5UOg_29_0"/>
      <w:bookmarkStart w:id="230" w:name="Tc_zd4X6Mdpf0KgUOS4LBRDMw_28_0"/>
      <w:bookmarkStart w:id="231" w:name="Tc_uY0n6QvuQkCcpUBLJUXy8A_26_0"/>
      <w:bookmarkStart w:id="232" w:name="Tc_XI_mmm8k7EGpZWkrx5WcwA_25_0"/>
      <w:bookmarkStart w:id="233" w:name="Tc_TF528rFeJ0-_QLr1iGSIXg_24_0"/>
      <w:bookmarkStart w:id="234" w:name="Tc_iVUfE6XqSU6Kd5i6AsafeA_23_0"/>
      <w:bookmarkStart w:id="235" w:name="Tc_cAqR2G18zEaseMksyEz56w_21_0"/>
      <w:bookmarkStart w:id="236" w:name="Tc_UvGPwhFhAUyTlwTTmm-pzA_19_0"/>
      <w:bookmarkStart w:id="237" w:name="Tc_g01DAxwzCEmujylNd8aGcw_18_0"/>
      <w:bookmarkStart w:id="238" w:name="Tc_jb_Az1at90q-T3EzFiEIFg_17_0"/>
      <w:bookmarkStart w:id="239" w:name="Tc_-yx1nWHUWkaDFbEKVLRSkA_16_0"/>
      <w:bookmarkStart w:id="240" w:name="Tc_ozidcOfofkCisD-ta0xkJw_15_0"/>
      <w:bookmarkStart w:id="241" w:name="Tc_q2uhOzMDu0CM5g08mQy4fw_14_0"/>
      <w:bookmarkStart w:id="242" w:name="Tc_i_5DiqXE3EGNFsG9r47cRQ_13_0"/>
      <w:bookmarkStart w:id="243" w:name="Tc_nvOSHEQdCk-B281_4r20IA_11_0"/>
      <w:bookmarkStart w:id="244" w:name="Tc_TCK1xL-2HEWKwV05NDRYfw_9_0"/>
      <w:bookmarkStart w:id="245" w:name="Tc_n9pqArp7FkG4SzYDktdcrw_8_0"/>
      <w:bookmarkStart w:id="246" w:name="Tc_iT8Oc2N-F02yptG2DBeTXQ_7_0"/>
      <w:bookmarkStart w:id="247" w:name="Tc_621TRwtBIECr9-hXI061XA_6_0"/>
      <w:bookmarkStart w:id="248" w:name="Tc_89l_mm13CE2Ml8H1gxiixw_4_11"/>
      <w:bookmarkStart w:id="249" w:name="Tc_h8rhu2GJkEeMDG0A0m2sJA_4_8"/>
      <w:bookmarkStart w:id="250" w:name="Tc_GZDtqdvsvkSfZuukPyMijw_4_5"/>
      <w:bookmarkStart w:id="251" w:name="Tc_yoPG78_CtUaEj9UufhDSnQ_4_2"/>
      <w:bookmarkStart w:id="252" w:name="Tc_7Qmsu1idh0SNd6ZBmDvnnQ_4_0"/>
      <w:bookmarkStart w:id="253" w:name="Tc_kOEZkMsbY0ePaZGYwgeaOQ_3_11"/>
      <w:bookmarkStart w:id="254" w:name="Tc_sCsQoHMGIECmSwrTRc205A_3_8"/>
      <w:bookmarkStart w:id="255" w:name="Tc_YGxHYOvRAE6QJanjthMxbQ_3_5"/>
      <w:bookmarkStart w:id="256" w:name="Tc_vr9POL_QMEyAJPH3kusLHw_3_2"/>
      <w:bookmarkStart w:id="257" w:name="Tc_cNzV5ZoM1EGdieJb3ttl6w_2_11"/>
      <w:bookmarkStart w:id="258" w:name="Tc_UFKNONSlnkef8Sxik_e98w_2_8"/>
      <w:bookmarkStart w:id="259" w:name="Tc_9SC0z2pLwEqDT4PoWGbz7w_2_5"/>
      <w:bookmarkStart w:id="260" w:name="Tc_8Gu_zRF3o06jlG24i4W5qg_2_2"/>
      <w:bookmarkStart w:id="261" w:name="Tc_vgxtTOXkLUyppJlZ7LTL5g_1_8"/>
      <w:bookmarkStart w:id="262" w:name="Tc_jUxyn3E6gEaEuqKAJhZ0sg_1_2"/>
      <w:bookmarkStart w:id="263" w:name="_3aba4ab8_bba5_491c_8d83_78aa3e16931c"/>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tbl>
      <w:tblPr>
        <w:tblW w:w="10205" w:type="dxa"/>
        <w:jc w:val="left"/>
        <w:tblInd w:w="0" w:type="dxa"/>
        <w:tblLayout w:type="fixed"/>
        <w:tblCellMar>
          <w:top w:w="0" w:type="dxa"/>
          <w:left w:w="0" w:type="dxa"/>
          <w:bottom w:w="0" w:type="dxa"/>
          <w:right w:w="0" w:type="dxa"/>
        </w:tblCellMar>
      </w:tblPr>
      <w:tblGrid>
        <w:gridCol w:w="4808"/>
        <w:gridCol w:w="346"/>
        <w:gridCol w:w="211"/>
        <w:gridCol w:w="781"/>
        <w:gridCol w:w="346"/>
        <w:gridCol w:w="211"/>
        <w:gridCol w:w="781"/>
        <w:gridCol w:w="346"/>
        <w:gridCol w:w="211"/>
        <w:gridCol w:w="781"/>
        <w:gridCol w:w="346"/>
        <w:gridCol w:w="211"/>
        <w:gridCol w:w="826"/>
      </w:tblGrid>
      <w:tr>
        <w:trPr/>
        <w:tc>
          <w:tcPr>
            <w:tcW w:w="4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053080" cy="175260"/>
                      <wp:effectExtent l="0" t="0" r="0" b="0"/>
                      <wp:wrapNone/>
                      <wp:docPr id="13" name="Frame13"/>
                      <a:graphic xmlns:a="http://schemas.openxmlformats.org/drawingml/2006/main">
                        <a:graphicData uri="http://schemas.microsoft.com/office/word/2010/wordprocessingShape">
                          <wps:wsp>
                            <wps:cNvSpPr txBox="1"/>
                            <wps:spPr>
                              <a:xfrm>
                                <a:off x="0" y="0"/>
                                <a:ext cx="305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95935" cy="175260"/>
                      <wp:effectExtent l="0" t="0" r="0" b="0"/>
                      <wp:wrapNone/>
                      <wp:docPr id="16" name="Frame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95935" cy="175260"/>
                      <wp:effectExtent l="0" t="0" r="0" b="0"/>
                      <wp:wrapNone/>
                      <wp:docPr id="19" name="Frame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22" name="Frame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24510" cy="175260"/>
                      <wp:effectExtent l="0" t="0" r="0" b="0"/>
                      <wp:wrapNone/>
                      <wp:docPr id="25" name="Frame2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center"/>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325,859</w: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costs of contract revenue (inclusive of directly related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54,320</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Subcontractor services and other direct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145,553</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costs of contract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199,873</w:t>
            </w:r>
          </w:p>
        </w:tc>
      </w:tr>
      <w:tr>
        <w:trPr/>
        <w:tc>
          <w:tcPr>
            <w:tcW w:w="48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125,986</w:t>
            </w:r>
          </w:p>
        </w:tc>
      </w:tr>
      <w:tr>
        <w:trPr/>
        <w:tc>
          <w:tcPr>
            <w:tcW w:w="48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 payroll taxes and employee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63,684</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facility related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4,993</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9,944</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22,905</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107,134</w:t>
            </w:r>
          </w:p>
        </w:tc>
      </w:tr>
      <w:tr>
        <w:trPr/>
        <w:tc>
          <w:tcPr>
            <w:tcW w:w="48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18,852</w:t>
            </w:r>
          </w:p>
        </w:tc>
      </w:tr>
      <w:tr>
        <w:trPr/>
        <w:tc>
          <w:tcPr>
            <w:tcW w:w="48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(3,988)</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(3,478)</w: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15,374</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(4,749)</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20,123</w: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 contracts,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20,126</w: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48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4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14,298</w:t>
            </w:r>
          </w:p>
        </w:tc>
      </w:tr>
      <w:tr>
        <w:trPr/>
        <w:tc>
          <w:tcPr>
            <w:tcW w:w="4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14,778</w:t>
            </w:r>
          </w:p>
        </w:tc>
      </w:tr>
    </w:tbl>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4" w:name="_1c415036_25df_4492_9cc5_1ef366a86ea4"/>
      <w:bookmarkEnd w:id="264"/>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265" w:name="STOCKHOLDERSEQUITY_372544"/>
      <w:bookmarkEnd w:id="265"/>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66" w:name="Tc_XlMr5aywEku3XTEcyIpKPw_22_16"/>
      <w:bookmarkStart w:id="267" w:name="Tc_eGE9h7Bam0WN9X0jriq5Kw_22_13"/>
      <w:bookmarkStart w:id="268" w:name="Tc_tjODZIxgkkOwVOO2W3TKMg_22_10"/>
      <w:bookmarkStart w:id="269" w:name="Tc_ovlNbAoHpEyuF4xLoKYJkw_22_7"/>
      <w:bookmarkStart w:id="270" w:name="Tc_CG_oimkeiUKP97WOS5oF7Q_22_4"/>
      <w:bookmarkStart w:id="271" w:name="Tc_oeVxENVq6E-UA01M5sSoFQ_22_0"/>
      <w:bookmarkStart w:id="272" w:name="Tc_2wfsUWt4Hk6Q2Q-wIAh5QA_21_14"/>
      <w:bookmarkStart w:id="273" w:name="Tc_dDYnqyRioEuNrliuA1s0_Q_21_8"/>
      <w:bookmarkStart w:id="274" w:name="Tc_dR5Ycsu7eUmK8bamVI1Leg_21_5"/>
      <w:bookmarkStart w:id="275" w:name="Tc_0K0pqkwe9UeYqVi2b4StSQ_21_2"/>
      <w:bookmarkStart w:id="276" w:name="Tc__exRZv9VcUuqph1D4N-ExQ_21_0"/>
      <w:bookmarkStart w:id="277" w:name="Tc_Yywh1qTnjUqtI2rHzlWXZQ_20_11"/>
      <w:bookmarkStart w:id="278" w:name="Tc_-ggphCg9D0WfFL0svYylHA_20_8"/>
      <w:bookmarkStart w:id="279" w:name="Tc_Jj3bEpiTGUSEVDWdklicsw_20_5"/>
      <w:bookmarkStart w:id="280" w:name="Tc_L7i54ST0xEapn_Qzwi3YSA_20_2"/>
      <w:bookmarkStart w:id="281" w:name="Tc_2gyGcR0dnkCtizcJw_YziA_20_0"/>
      <w:bookmarkStart w:id="282" w:name="Tc_-cVYTAnOtUWjr-V3jotMkQ_19_14"/>
      <w:bookmarkStart w:id="283" w:name="Tc_kdt-cjKiXEGGuG6fMMjTYQ_19_11"/>
      <w:bookmarkStart w:id="284" w:name="Tc_GXe_x47bR0qp5GoDVv4Lvg_19_5"/>
      <w:bookmarkStart w:id="285" w:name="Tc_e-bxdRz0VECZH_jaoJprjw_19_2"/>
      <w:bookmarkStart w:id="286" w:name="Tc_-PCQXMOSTU-Za9KIJrmC6g_19_0"/>
      <w:bookmarkStart w:id="287" w:name="Tc_nLsM3ro5D0OF4DNIxl8yiw_18_14"/>
      <w:bookmarkStart w:id="288" w:name="Tc_ov4J7FpnZk2QM87feCNqzA_18_11"/>
      <w:bookmarkStart w:id="289" w:name="Tc_a4I6PPUeWkOr6U2w1xNq1Q_18_0"/>
      <w:bookmarkStart w:id="290" w:name="Tc_8IOTRONMHUmC54TeMUEskg_17_17"/>
      <w:bookmarkStart w:id="291" w:name="Tc_KFrUIB47902xb7KtK1wkmg_17_14"/>
      <w:bookmarkStart w:id="292" w:name="Tc_AEZC97x9SUugQVjEM-NWpw_17_11"/>
      <w:bookmarkStart w:id="293" w:name="Tc_aAZlZxtHsUmsEESHIK58Xw_17_8"/>
      <w:bookmarkStart w:id="294" w:name="Tc_ZZNBKP1_akqOZ92XHkCTMw_17_5"/>
      <w:bookmarkStart w:id="295" w:name="Tc_CwJw-andzEObTX-k7iKomQ_17_2"/>
      <w:bookmarkStart w:id="296" w:name="Tc_HOcElzV0FUyoU7LjHt7z7A_17_0"/>
      <w:bookmarkStart w:id="297" w:name="Tc_GZ744vGrk0aWddEk-YGeIg_16_17"/>
      <w:bookmarkStart w:id="298" w:name="Tc_XGoIS5OykUqbrYF4hhdm0Q_16_14"/>
      <w:bookmarkStart w:id="299" w:name="Tc_HTYzE4bsGkaTQZAjKPMvFg_16_11"/>
      <w:bookmarkStart w:id="300" w:name="Tc_BhPdxnFZn0SRohwCPNsWJA_16_8"/>
      <w:bookmarkStart w:id="301" w:name="Tc_Ouz4BdLpSUyfs6YnOvEIbQ_16_5"/>
      <w:bookmarkStart w:id="302" w:name="Tc_AgtbkOeJ6E-afwFfYD2_tQ_16_0"/>
      <w:bookmarkStart w:id="303" w:name="Tc_pxxOZPjFTEW7E8M1HgRegw_15_14"/>
      <w:bookmarkStart w:id="304" w:name="Tc_a67GUMaowk22zEtAIuBZtw_15_11"/>
      <w:bookmarkStart w:id="305" w:name="Tc_iYMfGhz0q0WOJAMdsDFj_A_15_5"/>
      <w:bookmarkStart w:id="306" w:name="Tc_Qn5q2U3Z1Umaa-E8hoC6IQ_15_0"/>
      <w:bookmarkStart w:id="307" w:name="Tc_N8fBE-JbKkeZse1gF07qwA_14_14"/>
      <w:bookmarkStart w:id="308" w:name="Tc_b-4ZlsV2GEezohTqyhk7Og_14_11"/>
      <w:bookmarkStart w:id="309" w:name="Tc_svvvldKF2EqxtfXu1nSDEA_14_0"/>
      <w:bookmarkStart w:id="310" w:name="Tc_dj8-dP3u8kyX0gHMDLxcpw_13_16"/>
      <w:bookmarkStart w:id="311" w:name="Tc_BL68tPPdfEq2ni5bgtMOEw_13_13"/>
      <w:bookmarkStart w:id="312" w:name="Tc_Aa3eBuCbFkan-uegaULWwg_13_10"/>
      <w:bookmarkStart w:id="313" w:name="Tc_TzvSxL5VhU-eAc3Mr0_L8g_13_7"/>
      <w:bookmarkStart w:id="314" w:name="Tc_ErQgj2jFq0CDAqQ5DQeHQQ_13_4"/>
      <w:bookmarkStart w:id="315" w:name="Tc_nEBD4Dzc2UKCCi0v50Jjeg_13_0"/>
      <w:bookmarkStart w:id="316" w:name="Tc_Q9e3AlETQUK2jWWY5K7hUA_12_14"/>
      <w:bookmarkStart w:id="317" w:name="Tc_JESsq517j0--qGm3s8Uj2A_12_8"/>
      <w:bookmarkStart w:id="318" w:name="Tc_a7Ot3ycl0keLf8mQZ6N9Eg_12_5"/>
      <w:bookmarkStart w:id="319" w:name="Tc_TPS3jBqdxkeCh6wV5LAIAg_12_2"/>
      <w:bookmarkStart w:id="320" w:name="Tc_iSPR9RLKuky_bep8o2kV1w_12_0"/>
      <w:bookmarkStart w:id="321" w:name="Tc_PJetG-U48UW-lpNXap4neQ_11_11"/>
      <w:bookmarkStart w:id="322" w:name="Tc_fEMp7O71eUCtvMuyofgVnA_11_8"/>
      <w:bookmarkStart w:id="323" w:name="Tc_pddIQms1m0uNULQe5TwsUA_11_5"/>
      <w:bookmarkStart w:id="324" w:name="Tc_6GyOFweSZU6XYR5S0rIe5g_11_2"/>
      <w:bookmarkStart w:id="325" w:name="Tc_ifoDPpDaoUS292vOk3UG1w_11_0"/>
      <w:bookmarkStart w:id="326" w:name="Tc_-mFsYpS5FE-PPYwLqMmRIw_10_14"/>
      <w:bookmarkStart w:id="327" w:name="Tc_W3tcALo8Ok-leR-8IUqbIQ_10_11"/>
      <w:bookmarkStart w:id="328" w:name="Tc_JsRNhJcNXUCTakW5qR8eLA_10_5"/>
      <w:bookmarkStart w:id="329" w:name="Tc_LyXJYw_cNUen_tIxaI7NDg_10_2"/>
      <w:bookmarkStart w:id="330" w:name="Tc_8hVK88LnH0SeBjV64g9SBg_10_0"/>
      <w:bookmarkStart w:id="331" w:name="Tc_ve0Bi7wqTE2ebyi17YysDg_9_17"/>
      <w:bookmarkStart w:id="332" w:name="Tc_CIFgJwbcZEG0T0r8XlGJwQ_9_14"/>
      <w:bookmarkStart w:id="333" w:name="Tc_AKPF45FsY0irYskQrBT9XQ_9_11"/>
      <w:bookmarkStart w:id="334" w:name="Tc_jujwpAzb1EuwbiOkxxdhTQ_9_0"/>
      <w:bookmarkStart w:id="335" w:name="Tc_IFsrXLIcVUa0Sf5ZePCtnA_8_14"/>
      <w:bookmarkStart w:id="336" w:name="Tc_QDRfton8ZUe_wEbP31a9jg_8_11"/>
      <w:bookmarkStart w:id="337" w:name="Tc_K2kOyWV-m0OlOfEGZdO0kw_8_0"/>
      <w:bookmarkStart w:id="338" w:name="Tc_fkylE3aPBEedMktJCGP_kw_7_17"/>
      <w:bookmarkStart w:id="339" w:name="Tc_GZ07WQjcA0aw5VkQWnqeuQ_7_14"/>
      <w:bookmarkStart w:id="340" w:name="Tc_KIlapc2flEerJ8eRJJ73TA_7_11"/>
      <w:bookmarkStart w:id="341" w:name="Tc_7EyiEjU4IUSVyae0EFACOg_7_8"/>
      <w:bookmarkStart w:id="342" w:name="Tc_UB8bAQbigkOvwJk1fnaS3g_7_5"/>
      <w:bookmarkStart w:id="343" w:name="Tc_vb01YWPVbU6h7MXFF-td7w_7_2"/>
      <w:bookmarkStart w:id="344" w:name="Tc_4yjNN5fWo0SkE3dBLMT2OQ_7_0"/>
      <w:bookmarkStart w:id="345" w:name="Tc_kZ5Sx-geF0-8m9aedQ7wyw_6_14"/>
      <w:bookmarkStart w:id="346" w:name="Tc_oidxZvGMN0q57MTTOoi-Vw_6_11"/>
      <w:bookmarkStart w:id="347" w:name="Tc__RvOGRAONU-_vlNrep1d9A_6_5"/>
      <w:bookmarkStart w:id="348" w:name="Tc_5U2VE9Ph-0SKeyaP6kWuXw_6_0"/>
      <w:bookmarkStart w:id="349" w:name="Tc_CnQT7dlzn0KIAwPsSKBacQ_5_16"/>
      <w:bookmarkStart w:id="350" w:name="Tc_cLJsLvsxn0S36H4tGwN75g_5_13"/>
      <w:bookmarkStart w:id="351" w:name="Tc_H9wm63zqP0iMwdN9AUmUsQ_5_10"/>
      <w:bookmarkStart w:id="352" w:name="Tc_uK0K7zlqzkGaTcxv4EAUgg_5_7"/>
      <w:bookmarkStart w:id="353" w:name="Tc_HzmmQxa45k2aSIpnAA6CJw_5_4"/>
      <w:bookmarkStart w:id="354" w:name="Tc_I6JS_CS-Yk6jfBTz_nYpqw_5_0"/>
      <w:bookmarkStart w:id="355" w:name="Tc_3xk3cHwQUEenTn96QDplDg_4_16"/>
      <w:bookmarkStart w:id="356" w:name="Tc_yo9fQzbOLEeNqNZXcY6vVw_4_13"/>
      <w:bookmarkStart w:id="357" w:name="Tc_nZ9MkLSGtUCK2mphGCD4Yg_4_10"/>
      <w:bookmarkStart w:id="358" w:name="Tc_szieXokYoU2P9xO9BSj_wg_4_7"/>
      <w:bookmarkStart w:id="359" w:name="Tc_VlFdQOBC7U-CmD6q4HnMEQ_4_4"/>
      <w:bookmarkStart w:id="360" w:name="Tc_eoUZqtET8UKXLHLyqxzMJw_4_2"/>
      <w:bookmarkStart w:id="361" w:name="Tc_sZmPt4NOxkqtE3WSgJifvg_3_13"/>
      <w:bookmarkStart w:id="362" w:name="Tc_wKS9mRr4KkGrtXoGV13Djg_3_10"/>
      <w:bookmarkStart w:id="363" w:name="Tc_iEA2IkJSz0-TQXJAHHQ6-w_3_7"/>
      <w:bookmarkStart w:id="364" w:name="Tc_cXhK6H55DUWUd3bepIRdQw_3_2"/>
      <w:bookmarkStart w:id="365" w:name="Tc_6lEgGwjN80yORYnAAzNiHg_2_10"/>
      <w:bookmarkStart w:id="366" w:name="Tc_pgkrbMNuGU6793AHK2CvZg_2_7"/>
      <w:bookmarkStart w:id="367" w:name="Tc_0nLu2tpPI0KPht9jycp-fw_1_10"/>
      <w:bookmarkStart w:id="368" w:name="_2e7e20a5_a451_4611_9878_0bb7a6619791"/>
      <w:bookmarkStart w:id="369" w:name="Tc_XlMr5aywEku3XTEcyIpKPw_22_16"/>
      <w:bookmarkStart w:id="370" w:name="Tc_eGE9h7Bam0WN9X0jriq5Kw_22_13"/>
      <w:bookmarkStart w:id="371" w:name="Tc_tjODZIxgkkOwVOO2W3TKMg_22_10"/>
      <w:bookmarkStart w:id="372" w:name="Tc_ovlNbAoHpEyuF4xLoKYJkw_22_7"/>
      <w:bookmarkStart w:id="373" w:name="Tc_CG_oimkeiUKP97WOS5oF7Q_22_4"/>
      <w:bookmarkStart w:id="374" w:name="Tc_oeVxENVq6E-UA01M5sSoFQ_22_0"/>
      <w:bookmarkStart w:id="375" w:name="Tc_2wfsUWt4Hk6Q2Q-wIAh5QA_21_14"/>
      <w:bookmarkStart w:id="376" w:name="Tc_dDYnqyRioEuNrliuA1s0_Q_21_8"/>
      <w:bookmarkStart w:id="377" w:name="Tc_dR5Ycsu7eUmK8bamVI1Leg_21_5"/>
      <w:bookmarkStart w:id="378" w:name="Tc_0K0pqkwe9UeYqVi2b4StSQ_21_2"/>
      <w:bookmarkStart w:id="379" w:name="Tc__exRZv9VcUuqph1D4N-ExQ_21_0"/>
      <w:bookmarkStart w:id="380" w:name="Tc_Yywh1qTnjUqtI2rHzlWXZQ_20_11"/>
      <w:bookmarkStart w:id="381" w:name="Tc_-ggphCg9D0WfFL0svYylHA_20_8"/>
      <w:bookmarkStart w:id="382" w:name="Tc_Jj3bEpiTGUSEVDWdklicsw_20_5"/>
      <w:bookmarkStart w:id="383" w:name="Tc_L7i54ST0xEapn_Qzwi3YSA_20_2"/>
      <w:bookmarkStart w:id="384" w:name="Tc_2gyGcR0dnkCtizcJw_YziA_20_0"/>
      <w:bookmarkStart w:id="385" w:name="Tc_-cVYTAnOtUWjr-V3jotMkQ_19_14"/>
      <w:bookmarkStart w:id="386" w:name="Tc_kdt-cjKiXEGGuG6fMMjTYQ_19_11"/>
      <w:bookmarkStart w:id="387" w:name="Tc_GXe_x47bR0qp5GoDVv4Lvg_19_5"/>
      <w:bookmarkStart w:id="388" w:name="Tc_e-bxdRz0VECZH_jaoJprjw_19_2"/>
      <w:bookmarkStart w:id="389" w:name="Tc_-PCQXMOSTU-Za9KIJrmC6g_19_0"/>
      <w:bookmarkStart w:id="390" w:name="Tc_nLsM3ro5D0OF4DNIxl8yiw_18_14"/>
      <w:bookmarkStart w:id="391" w:name="Tc_ov4J7FpnZk2QM87feCNqzA_18_11"/>
      <w:bookmarkStart w:id="392" w:name="Tc_a4I6PPUeWkOr6U2w1xNq1Q_18_0"/>
      <w:bookmarkStart w:id="393" w:name="Tc_8IOTRONMHUmC54TeMUEskg_17_17"/>
      <w:bookmarkStart w:id="394" w:name="Tc_KFrUIB47902xb7KtK1wkmg_17_14"/>
      <w:bookmarkStart w:id="395" w:name="Tc_AEZC97x9SUugQVjEM-NWpw_17_11"/>
      <w:bookmarkStart w:id="396" w:name="Tc_aAZlZxtHsUmsEESHIK58Xw_17_8"/>
      <w:bookmarkStart w:id="397" w:name="Tc_ZZNBKP1_akqOZ92XHkCTMw_17_5"/>
      <w:bookmarkStart w:id="398" w:name="Tc_CwJw-andzEObTX-k7iKomQ_17_2"/>
      <w:bookmarkStart w:id="399" w:name="Tc_HOcElzV0FUyoU7LjHt7z7A_17_0"/>
      <w:bookmarkStart w:id="400" w:name="Tc_GZ744vGrk0aWddEk-YGeIg_16_17"/>
      <w:bookmarkStart w:id="401" w:name="Tc_XGoIS5OykUqbrYF4hhdm0Q_16_14"/>
      <w:bookmarkStart w:id="402" w:name="Tc_HTYzE4bsGkaTQZAjKPMvFg_16_11"/>
      <w:bookmarkStart w:id="403" w:name="Tc_BhPdxnFZn0SRohwCPNsWJA_16_8"/>
      <w:bookmarkStart w:id="404" w:name="Tc_Ouz4BdLpSUyfs6YnOvEIbQ_16_5"/>
      <w:bookmarkStart w:id="405" w:name="Tc_AgtbkOeJ6E-afwFfYD2_tQ_16_0"/>
      <w:bookmarkStart w:id="406" w:name="Tc_pxxOZPjFTEW7E8M1HgRegw_15_14"/>
      <w:bookmarkStart w:id="407" w:name="Tc_a67GUMaowk22zEtAIuBZtw_15_11"/>
      <w:bookmarkStart w:id="408" w:name="Tc_iYMfGhz0q0WOJAMdsDFj_A_15_5"/>
      <w:bookmarkStart w:id="409" w:name="Tc_Qn5q2U3Z1Umaa-E8hoC6IQ_15_0"/>
      <w:bookmarkStart w:id="410" w:name="Tc_N8fBE-JbKkeZse1gF07qwA_14_14"/>
      <w:bookmarkStart w:id="411" w:name="Tc_b-4ZlsV2GEezohTqyhk7Og_14_11"/>
      <w:bookmarkStart w:id="412" w:name="Tc_svvvldKF2EqxtfXu1nSDEA_14_0"/>
      <w:bookmarkStart w:id="413" w:name="Tc_dj8-dP3u8kyX0gHMDLxcpw_13_16"/>
      <w:bookmarkStart w:id="414" w:name="Tc_BL68tPPdfEq2ni5bgtMOEw_13_13"/>
      <w:bookmarkStart w:id="415" w:name="Tc_Aa3eBuCbFkan-uegaULWwg_13_10"/>
      <w:bookmarkStart w:id="416" w:name="Tc_TzvSxL5VhU-eAc3Mr0_L8g_13_7"/>
      <w:bookmarkStart w:id="417" w:name="Tc_ErQgj2jFq0CDAqQ5DQeHQQ_13_4"/>
      <w:bookmarkStart w:id="418" w:name="Tc_nEBD4Dzc2UKCCi0v50Jjeg_13_0"/>
      <w:bookmarkStart w:id="419" w:name="Tc_Q9e3AlETQUK2jWWY5K7hUA_12_14"/>
      <w:bookmarkStart w:id="420" w:name="Tc_JESsq517j0--qGm3s8Uj2A_12_8"/>
      <w:bookmarkStart w:id="421" w:name="Tc_a7Ot3ycl0keLf8mQZ6N9Eg_12_5"/>
      <w:bookmarkStart w:id="422" w:name="Tc_TPS3jBqdxkeCh6wV5LAIAg_12_2"/>
      <w:bookmarkStart w:id="423" w:name="Tc_iSPR9RLKuky_bep8o2kV1w_12_0"/>
      <w:bookmarkStart w:id="424" w:name="Tc_PJetG-U48UW-lpNXap4neQ_11_11"/>
      <w:bookmarkStart w:id="425" w:name="Tc_fEMp7O71eUCtvMuyofgVnA_11_8"/>
      <w:bookmarkStart w:id="426" w:name="Tc_pddIQms1m0uNULQe5TwsUA_11_5"/>
      <w:bookmarkStart w:id="427" w:name="Tc_6GyOFweSZU6XYR5S0rIe5g_11_2"/>
      <w:bookmarkStart w:id="428" w:name="Tc_ifoDPpDaoUS292vOk3UG1w_11_0"/>
      <w:bookmarkStart w:id="429" w:name="Tc_-mFsYpS5FE-PPYwLqMmRIw_10_14"/>
      <w:bookmarkStart w:id="430" w:name="Tc_W3tcALo8Ok-leR-8IUqbIQ_10_11"/>
      <w:bookmarkStart w:id="431" w:name="Tc_JsRNhJcNXUCTakW5qR8eLA_10_5"/>
      <w:bookmarkStart w:id="432" w:name="Tc_LyXJYw_cNUen_tIxaI7NDg_10_2"/>
      <w:bookmarkStart w:id="433" w:name="Tc_8hVK88LnH0SeBjV64g9SBg_10_0"/>
      <w:bookmarkStart w:id="434" w:name="Tc_ve0Bi7wqTE2ebyi17YysDg_9_17"/>
      <w:bookmarkStart w:id="435" w:name="Tc_CIFgJwbcZEG0T0r8XlGJwQ_9_14"/>
      <w:bookmarkStart w:id="436" w:name="Tc_AKPF45FsY0irYskQrBT9XQ_9_11"/>
      <w:bookmarkStart w:id="437" w:name="Tc_jujwpAzb1EuwbiOkxxdhTQ_9_0"/>
      <w:bookmarkStart w:id="438" w:name="Tc_IFsrXLIcVUa0Sf5ZePCtnA_8_14"/>
      <w:bookmarkStart w:id="439" w:name="Tc_QDRfton8ZUe_wEbP31a9jg_8_11"/>
      <w:bookmarkStart w:id="440" w:name="Tc_K2kOyWV-m0OlOfEGZdO0kw_8_0"/>
      <w:bookmarkStart w:id="441" w:name="Tc_fkylE3aPBEedMktJCGP_kw_7_17"/>
      <w:bookmarkStart w:id="442" w:name="Tc_GZ07WQjcA0aw5VkQWnqeuQ_7_14"/>
      <w:bookmarkStart w:id="443" w:name="Tc_KIlapc2flEerJ8eRJJ73TA_7_11"/>
      <w:bookmarkStart w:id="444" w:name="Tc_7EyiEjU4IUSVyae0EFACOg_7_8"/>
      <w:bookmarkStart w:id="445" w:name="Tc_UB8bAQbigkOvwJk1fnaS3g_7_5"/>
      <w:bookmarkStart w:id="446" w:name="Tc_vb01YWPVbU6h7MXFF-td7w_7_2"/>
      <w:bookmarkStart w:id="447" w:name="Tc_4yjNN5fWo0SkE3dBLMT2OQ_7_0"/>
      <w:bookmarkStart w:id="448" w:name="Tc_kZ5Sx-geF0-8m9aedQ7wyw_6_14"/>
      <w:bookmarkStart w:id="449" w:name="Tc_oidxZvGMN0q57MTTOoi-Vw_6_11"/>
      <w:bookmarkStart w:id="450" w:name="Tc__RvOGRAONU-_vlNrep1d9A_6_5"/>
      <w:bookmarkStart w:id="451" w:name="Tc_5U2VE9Ph-0SKeyaP6kWuXw_6_0"/>
      <w:bookmarkStart w:id="452" w:name="Tc_CnQT7dlzn0KIAwPsSKBacQ_5_16"/>
      <w:bookmarkStart w:id="453" w:name="Tc_cLJsLvsxn0S36H4tGwN75g_5_13"/>
      <w:bookmarkStart w:id="454" w:name="Tc_H9wm63zqP0iMwdN9AUmUsQ_5_10"/>
      <w:bookmarkStart w:id="455" w:name="Tc_uK0K7zlqzkGaTcxv4EAUgg_5_7"/>
      <w:bookmarkStart w:id="456" w:name="Tc_HzmmQxa45k2aSIpnAA6CJw_5_4"/>
      <w:bookmarkStart w:id="457" w:name="Tc_I6JS_CS-Yk6jfBTz_nYpqw_5_0"/>
      <w:bookmarkStart w:id="458" w:name="Tc_3xk3cHwQUEenTn96QDplDg_4_16"/>
      <w:bookmarkStart w:id="459" w:name="Tc_yo9fQzbOLEeNqNZXcY6vVw_4_13"/>
      <w:bookmarkStart w:id="460" w:name="Tc_nZ9MkLSGtUCK2mphGCD4Yg_4_10"/>
      <w:bookmarkStart w:id="461" w:name="Tc_szieXokYoU2P9xO9BSj_wg_4_7"/>
      <w:bookmarkStart w:id="462" w:name="Tc_VlFdQOBC7U-CmD6q4HnMEQ_4_4"/>
      <w:bookmarkStart w:id="463" w:name="Tc_eoUZqtET8UKXLHLyqxzMJw_4_2"/>
      <w:bookmarkStart w:id="464" w:name="Tc_sZmPt4NOxkqtE3WSgJifvg_3_13"/>
      <w:bookmarkStart w:id="465" w:name="Tc_wKS9mRr4KkGrtXoGV13Djg_3_10"/>
      <w:bookmarkStart w:id="466" w:name="Tc_iEA2IkJSz0-TQXJAHHQ6-w_3_7"/>
      <w:bookmarkStart w:id="467" w:name="Tc_cXhK6H55DUWUd3bepIRdQw_3_2"/>
      <w:bookmarkStart w:id="468" w:name="Tc_6lEgGwjN80yORYnAAzNiHg_2_10"/>
      <w:bookmarkStart w:id="469" w:name="Tc_pgkrbMNuGU6793AHK2CvZg_2_7"/>
      <w:bookmarkStart w:id="470" w:name="Tc_0nLu2tpPI0KPht9jycp-fw_1_10"/>
      <w:bookmarkStart w:id="471" w:name="_2e7e20a5_a451_4611_9878_0bb7a6619791"/>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tbl>
      <w:tblPr>
        <w:tblW w:w="10205" w:type="dxa"/>
        <w:jc w:val="left"/>
        <w:tblInd w:w="0" w:type="dxa"/>
        <w:tblLayout w:type="fixed"/>
        <w:tblCellMar>
          <w:top w:w="0" w:type="dxa"/>
          <w:left w:w="0" w:type="dxa"/>
          <w:bottom w:w="0" w:type="dxa"/>
          <w:right w:w="0" w:type="dxa"/>
        </w:tblCellMar>
      </w:tblPr>
      <w:tblGrid>
        <w:gridCol w:w="2416"/>
        <w:gridCol w:w="346"/>
        <w:gridCol w:w="685"/>
        <w:gridCol w:w="346"/>
        <w:gridCol w:w="230"/>
        <w:gridCol w:w="462"/>
        <w:gridCol w:w="346"/>
        <w:gridCol w:w="211"/>
        <w:gridCol w:w="790"/>
        <w:gridCol w:w="346"/>
        <w:gridCol w:w="370"/>
        <w:gridCol w:w="846"/>
        <w:gridCol w:w="346"/>
        <w:gridCol w:w="211"/>
        <w:gridCol w:w="790"/>
        <w:gridCol w:w="346"/>
        <w:gridCol w:w="220"/>
        <w:gridCol w:w="898"/>
      </w:tblGrid>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34975" cy="175260"/>
                      <wp:effectExtent l="0" t="0" r="0" b="0"/>
                      <wp:wrapNone/>
                      <wp:docPr id="27" name="Frame27"/>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6050" cy="175260"/>
                      <wp:effectExtent l="0" t="0" r="0" b="0"/>
                      <wp:wrapNone/>
                      <wp:docPr id="29" name="Frame2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93370" cy="175260"/>
                      <wp:effectExtent l="0" t="0" r="0" b="0"/>
                      <wp:wrapNone/>
                      <wp:docPr id="30" name="Frame30"/>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1650" cy="175260"/>
                      <wp:effectExtent l="0" t="0" r="0" b="0"/>
                      <wp:wrapNone/>
                      <wp:docPr id="33" name="Frame33"/>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34950" cy="175260"/>
                      <wp:effectExtent l="0" t="0" r="0" b="0"/>
                      <wp:wrapNone/>
                      <wp:docPr id="35" name="Frame3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37210" cy="175260"/>
                      <wp:effectExtent l="0" t="0" r="0" b="0"/>
                      <wp:wrapNone/>
                      <wp:docPr id="36" name="Frame36"/>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1650" cy="175260"/>
                      <wp:effectExtent l="0" t="0" r="0" b="0"/>
                      <wp:wrapNone/>
                      <wp:docPr id="39" name="Frame39"/>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9700" cy="175260"/>
                      <wp:effectExtent l="0" t="0" r="0" b="0"/>
                      <wp:wrapNone/>
                      <wp:docPr id="41" name="Frame4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70230" cy="175260"/>
                      <wp:effectExtent l="0" t="0" r="0" b="0"/>
                      <wp:wrapNone/>
                      <wp:docPr id="42" name="Frame42"/>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center"/>
              <w:rPr/>
            </w:pPr>
            <w:r>
              <w:rPr/>
              <w:t>​</w:t>
            </w:r>
          </w:p>
        </w:tc>
      </w:tr>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center"/>
              <w:rPr/>
            </w:pPr>
            <w:r>
              <w:rPr/>
              <w:t>​</w:t>
            </w:r>
          </w:p>
        </w:tc>
      </w:tr>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center"/>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January 2, 2026</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14,762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148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215,269 </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89,704 </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304,851 </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(8,767)</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(8,768)</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8,530</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vAlign w:val="center"/>
          </w:tcPr>
          <w:p>
            <w:pPr>
              <w:pStyle w:val="TableContents"/>
              <w:bidi w:val="0"/>
              <w:spacing w:before="0" w:after="0"/>
              <w:ind w:left="0" w:right="0" w:hanging="0"/>
              <w:jc w:val="left"/>
              <w:rPr/>
            </w:pPr>
            <w:r>
              <w:rPr/>
              <w:t>​</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April 3, 2026</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14,966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150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212,112 </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98,234 </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310,345 </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Unregistered sales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issued to acquire businesses</w:t>
            </w:r>
          </w:p>
        </w:tc>
        <w:tc>
          <w:tcPr>
            <w:tcW w:w="346"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9,571</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9,572</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4,811</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4,811</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24,345</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24,345</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July 3, 2026</w:t>
            </w:r>
          </w:p>
        </w:tc>
        <w:tc>
          <w:tcPr>
            <w:tcW w:w="346" w:type="dxa"/>
            <w:tcBorders/>
            <w:vAlign w:val="center"/>
          </w:tcPr>
          <w:p>
            <w:pPr>
              <w:pStyle w:val="TableContents"/>
              <w:bidi w:val="0"/>
              <w:spacing w:before="0" w:after="0"/>
              <w:ind w:left="0" w:right="0" w:hanging="0"/>
              <w:jc w:val="left"/>
              <w:rPr/>
            </w:pPr>
            <w:r>
              <w:rPr/>
              <w:t> </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15,197 </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152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227,805 </w:t>
            </w:r>
          </w:p>
        </w:tc>
        <w:tc>
          <w:tcPr>
            <w:tcW w:w="34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122,579 </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350,465 </w:t>
            </w:r>
          </w:p>
        </w:tc>
      </w:tr>
    </w:tbl>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72" w:name="Tc_WJXXjn9ZoEyjY_S3hBTz2g_22_16"/>
      <w:bookmarkStart w:id="473" w:name="Tc_gW3OxWdD4E-a_dKn9ihrtA_22_13"/>
      <w:bookmarkStart w:id="474" w:name="Tc_eFlAaKPlz0q-81bcn8aAZA_22_10"/>
      <w:bookmarkStart w:id="475" w:name="Tc_rOpKBGU67katUNtc_OGx5g_22_7"/>
      <w:bookmarkStart w:id="476" w:name="Tc_M64k0Q9a3UCd-OM46T9IuQ_22_4"/>
      <w:bookmarkStart w:id="477" w:name="Tc_Xbjx8uhM5U--zIPDCzkWXw_22_0"/>
      <w:bookmarkStart w:id="478" w:name="Tc__RXQ860r80Cn9CCp7n4z2g_21_14"/>
      <w:bookmarkStart w:id="479" w:name="Tc_beq8WcxB2EK9d5A_aEuQ3A_21_8"/>
      <w:bookmarkStart w:id="480" w:name="Tc_5DQyW4vguU6rXUPCA_of2A_21_5"/>
      <w:bookmarkStart w:id="481" w:name="Tc_vN39PrOg1E6aolPTuWBn4w_21_2"/>
      <w:bookmarkStart w:id="482" w:name="Tc_CafObyok9EyBTjMy922i5w_21_0"/>
      <w:bookmarkStart w:id="483" w:name="Tc_fNEAnWH7A0mEUDWItg8icg_20_11"/>
      <w:bookmarkStart w:id="484" w:name="Tc_aZdPt9LXn0uLRPnDtP2NCg_20_8"/>
      <w:bookmarkStart w:id="485" w:name="Tc_mFjuxerzv0G5s9znRb3beg_20_5"/>
      <w:bookmarkStart w:id="486" w:name="Tc_2uZnHXTgj06ZFp0uIz3FzA_20_2"/>
      <w:bookmarkStart w:id="487" w:name="Tc_hhngq5yhp0KK6quhG5DElg_20_0"/>
      <w:bookmarkStart w:id="488" w:name="Tc_Y3AIHCBfIkCZOSI5JYGtlA_19_14"/>
      <w:bookmarkStart w:id="489" w:name="Tc_XqSyuR1_DEmiRm2wZX-2bQ_19_11"/>
      <w:bookmarkStart w:id="490" w:name="Tc_bgk0tM_KNk-4S6uEUtCtXA_19_5"/>
      <w:bookmarkStart w:id="491" w:name="Tc_HRzVdWZEikKdJJKUg05D2Q_19_2"/>
      <w:bookmarkStart w:id="492" w:name="Tc_Q8D-8yKmPUelYMqvpYZWJg_19_0"/>
      <w:bookmarkStart w:id="493" w:name="Tc_4z-SQX3fxEu-DBMvuUn3-g_18_17"/>
      <w:bookmarkStart w:id="494" w:name="Tc_3RgO77NS4kiohPu-XmB7TA_18_14"/>
      <w:bookmarkStart w:id="495" w:name="Tc_kDh0JsC5GEWOtgQ5OTkRjQ_18_11"/>
      <w:bookmarkStart w:id="496" w:name="Tc_-Dn1kX04rEiodddK8ISCAA_18_8"/>
      <w:bookmarkStart w:id="497" w:name="Tc_YMptdnyasUiUwqiTeKt6rA_18_5"/>
      <w:bookmarkStart w:id="498" w:name="Tc_W5OLek4vEkGaZGQZ8VVrXA_18_2"/>
      <w:bookmarkStart w:id="499" w:name="Tc_BDNCseRlyE6hUxo4aVJaGw_18_0"/>
      <w:bookmarkStart w:id="500" w:name="Tc_Vtj0DUxSV023eK_KLUIudQ_17_17"/>
      <w:bookmarkStart w:id="501" w:name="Tc_nBOk48EYrUWRylNCcu4Liw_17_14"/>
      <w:bookmarkStart w:id="502" w:name="Tc_E1bu2ewn6EqShPJrrxjSSA_17_11"/>
      <w:bookmarkStart w:id="503" w:name="Tc_QwPWozHpxkCBaKSMCpVLIg_17_8"/>
      <w:bookmarkStart w:id="504" w:name="Tc_RpUFTkOpV0aqmgmZL66oQA_17_5"/>
      <w:bookmarkStart w:id="505" w:name="Tc_9-ONcKad60esk_Vk_S8H8Q_17_0"/>
      <w:bookmarkStart w:id="506" w:name="Tc_z3Ey1a_5m0iQ90_EmzDglw_16_14"/>
      <w:bookmarkStart w:id="507" w:name="Tc_KwLGFYY_REyx7fj6LKvFpQ_16_11"/>
      <w:bookmarkStart w:id="508" w:name="Tc_fDRv_UHZy0-sEKAds43v5A_16_5"/>
      <w:bookmarkStart w:id="509" w:name="Tc_JDEP7QsHrkqvYvy14j27JA_16_0"/>
      <w:bookmarkStart w:id="510" w:name="Tc_2Ql5esWCYEmkC9_mD3aqrg_15_14"/>
      <w:bookmarkStart w:id="511" w:name="Tc_-iVWv5Z2YUqzQCPRX7xodg_15_11"/>
      <w:bookmarkStart w:id="512" w:name="Tc_Unegr3SxxkOMXyi9Y8X1Zg_15_0"/>
      <w:bookmarkStart w:id="513" w:name="Tc_I9PuaUmuJEuCIevWsxOO1A_14_16"/>
      <w:bookmarkStart w:id="514" w:name="Tc_DrbCeR1gfkqcXzWlmeJZaQ_14_13"/>
      <w:bookmarkStart w:id="515" w:name="Tc_5zjvNe_hrkSFn8ULfsB-KQ_14_10"/>
      <w:bookmarkStart w:id="516" w:name="Tc_9uCetYwPd0m9TAuYvddFsw_14_7"/>
      <w:bookmarkStart w:id="517" w:name="Tc_k_Gu8Jd1WUGkBhwVQ_Hxew_14_4"/>
      <w:bookmarkStart w:id="518" w:name="Tc_loqiqz2-r0urDn-B9iQTlQ_14_0"/>
      <w:bookmarkStart w:id="519" w:name="Tc_Jng5gCRRHEC5FZTtf9O0Qw_13_14"/>
      <w:bookmarkStart w:id="520" w:name="Tc_cNwX0kzOykmgCC4avVkGcQ_13_8"/>
      <w:bookmarkStart w:id="521" w:name="Tc_fl7ORP8RukqDxNtT5ZIOOg_13_5"/>
      <w:bookmarkStart w:id="522" w:name="Tc_GHOs1cEZS0qZCaLdUWT4EA_13_2"/>
      <w:bookmarkStart w:id="523" w:name="Tc_NnPiJR_4RUOCuyHK4tbLog_13_0"/>
      <w:bookmarkStart w:id="524" w:name="Tc_i4gNxd0NbUyXHdUGbtujog_12_11"/>
      <w:bookmarkStart w:id="525" w:name="Tc_MsURGzqQBESKMjTYaiWUqg_12_8"/>
      <w:bookmarkStart w:id="526" w:name="Tc_W5Dk-PJiGECiA3T-icvaWQ_12_5"/>
      <w:bookmarkStart w:id="527" w:name="Tc_JsbVSJrJzEuB9CXDHIrFTw_12_2"/>
      <w:bookmarkStart w:id="528" w:name="Tc_-Sow1R9-7kqEFm6qC-OamQ_12_0"/>
      <w:bookmarkStart w:id="529" w:name="Tc_Jaze5GWrZU69xXHS3YjDVQ_11_14"/>
      <w:bookmarkStart w:id="530" w:name="Tc_npU40H5jCkKh6K8KD4WfFQ_11_11"/>
      <w:bookmarkStart w:id="531" w:name="Tc_6uemNp-VIkGz_I5foGfPzw_11_5"/>
      <w:bookmarkStart w:id="532" w:name="Tc_nQ6RBy9G7kKUltfUIJ53fg_11_2"/>
      <w:bookmarkStart w:id="533" w:name="Tc_sXbjC9HX0Emxs9bT6puGQQ_11_0"/>
      <w:bookmarkStart w:id="534" w:name="Tc_LbSsIxk9k0mgvYhXD9vaoQ_10_14"/>
      <w:bookmarkStart w:id="535" w:name="Tc_RQbPixZ5b0Cc9OmUrQcI-w_10_11"/>
      <w:bookmarkStart w:id="536" w:name="Tc_i3yE3SBkpEyW65wQX5xoOg_10_0"/>
      <w:bookmarkStart w:id="537" w:name="Tc_blI5wESJyUKg1mOjZjIggQ_9_17"/>
      <w:bookmarkStart w:id="538" w:name="Tc_jNA3o2B5WEiQqLCymw5XkA_9_14"/>
      <w:bookmarkStart w:id="539" w:name="Tc_0z7BJjyBbUSgw8UzGFczIQ_9_11"/>
      <w:bookmarkStart w:id="540" w:name="Tc_oUO180Y4a0S1eKGFqe4mHA_9_0"/>
      <w:bookmarkStart w:id="541" w:name="Tc_QGU6jeDT-Umjtgix_y14eg_8_14"/>
      <w:bookmarkStart w:id="542" w:name="Tc_h-XFTHEA2UijqF1klPPQPg_8_11"/>
      <w:bookmarkStart w:id="543" w:name="Tc_UTgSmMcz4EiAisz0eKFRzg_8_0"/>
      <w:bookmarkStart w:id="544" w:name="Tc_ISBvhyyW9U-HdaPqnfstNg_7_14"/>
      <w:bookmarkStart w:id="545" w:name="Tc_CH6NSL4CNUCcLoan5KEq-w_7_11"/>
      <w:bookmarkStart w:id="546" w:name="Tc_-cUTUFbNUU-fBkB8O-VvXQ_7_5"/>
      <w:bookmarkStart w:id="547" w:name="Tc_WVbzrJf6t0upOPsDEPwskQ_7_0"/>
      <w:bookmarkStart w:id="548" w:name="Tc_xMMSBIpVmUSMBRmbFo5QGA_6_14"/>
      <w:bookmarkStart w:id="549" w:name="Tc_EunGKn0pJ0ywrPWdxHzVUA_6_11"/>
      <w:bookmarkStart w:id="550" w:name="Tc_kZP5eLMDDU6ge41cTh4lIQ_6_5"/>
      <w:bookmarkStart w:id="551" w:name="Tc_Mk_VrAWrP0-4W160idECnQ_6_0"/>
      <w:bookmarkStart w:id="552" w:name="Tc_uAFKNXf7Z0Wt8BeZLvFsOg_5_16"/>
      <w:bookmarkStart w:id="553" w:name="Tc_6pN7RmjXsEuNM_7pjfBF6g_5_13"/>
      <w:bookmarkStart w:id="554" w:name="Tc_Q-hXOg7kgk-SwJ8SqTuItw_5_10"/>
      <w:bookmarkStart w:id="555" w:name="Tc_7_TEMfk5bU-4te2p1EWqCA_5_7"/>
      <w:bookmarkStart w:id="556" w:name="Tc_MhFblfmHH0emw9BpVKJetg_5_4"/>
      <w:bookmarkStart w:id="557" w:name="Tc_iT73It-p20KSbVLxwXFXDg_5_0"/>
      <w:bookmarkStart w:id="558" w:name="Tc_DeIFXVROTUetudLSyhcbGw_4_16"/>
      <w:bookmarkStart w:id="559" w:name="Tc_bVQ2jO71Q0Wi4su6WmZyMw_4_13"/>
      <w:bookmarkStart w:id="560" w:name="Tc_2fIHxSPCo0WPijlptDBEHg_4_10"/>
      <w:bookmarkStart w:id="561" w:name="Tc_zmd4D1yxGkuk9Jkh_Qntug_4_7"/>
      <w:bookmarkStart w:id="562" w:name="Tc_rjQpqZtxEkGP_DeVGMNpeA_4_4"/>
      <w:bookmarkStart w:id="563" w:name="Tc_-MyRhGa09k6lIwmCRHIqAw_4_2"/>
      <w:bookmarkStart w:id="564" w:name="Tc_jdtpdvhEnEqffVdYORkIAg_3_13"/>
      <w:bookmarkStart w:id="565" w:name="Tc_Iom_kBDCxk-_xLylHhnUgg_3_10"/>
      <w:bookmarkStart w:id="566" w:name="Tc_bmegKe_Fo0qDdl_20C0GeA_3_7"/>
      <w:bookmarkStart w:id="567" w:name="Tc_PP5R4uN2BUyqALo9J6vrCw_3_2"/>
      <w:bookmarkStart w:id="568" w:name="Tc_MSHUXi2xNk-e-iOrYfuFAw_2_10"/>
      <w:bookmarkStart w:id="569" w:name="Tc_NPUDf0MYm0iU54yKBAqa-g_2_7"/>
      <w:bookmarkStart w:id="570" w:name="Tc_oNwRirf_Akm3KT7fRqiN2g_1_10"/>
      <w:bookmarkStart w:id="571" w:name="_3030306c_de9d_4eb6_bb95_3940f3be0f05"/>
      <w:bookmarkStart w:id="572" w:name="Tc_WJXXjn9ZoEyjY_S3hBTz2g_22_16"/>
      <w:bookmarkStart w:id="573" w:name="Tc_gW3OxWdD4E-a_dKn9ihrtA_22_13"/>
      <w:bookmarkStart w:id="574" w:name="Tc_eFlAaKPlz0q-81bcn8aAZA_22_10"/>
      <w:bookmarkStart w:id="575" w:name="Tc_rOpKBGU67katUNtc_OGx5g_22_7"/>
      <w:bookmarkStart w:id="576" w:name="Tc_M64k0Q9a3UCd-OM46T9IuQ_22_4"/>
      <w:bookmarkStart w:id="577" w:name="Tc_Xbjx8uhM5U--zIPDCzkWXw_22_0"/>
      <w:bookmarkStart w:id="578" w:name="Tc__RXQ860r80Cn9CCp7n4z2g_21_14"/>
      <w:bookmarkStart w:id="579" w:name="Tc_beq8WcxB2EK9d5A_aEuQ3A_21_8"/>
      <w:bookmarkStart w:id="580" w:name="Tc_5DQyW4vguU6rXUPCA_of2A_21_5"/>
      <w:bookmarkStart w:id="581" w:name="Tc_vN39PrOg1E6aolPTuWBn4w_21_2"/>
      <w:bookmarkStart w:id="582" w:name="Tc_CafObyok9EyBTjMy922i5w_21_0"/>
      <w:bookmarkStart w:id="583" w:name="Tc_fNEAnWH7A0mEUDWItg8icg_20_11"/>
      <w:bookmarkStart w:id="584" w:name="Tc_aZdPt9LXn0uLRPnDtP2NCg_20_8"/>
      <w:bookmarkStart w:id="585" w:name="Tc_mFjuxerzv0G5s9znRb3beg_20_5"/>
      <w:bookmarkStart w:id="586" w:name="Tc_2uZnHXTgj06ZFp0uIz3FzA_20_2"/>
      <w:bookmarkStart w:id="587" w:name="Tc_hhngq5yhp0KK6quhG5DElg_20_0"/>
      <w:bookmarkStart w:id="588" w:name="Tc_Y3AIHCBfIkCZOSI5JYGtlA_19_14"/>
      <w:bookmarkStart w:id="589" w:name="Tc_XqSyuR1_DEmiRm2wZX-2bQ_19_11"/>
      <w:bookmarkStart w:id="590" w:name="Tc_bgk0tM_KNk-4S6uEUtCtXA_19_5"/>
      <w:bookmarkStart w:id="591" w:name="Tc_HRzVdWZEikKdJJKUg05D2Q_19_2"/>
      <w:bookmarkStart w:id="592" w:name="Tc_Q8D-8yKmPUelYMqvpYZWJg_19_0"/>
      <w:bookmarkStart w:id="593" w:name="Tc_4z-SQX3fxEu-DBMvuUn3-g_18_17"/>
      <w:bookmarkStart w:id="594" w:name="Tc_3RgO77NS4kiohPu-XmB7TA_18_14"/>
      <w:bookmarkStart w:id="595" w:name="Tc_kDh0JsC5GEWOtgQ5OTkRjQ_18_11"/>
      <w:bookmarkStart w:id="596" w:name="Tc_-Dn1kX04rEiodddK8ISCAA_18_8"/>
      <w:bookmarkStart w:id="597" w:name="Tc_YMptdnyasUiUwqiTeKt6rA_18_5"/>
      <w:bookmarkStart w:id="598" w:name="Tc_W5OLek4vEkGaZGQZ8VVrXA_18_2"/>
      <w:bookmarkStart w:id="599" w:name="Tc_BDNCseRlyE6hUxo4aVJaGw_18_0"/>
      <w:bookmarkStart w:id="600" w:name="Tc_Vtj0DUxSV023eK_KLUIudQ_17_17"/>
      <w:bookmarkStart w:id="601" w:name="Tc_nBOk48EYrUWRylNCcu4Liw_17_14"/>
      <w:bookmarkStart w:id="602" w:name="Tc_E1bu2ewn6EqShPJrrxjSSA_17_11"/>
      <w:bookmarkStart w:id="603" w:name="Tc_QwPWozHpxkCBaKSMCpVLIg_17_8"/>
      <w:bookmarkStart w:id="604" w:name="Tc_RpUFTkOpV0aqmgmZL66oQA_17_5"/>
      <w:bookmarkStart w:id="605" w:name="Tc_9-ONcKad60esk_Vk_S8H8Q_17_0"/>
      <w:bookmarkStart w:id="606" w:name="Tc_z3Ey1a_5m0iQ90_EmzDglw_16_14"/>
      <w:bookmarkStart w:id="607" w:name="Tc_KwLGFYY_REyx7fj6LKvFpQ_16_11"/>
      <w:bookmarkStart w:id="608" w:name="Tc_fDRv_UHZy0-sEKAds43v5A_16_5"/>
      <w:bookmarkStart w:id="609" w:name="Tc_JDEP7QsHrkqvYvy14j27JA_16_0"/>
      <w:bookmarkStart w:id="610" w:name="Tc_2Ql5esWCYEmkC9_mD3aqrg_15_14"/>
      <w:bookmarkStart w:id="611" w:name="Tc_-iVWv5Z2YUqzQCPRX7xodg_15_11"/>
      <w:bookmarkStart w:id="612" w:name="Tc_Unegr3SxxkOMXyi9Y8X1Zg_15_0"/>
      <w:bookmarkStart w:id="613" w:name="Tc_I9PuaUmuJEuCIevWsxOO1A_14_16"/>
      <w:bookmarkStart w:id="614" w:name="Tc_DrbCeR1gfkqcXzWlmeJZaQ_14_13"/>
      <w:bookmarkStart w:id="615" w:name="Tc_5zjvNe_hrkSFn8ULfsB-KQ_14_10"/>
      <w:bookmarkStart w:id="616" w:name="Tc_9uCetYwPd0m9TAuYvddFsw_14_7"/>
      <w:bookmarkStart w:id="617" w:name="Tc_k_Gu8Jd1WUGkBhwVQ_Hxew_14_4"/>
      <w:bookmarkStart w:id="618" w:name="Tc_loqiqz2-r0urDn-B9iQTlQ_14_0"/>
      <w:bookmarkStart w:id="619" w:name="Tc_Jng5gCRRHEC5FZTtf9O0Qw_13_14"/>
      <w:bookmarkStart w:id="620" w:name="Tc_cNwX0kzOykmgCC4avVkGcQ_13_8"/>
      <w:bookmarkStart w:id="621" w:name="Tc_fl7ORP8RukqDxNtT5ZIOOg_13_5"/>
      <w:bookmarkStart w:id="622" w:name="Tc_GHOs1cEZS0qZCaLdUWT4EA_13_2"/>
      <w:bookmarkStart w:id="623" w:name="Tc_NnPiJR_4RUOCuyHK4tbLog_13_0"/>
      <w:bookmarkStart w:id="624" w:name="Tc_i4gNxd0NbUyXHdUGbtujog_12_11"/>
      <w:bookmarkStart w:id="625" w:name="Tc_MsURGzqQBESKMjTYaiWUqg_12_8"/>
      <w:bookmarkStart w:id="626" w:name="Tc_W5Dk-PJiGECiA3T-icvaWQ_12_5"/>
      <w:bookmarkStart w:id="627" w:name="Tc_JsbVSJrJzEuB9CXDHIrFTw_12_2"/>
      <w:bookmarkStart w:id="628" w:name="Tc_-Sow1R9-7kqEFm6qC-OamQ_12_0"/>
      <w:bookmarkStart w:id="629" w:name="Tc_Jaze5GWrZU69xXHS3YjDVQ_11_14"/>
      <w:bookmarkStart w:id="630" w:name="Tc_npU40H5jCkKh6K8KD4WfFQ_11_11"/>
      <w:bookmarkStart w:id="631" w:name="Tc_6uemNp-VIkGz_I5foGfPzw_11_5"/>
      <w:bookmarkStart w:id="632" w:name="Tc_nQ6RBy9G7kKUltfUIJ53fg_11_2"/>
      <w:bookmarkStart w:id="633" w:name="Tc_sXbjC9HX0Emxs9bT6puGQQ_11_0"/>
      <w:bookmarkStart w:id="634" w:name="Tc_LbSsIxk9k0mgvYhXD9vaoQ_10_14"/>
      <w:bookmarkStart w:id="635" w:name="Tc_RQbPixZ5b0Cc9OmUrQcI-w_10_11"/>
      <w:bookmarkStart w:id="636" w:name="Tc_i3yE3SBkpEyW65wQX5xoOg_10_0"/>
      <w:bookmarkStart w:id="637" w:name="Tc_blI5wESJyUKg1mOjZjIggQ_9_17"/>
      <w:bookmarkStart w:id="638" w:name="Tc_jNA3o2B5WEiQqLCymw5XkA_9_14"/>
      <w:bookmarkStart w:id="639" w:name="Tc_0z7BJjyBbUSgw8UzGFczIQ_9_11"/>
      <w:bookmarkStart w:id="640" w:name="Tc_oUO180Y4a0S1eKGFqe4mHA_9_0"/>
      <w:bookmarkStart w:id="641" w:name="Tc_QGU6jeDT-Umjtgix_y14eg_8_14"/>
      <w:bookmarkStart w:id="642" w:name="Tc_h-XFTHEA2UijqF1klPPQPg_8_11"/>
      <w:bookmarkStart w:id="643" w:name="Tc_UTgSmMcz4EiAisz0eKFRzg_8_0"/>
      <w:bookmarkStart w:id="644" w:name="Tc_ISBvhyyW9U-HdaPqnfstNg_7_14"/>
      <w:bookmarkStart w:id="645" w:name="Tc_CH6NSL4CNUCcLoan5KEq-w_7_11"/>
      <w:bookmarkStart w:id="646" w:name="Tc_-cUTUFbNUU-fBkB8O-VvXQ_7_5"/>
      <w:bookmarkStart w:id="647" w:name="Tc_WVbzrJf6t0upOPsDEPwskQ_7_0"/>
      <w:bookmarkStart w:id="648" w:name="Tc_xMMSBIpVmUSMBRmbFo5QGA_6_14"/>
      <w:bookmarkStart w:id="649" w:name="Tc_EunGKn0pJ0ywrPWdxHzVUA_6_11"/>
      <w:bookmarkStart w:id="650" w:name="Tc_kZP5eLMDDU6ge41cTh4lIQ_6_5"/>
      <w:bookmarkStart w:id="651" w:name="Tc_Mk_VrAWrP0-4W160idECnQ_6_0"/>
      <w:bookmarkStart w:id="652" w:name="Tc_uAFKNXf7Z0Wt8BeZLvFsOg_5_16"/>
      <w:bookmarkStart w:id="653" w:name="Tc_6pN7RmjXsEuNM_7pjfBF6g_5_13"/>
      <w:bookmarkStart w:id="654" w:name="Tc_Q-hXOg7kgk-SwJ8SqTuItw_5_10"/>
      <w:bookmarkStart w:id="655" w:name="Tc_7_TEMfk5bU-4te2p1EWqCA_5_7"/>
      <w:bookmarkStart w:id="656" w:name="Tc_MhFblfmHH0emw9BpVKJetg_5_4"/>
      <w:bookmarkStart w:id="657" w:name="Tc_iT73It-p20KSbVLxwXFXDg_5_0"/>
      <w:bookmarkStart w:id="658" w:name="Tc_DeIFXVROTUetudLSyhcbGw_4_16"/>
      <w:bookmarkStart w:id="659" w:name="Tc_bVQ2jO71Q0Wi4su6WmZyMw_4_13"/>
      <w:bookmarkStart w:id="660" w:name="Tc_2fIHxSPCo0WPijlptDBEHg_4_10"/>
      <w:bookmarkStart w:id="661" w:name="Tc_zmd4D1yxGkuk9Jkh_Qntug_4_7"/>
      <w:bookmarkStart w:id="662" w:name="Tc_rjQpqZtxEkGP_DeVGMNpeA_4_4"/>
      <w:bookmarkStart w:id="663" w:name="Tc_-MyRhGa09k6lIwmCRHIqAw_4_2"/>
      <w:bookmarkStart w:id="664" w:name="Tc_jdtpdvhEnEqffVdYORkIAg_3_13"/>
      <w:bookmarkStart w:id="665" w:name="Tc_Iom_kBDCxk-_xLylHhnUgg_3_10"/>
      <w:bookmarkStart w:id="666" w:name="Tc_bmegKe_Fo0qDdl_20C0GeA_3_7"/>
      <w:bookmarkStart w:id="667" w:name="Tc_PP5R4uN2BUyqALo9J6vrCw_3_2"/>
      <w:bookmarkStart w:id="668" w:name="Tc_MSHUXi2xNk-e-iOrYfuFAw_2_10"/>
      <w:bookmarkStart w:id="669" w:name="Tc_NPUDf0MYm0iU54yKBAqa-g_2_7"/>
      <w:bookmarkStart w:id="670" w:name="Tc_oNwRirf_Akm3KT7fRqiN2g_1_10"/>
      <w:bookmarkStart w:id="671" w:name="_3030306c_de9d_4eb6_bb95_3940f3be0f05"/>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tbl>
      <w:tblPr>
        <w:tblW w:w="10205" w:type="dxa"/>
        <w:jc w:val="left"/>
        <w:tblInd w:w="0" w:type="dxa"/>
        <w:tblLayout w:type="fixed"/>
        <w:tblCellMar>
          <w:top w:w="0" w:type="dxa"/>
          <w:left w:w="0" w:type="dxa"/>
          <w:bottom w:w="0" w:type="dxa"/>
          <w:right w:w="0" w:type="dxa"/>
        </w:tblCellMar>
      </w:tblPr>
      <w:tblGrid>
        <w:gridCol w:w="2526"/>
        <w:gridCol w:w="346"/>
        <w:gridCol w:w="686"/>
        <w:gridCol w:w="346"/>
        <w:gridCol w:w="230"/>
        <w:gridCol w:w="462"/>
        <w:gridCol w:w="346"/>
        <w:gridCol w:w="211"/>
        <w:gridCol w:w="791"/>
        <w:gridCol w:w="346"/>
        <w:gridCol w:w="370"/>
        <w:gridCol w:w="846"/>
        <w:gridCol w:w="346"/>
        <w:gridCol w:w="211"/>
        <w:gridCol w:w="686"/>
        <w:gridCol w:w="346"/>
        <w:gridCol w:w="211"/>
        <w:gridCol w:w="899"/>
      </w:tblGrid>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5610" cy="175260"/>
                      <wp:effectExtent l="0" t="0" r="0" b="0"/>
                      <wp:wrapNone/>
                      <wp:docPr id="44" name="Frame4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6050" cy="175260"/>
                      <wp:effectExtent l="0" t="0" r="0" b="0"/>
                      <wp:wrapNone/>
                      <wp:docPr id="46" name="Frame4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93370" cy="175260"/>
                      <wp:effectExtent l="0" t="0" r="0" b="0"/>
                      <wp:wrapNone/>
                      <wp:docPr id="47" name="Frame47"/>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2285" cy="175260"/>
                      <wp:effectExtent l="0" t="0" r="0" b="0"/>
                      <wp:wrapNone/>
                      <wp:docPr id="50" name="Frame5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34950" cy="175260"/>
                      <wp:effectExtent l="0" t="0" r="0" b="0"/>
                      <wp:wrapNone/>
                      <wp:docPr id="52" name="Frame52"/>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37210" cy="175260"/>
                      <wp:effectExtent l="0" t="0" r="0" b="0"/>
                      <wp:wrapNone/>
                      <wp:docPr id="53" name="Frame53"/>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35610" cy="175260"/>
                      <wp:effectExtent l="0" t="0" r="0" b="0"/>
                      <wp:wrapNone/>
                      <wp:docPr id="56" name="Frame56"/>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70865" cy="175260"/>
                      <wp:effectExtent l="0" t="0" r="0" b="0"/>
                      <wp:wrapNone/>
                      <wp:docPr id="59" name="Frame59"/>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89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r>
      <w:tr>
        <w:trPr/>
        <w:tc>
          <w:tcPr>
            <w:tcW w:w="2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27, 2024</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14,169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142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197,368 </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37,147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234,343 </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(2,878)</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issued to acquire businesses</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5,555</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5,557</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April 4, 2025</w:t>
            </w:r>
          </w:p>
        </w:tc>
        <w:tc>
          <w:tcPr>
            <w:tcW w:w="346" w:type="dxa"/>
            <w:tcBorders/>
            <w:vAlign w:val="center"/>
          </w:tcPr>
          <w:p>
            <w:pPr>
              <w:pStyle w:val="TableContents"/>
              <w:bidi w:val="0"/>
              <w:spacing w:before="0" w:after="0"/>
              <w:ind w:left="0" w:right="0" w:hanging="0"/>
              <w:jc w:val="left"/>
              <w:rPr/>
            </w:pPr>
            <w:r>
              <w:rPr/>
              <w:t> </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14,497 </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145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204,036 </w:t>
            </w:r>
          </w:p>
        </w:tc>
        <w:tc>
          <w:tcPr>
            <w:tcW w:w="34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41,834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245,516 </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1,828</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issued to acquire businesses</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15,436</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July 4, 2025</w:t>
            </w:r>
          </w:p>
        </w:tc>
        <w:tc>
          <w:tcPr>
            <w:tcW w:w="346" w:type="dxa"/>
            <w:tcBorders/>
            <w:vAlign w:val="center"/>
          </w:tcPr>
          <w:p>
            <w:pPr>
              <w:pStyle w:val="TableContents"/>
              <w:bidi w:val="0"/>
              <w:spacing w:before="0" w:after="0"/>
              <w:ind w:left="0" w:right="0" w:hanging="0"/>
              <w:jc w:val="left"/>
              <w:rPr/>
            </w:pPr>
            <w:r>
              <w:rPr/>
              <w:t> </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14,611 </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146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208,830 </w:t>
            </w:r>
          </w:p>
        </w:tc>
        <w:tc>
          <w:tcPr>
            <w:tcW w:w="34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57,270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265,935 </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16"/>
        </w:rPr>
      </w:pPr>
      <w:bookmarkStart w:id="672" w:name="_518d3c0c_b05f_4747_9d65_77fa598df99f"/>
      <w:bookmarkEnd w:id="672"/>
      <w:r>
        <w:rPr>
          <w:rFonts w:ascii="Times New Roman;Times;serif" w:hAnsi="Times New Roman;Times;serif"/>
          <w:b/>
          <w:sz w:val="16"/>
        </w:rPr>
        <w:t>WILLDAN GROUP, INC. AND SUBSIDIARIES</w:t>
      </w:r>
    </w:p>
    <w:p>
      <w:pPr>
        <w:pStyle w:val="TextBody"/>
        <w:bidi w:val="0"/>
        <w:spacing w:lineRule="atLeast" w:line="200" w:before="0" w:after="0"/>
        <w:ind w:left="0" w:right="0" w:hanging="0"/>
        <w:jc w:val="center"/>
        <w:rPr>
          <w:rFonts w:ascii="Times New Roman;Times;serif" w:hAnsi="Times New Roman;Times;serif"/>
          <w:b/>
          <w:sz w:val="16"/>
        </w:rPr>
      </w:pPr>
      <w:bookmarkStart w:id="673" w:name="CONSOLIDATEDSTATEMENTSOFCASHFLOWS_554577"/>
      <w:bookmarkEnd w:id="673"/>
      <w:r>
        <w:rPr>
          <w:rFonts w:ascii="Times New Roman;Times;serif" w:hAnsi="Times New Roman;Times;serif"/>
          <w:b/>
          <w:sz w:val="16"/>
        </w:rPr>
        <w:t>CONDENSED CONSOLIDATED STATEMENTS OF CASH FLOWS</w:t>
      </w:r>
    </w:p>
    <w:p>
      <w:pPr>
        <w:pStyle w:val="TextBody"/>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p>
      <w:pPr>
        <w:pStyle w:val="TextBody"/>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74" w:name="Tc_LPfQbdRoAUS1_aFWdEq2pQ_57_0"/>
      <w:bookmarkStart w:id="675" w:name="Tc_z7pJ5HUh7UKaDzgK0DxUJw_56_6"/>
      <w:bookmarkStart w:id="676" w:name="Tc_cJTmH6weBUaY_WV2g1RVCA_56_0"/>
      <w:bookmarkStart w:id="677" w:name="Tc_BWtgl_u1W06nExhDowj-MA_55_0"/>
      <w:bookmarkStart w:id="678" w:name="Tc_egR5FErL40OYxzL3ltOz5w_54_5"/>
      <w:bookmarkStart w:id="679" w:name="Tc_SUm572t2j0WPTZAbQsYvsA_54_2"/>
      <w:bookmarkStart w:id="680" w:name="Tc_yDIgtx-8fEaU5yx98GlxYg_54_0"/>
      <w:bookmarkStart w:id="681" w:name="Tc_w_VUthjePE-5iEcVo0PFzw_53_0"/>
      <w:bookmarkStart w:id="682" w:name="Tc_dXm9EmJKQE-ymhICOoqkTQ_52_0"/>
      <w:bookmarkStart w:id="683" w:name="Tc_tjBDp7Qn1EW35Xdt4U3vjA_51_5"/>
      <w:bookmarkStart w:id="684" w:name="Tc_elUuleVeqEa_0UWHhfPpBg_51_2"/>
      <w:bookmarkStart w:id="685" w:name="Tc_ULKM1GUZV0KZdGNKZzEX0g_51_0"/>
      <w:bookmarkStart w:id="686" w:name="Tc_WcvrGzZX60uniSJmOIbdUw_50_0"/>
      <w:bookmarkStart w:id="687" w:name="Tc_rlZgI3juIkyYpj-fBsOwGw_49_0"/>
      <w:bookmarkStart w:id="688" w:name="Tc_ehQeLEIfoEW8VwfFpl6i8Q_48_5"/>
      <w:bookmarkStart w:id="689" w:name="Tc_7aWAvRlULkauKWkp_11sHQ_48_2"/>
      <w:bookmarkStart w:id="690" w:name="Tc_3-6KbgVYbky--4KMtFELVA_48_0"/>
      <w:bookmarkStart w:id="691" w:name="Tc_VrBl43OMUkmikSm5F4p91A_47_0"/>
      <w:bookmarkStart w:id="692" w:name="Tc_fIhCa7qf6Ueu4YiinmFh-g_46_0"/>
      <w:bookmarkStart w:id="693" w:name="Tc_FK10lKnQl0q6RMth1_9b_g_45_0"/>
      <w:bookmarkStart w:id="694" w:name="Tc_zMlvjhNJ00GGiAm5zbWdxA_44_0"/>
      <w:bookmarkStart w:id="695" w:name="Tc_h-_cwkdCWkur7TipPimnvw_43_0"/>
      <w:bookmarkStart w:id="696" w:name="Tc_5W_Lg5mTn0WxUNfobA-QEw_42_0"/>
      <w:bookmarkStart w:id="697" w:name="Tc_29sjqa-xGU6fdhcWVp4gTA_41_0"/>
      <w:bookmarkStart w:id="698" w:name="Tc_Qeww3CqOXk6p9dl8JOB3-A_40_0"/>
      <w:bookmarkStart w:id="699" w:name="Tc_g2NVI2WH40e0epPg6c-tRQ_39_6"/>
      <w:bookmarkStart w:id="700" w:name="Tc_LX1P7fzTT0CbbOInthFowA_39_0"/>
      <w:bookmarkStart w:id="701" w:name="Tc_x9SZbYeOo0K5tMy_zb0sVw_38_6"/>
      <w:bookmarkStart w:id="702" w:name="Tc_W3qseD0MIki0dYgQPK9mYQ_38_0"/>
      <w:bookmarkStart w:id="703" w:name="Tc_1SpCBJAnGEiXlW4HnZqh9w_37_3"/>
      <w:bookmarkStart w:id="704" w:name="Tc_5vqSQEFmv0yYIKw8oJ2Oxw_37_0"/>
      <w:bookmarkStart w:id="705" w:name="Tc_wZGoZ5kHPkGNtCPih4lkeA_36_3"/>
      <w:bookmarkStart w:id="706" w:name="Tc_NFdKc773jEWX2z9W5WO0OA_36_0"/>
      <w:bookmarkStart w:id="707" w:name="Tc_9IRcixq3-U2ftHJLEN9CoA_35_3"/>
      <w:bookmarkStart w:id="708" w:name="Tc_GtI57vKhv0uta9WRnZH7fw_35_0"/>
      <w:bookmarkStart w:id="709" w:name="Tc_g5us-dwaAkO0ySbXu76M4g_34_3"/>
      <w:bookmarkStart w:id="710" w:name="Tc_G4g0DxjlyUWqzmlNtvDu3Q_34_0"/>
      <w:bookmarkStart w:id="711" w:name="Tc_U8vT94eHnUmSNHQxukmb7Q_33_6"/>
      <w:bookmarkStart w:id="712" w:name="Tc_4ixUuKT1pk2MXVEmsW8cJQ_33_0"/>
      <w:bookmarkStart w:id="713" w:name="Tc_8pJ8PSE4WkeFBc7wBWOawg_32_6"/>
      <w:bookmarkStart w:id="714" w:name="Tc_pdCLVCJu0Uq0_VB73TkQ-A_32_0"/>
      <w:bookmarkStart w:id="715" w:name="Tc_NwtqfMtaaEeM_7NoqXlpyQ_31_6"/>
      <w:bookmarkStart w:id="716" w:name="Tc_EL3ynCdsx0Kvl8QS8Pzxpw_31_0"/>
      <w:bookmarkStart w:id="717" w:name="Tc_fy4hW6fBVESNdIr5i45uqQ_30_0"/>
      <w:bookmarkStart w:id="718" w:name="Tc_DW13Rr6vikundSrqpyRbtA_29_0"/>
      <w:bookmarkStart w:id="719" w:name="Tc_Z_o_UCYaOUebAE6Pu1MD8Q_28_0"/>
      <w:bookmarkStart w:id="720" w:name="Tc_-eF7odkN40u3tdxNZbPGpQ_27_0"/>
      <w:bookmarkStart w:id="721" w:name="Tc_SA0eUHYt20SVmShweVDtgg_26_0"/>
      <w:bookmarkStart w:id="722" w:name="Tc_No5MRUEhi0ecR_uAfd5N5A_25_0"/>
      <w:bookmarkStart w:id="723" w:name="Tc_yeGek7Q6RUuVd4l17BhxOw_24_0"/>
      <w:bookmarkStart w:id="724" w:name="Tc_8qz5FW7qIUuZ3-LNBESATA_23_0"/>
      <w:bookmarkStart w:id="725" w:name="Tc_9b-V3X87gkCkUM2cEbEg4Q_22_0"/>
      <w:bookmarkStart w:id="726" w:name="Tc_EyHWXKnDR0-HfoQKQaaF6A_21_0"/>
      <w:bookmarkStart w:id="727" w:name="Tc_p3BiZcbauEOtYo-uGpLLQA_20_0"/>
      <w:bookmarkStart w:id="728" w:name="Tc_ePoTgBOK-kGld1bgtOiv_g_19_0"/>
      <w:bookmarkStart w:id="729" w:name="Tc_p3oj8CzfIUCbO1-DJQ6Xag_18_0"/>
      <w:bookmarkStart w:id="730" w:name="Tc_D8Vrnr5Ueke9ajhDw1tX6w_17_0"/>
      <w:bookmarkStart w:id="731" w:name="Tc_qONwHjCz3Uy6z7OA8w6HKQ_16_0"/>
      <w:bookmarkStart w:id="732" w:name="Tc_ntbmbzHS9E2scCKISCdG7A_15_0"/>
      <w:bookmarkStart w:id="733" w:name="Tc_JGIPOi1HiEeOgdmqOQdc_Q_14_0"/>
      <w:bookmarkStart w:id="734" w:name="Tc_Z8l0QJ2_FE2mcNvTfpeoGg_13_0"/>
      <w:bookmarkStart w:id="735" w:name="Tc_PhtNNW8Oz0yjsor0lMtxWA_12_0"/>
      <w:bookmarkStart w:id="736" w:name="Tc_YmTR2VbEhUyGj8yhuEtpaA_11_0"/>
      <w:bookmarkStart w:id="737" w:name="Tc_9KcNLDjGek-h6DimpPNRoQ_10_0"/>
      <w:bookmarkStart w:id="738" w:name="Tc_1Ti5lS5o6UC_6XYveT01cQ_9_0"/>
      <w:bookmarkStart w:id="739" w:name="Tc_9tB7oXMr_EW-9F6-yS0tuw_8_0"/>
      <w:bookmarkStart w:id="740" w:name="Tc_lBla8zE590-_SiAB2oIHnA_7_0"/>
      <w:bookmarkStart w:id="741" w:name="Tc_sy7QVKqtKEuB12ij76sK3w_6_0"/>
      <w:bookmarkStart w:id="742" w:name="Tc_nCtICwhRLkqPn_QyFxrA3w_5_5"/>
      <w:bookmarkStart w:id="743" w:name="Tc_S8lnUWkr60q_q3Gj-ohXVQ_5_2"/>
      <w:bookmarkStart w:id="744" w:name="Tc_Erna7WvYgEKXgdCfr-zdRg_5_0"/>
      <w:bookmarkStart w:id="745" w:name="Tc_6FYYbcxw_kGdCqUnFPx3Pg_4_0"/>
      <w:bookmarkStart w:id="746" w:name="Tc_d_oLAgAlw0uW1Ys6J4YYMA_3_5"/>
      <w:bookmarkStart w:id="747" w:name="Tc_IehHL4PJD0auYs3Iq6ypWg_3_2"/>
      <w:bookmarkStart w:id="748" w:name="Tc_T6xXLoPY7kqDJ1NGjZ7TKw_2_5"/>
      <w:bookmarkStart w:id="749" w:name="Tc_86kfjMwAQ0Oo49NJS_7i3Q_2_2"/>
      <w:bookmarkStart w:id="750" w:name="Tc_QMuMIlKVfkOirrQIr898aw_1_2"/>
      <w:bookmarkStart w:id="751" w:name="_31a030d4_5118_4071_9295_08e350874241"/>
      <w:bookmarkStart w:id="752" w:name="Tc_LPfQbdRoAUS1_aFWdEq2pQ_57_0"/>
      <w:bookmarkStart w:id="753" w:name="Tc_z7pJ5HUh7UKaDzgK0DxUJw_56_6"/>
      <w:bookmarkStart w:id="754" w:name="Tc_cJTmH6weBUaY_WV2g1RVCA_56_0"/>
      <w:bookmarkStart w:id="755" w:name="Tc_BWtgl_u1W06nExhDowj-MA_55_0"/>
      <w:bookmarkStart w:id="756" w:name="Tc_egR5FErL40OYxzL3ltOz5w_54_5"/>
      <w:bookmarkStart w:id="757" w:name="Tc_SUm572t2j0WPTZAbQsYvsA_54_2"/>
      <w:bookmarkStart w:id="758" w:name="Tc_yDIgtx-8fEaU5yx98GlxYg_54_0"/>
      <w:bookmarkStart w:id="759" w:name="Tc_w_VUthjePE-5iEcVo0PFzw_53_0"/>
      <w:bookmarkStart w:id="760" w:name="Tc_dXm9EmJKQE-ymhICOoqkTQ_52_0"/>
      <w:bookmarkStart w:id="761" w:name="Tc_tjBDp7Qn1EW35Xdt4U3vjA_51_5"/>
      <w:bookmarkStart w:id="762" w:name="Tc_elUuleVeqEa_0UWHhfPpBg_51_2"/>
      <w:bookmarkStart w:id="763" w:name="Tc_ULKM1GUZV0KZdGNKZzEX0g_51_0"/>
      <w:bookmarkStart w:id="764" w:name="Tc_WcvrGzZX60uniSJmOIbdUw_50_0"/>
      <w:bookmarkStart w:id="765" w:name="Tc_rlZgI3juIkyYpj-fBsOwGw_49_0"/>
      <w:bookmarkStart w:id="766" w:name="Tc_ehQeLEIfoEW8VwfFpl6i8Q_48_5"/>
      <w:bookmarkStart w:id="767" w:name="Tc_7aWAvRlULkauKWkp_11sHQ_48_2"/>
      <w:bookmarkStart w:id="768" w:name="Tc_3-6KbgVYbky--4KMtFELVA_48_0"/>
      <w:bookmarkStart w:id="769" w:name="Tc_VrBl43OMUkmikSm5F4p91A_47_0"/>
      <w:bookmarkStart w:id="770" w:name="Tc_fIhCa7qf6Ueu4YiinmFh-g_46_0"/>
      <w:bookmarkStart w:id="771" w:name="Tc_FK10lKnQl0q6RMth1_9b_g_45_0"/>
      <w:bookmarkStart w:id="772" w:name="Tc_zMlvjhNJ00GGiAm5zbWdxA_44_0"/>
      <w:bookmarkStart w:id="773" w:name="Tc_h-_cwkdCWkur7TipPimnvw_43_0"/>
      <w:bookmarkStart w:id="774" w:name="Tc_5W_Lg5mTn0WxUNfobA-QEw_42_0"/>
      <w:bookmarkStart w:id="775" w:name="Tc_29sjqa-xGU6fdhcWVp4gTA_41_0"/>
      <w:bookmarkStart w:id="776" w:name="Tc_Qeww3CqOXk6p9dl8JOB3-A_40_0"/>
      <w:bookmarkStart w:id="777" w:name="Tc_g2NVI2WH40e0epPg6c-tRQ_39_6"/>
      <w:bookmarkStart w:id="778" w:name="Tc_LX1P7fzTT0CbbOInthFowA_39_0"/>
      <w:bookmarkStart w:id="779" w:name="Tc_x9SZbYeOo0K5tMy_zb0sVw_38_6"/>
      <w:bookmarkStart w:id="780" w:name="Tc_W3qseD0MIki0dYgQPK9mYQ_38_0"/>
      <w:bookmarkStart w:id="781" w:name="Tc_1SpCBJAnGEiXlW4HnZqh9w_37_3"/>
      <w:bookmarkStart w:id="782" w:name="Tc_5vqSQEFmv0yYIKw8oJ2Oxw_37_0"/>
      <w:bookmarkStart w:id="783" w:name="Tc_wZGoZ5kHPkGNtCPih4lkeA_36_3"/>
      <w:bookmarkStart w:id="784" w:name="Tc_NFdKc773jEWX2z9W5WO0OA_36_0"/>
      <w:bookmarkStart w:id="785" w:name="Tc_9IRcixq3-U2ftHJLEN9CoA_35_3"/>
      <w:bookmarkStart w:id="786" w:name="Tc_GtI57vKhv0uta9WRnZH7fw_35_0"/>
      <w:bookmarkStart w:id="787" w:name="Tc_g5us-dwaAkO0ySbXu76M4g_34_3"/>
      <w:bookmarkStart w:id="788" w:name="Tc_G4g0DxjlyUWqzmlNtvDu3Q_34_0"/>
      <w:bookmarkStart w:id="789" w:name="Tc_U8vT94eHnUmSNHQxukmb7Q_33_6"/>
      <w:bookmarkStart w:id="790" w:name="Tc_4ixUuKT1pk2MXVEmsW8cJQ_33_0"/>
      <w:bookmarkStart w:id="791" w:name="Tc_8pJ8PSE4WkeFBc7wBWOawg_32_6"/>
      <w:bookmarkStart w:id="792" w:name="Tc_pdCLVCJu0Uq0_VB73TkQ-A_32_0"/>
      <w:bookmarkStart w:id="793" w:name="Tc_NwtqfMtaaEeM_7NoqXlpyQ_31_6"/>
      <w:bookmarkStart w:id="794" w:name="Tc_EL3ynCdsx0Kvl8QS8Pzxpw_31_0"/>
      <w:bookmarkStart w:id="795" w:name="Tc_fy4hW6fBVESNdIr5i45uqQ_30_0"/>
      <w:bookmarkStart w:id="796" w:name="Tc_DW13Rr6vikundSrqpyRbtA_29_0"/>
      <w:bookmarkStart w:id="797" w:name="Tc_Z_o_UCYaOUebAE6Pu1MD8Q_28_0"/>
      <w:bookmarkStart w:id="798" w:name="Tc_-eF7odkN40u3tdxNZbPGpQ_27_0"/>
      <w:bookmarkStart w:id="799" w:name="Tc_SA0eUHYt20SVmShweVDtgg_26_0"/>
      <w:bookmarkStart w:id="800" w:name="Tc_No5MRUEhi0ecR_uAfd5N5A_25_0"/>
      <w:bookmarkStart w:id="801" w:name="Tc_yeGek7Q6RUuVd4l17BhxOw_24_0"/>
      <w:bookmarkStart w:id="802" w:name="Tc_8qz5FW7qIUuZ3-LNBESATA_23_0"/>
      <w:bookmarkStart w:id="803" w:name="Tc_9b-V3X87gkCkUM2cEbEg4Q_22_0"/>
      <w:bookmarkStart w:id="804" w:name="Tc_EyHWXKnDR0-HfoQKQaaF6A_21_0"/>
      <w:bookmarkStart w:id="805" w:name="Tc_p3BiZcbauEOtYo-uGpLLQA_20_0"/>
      <w:bookmarkStart w:id="806" w:name="Tc_ePoTgBOK-kGld1bgtOiv_g_19_0"/>
      <w:bookmarkStart w:id="807" w:name="Tc_p3oj8CzfIUCbO1-DJQ6Xag_18_0"/>
      <w:bookmarkStart w:id="808" w:name="Tc_D8Vrnr5Ueke9ajhDw1tX6w_17_0"/>
      <w:bookmarkStart w:id="809" w:name="Tc_qONwHjCz3Uy6z7OA8w6HKQ_16_0"/>
      <w:bookmarkStart w:id="810" w:name="Tc_ntbmbzHS9E2scCKISCdG7A_15_0"/>
      <w:bookmarkStart w:id="811" w:name="Tc_JGIPOi1HiEeOgdmqOQdc_Q_14_0"/>
      <w:bookmarkStart w:id="812" w:name="Tc_Z8l0QJ2_FE2mcNvTfpeoGg_13_0"/>
      <w:bookmarkStart w:id="813" w:name="Tc_PhtNNW8Oz0yjsor0lMtxWA_12_0"/>
      <w:bookmarkStart w:id="814" w:name="Tc_YmTR2VbEhUyGj8yhuEtpaA_11_0"/>
      <w:bookmarkStart w:id="815" w:name="Tc_9KcNLDjGek-h6DimpPNRoQ_10_0"/>
      <w:bookmarkStart w:id="816" w:name="Tc_1Ti5lS5o6UC_6XYveT01cQ_9_0"/>
      <w:bookmarkStart w:id="817" w:name="Tc_9tB7oXMr_EW-9F6-yS0tuw_8_0"/>
      <w:bookmarkStart w:id="818" w:name="Tc_lBla8zE590-_SiAB2oIHnA_7_0"/>
      <w:bookmarkStart w:id="819" w:name="Tc_sy7QVKqtKEuB12ij76sK3w_6_0"/>
      <w:bookmarkStart w:id="820" w:name="Tc_nCtICwhRLkqPn_QyFxrA3w_5_5"/>
      <w:bookmarkStart w:id="821" w:name="Tc_S8lnUWkr60q_q3Gj-ohXVQ_5_2"/>
      <w:bookmarkStart w:id="822" w:name="Tc_Erna7WvYgEKXgdCfr-zdRg_5_0"/>
      <w:bookmarkStart w:id="823" w:name="Tc_6FYYbcxw_kGdCqUnFPx3Pg_4_0"/>
      <w:bookmarkStart w:id="824" w:name="Tc_d_oLAgAlw0uW1Ys6J4YYMA_3_5"/>
      <w:bookmarkStart w:id="825" w:name="Tc_IehHL4PJD0auYs3Iq6ypWg_3_2"/>
      <w:bookmarkStart w:id="826" w:name="Tc_T6xXLoPY7kqDJ1NGjZ7TKw_2_5"/>
      <w:bookmarkStart w:id="827" w:name="Tc_86kfjMwAQ0Oo49NJS_7i3Q_2_2"/>
      <w:bookmarkStart w:id="828" w:name="Tc_QMuMIlKVfkOirrQIr898aw_1_2"/>
      <w:bookmarkStart w:id="829" w:name="_31a030d4_5118_4071_9295_08e35087424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tbl>
      <w:tblPr>
        <w:tblW w:w="9367" w:type="dxa"/>
        <w:jc w:val="left"/>
        <w:tblInd w:w="0" w:type="dxa"/>
        <w:tblLayout w:type="fixed"/>
        <w:tblCellMar>
          <w:top w:w="0" w:type="dxa"/>
          <w:left w:w="0" w:type="dxa"/>
          <w:bottom w:w="0" w:type="dxa"/>
          <w:right w:w="0" w:type="dxa"/>
        </w:tblCellMar>
      </w:tblPr>
      <w:tblGrid>
        <w:gridCol w:w="6796"/>
        <w:gridCol w:w="346"/>
        <w:gridCol w:w="196"/>
        <w:gridCol w:w="721"/>
        <w:gridCol w:w="346"/>
        <w:gridCol w:w="196"/>
        <w:gridCol w:w="766"/>
      </w:tblGrid>
      <w:tr>
        <w:trPr/>
        <w:tc>
          <w:tcPr>
            <w:tcW w:w="6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315460" cy="175260"/>
                      <wp:effectExtent l="0" t="0" r="0" b="0"/>
                      <wp:wrapNone/>
                      <wp:docPr id="60" name="Frame60"/>
                      <a:graphic xmlns:a="http://schemas.openxmlformats.org/drawingml/2006/main">
                        <a:graphicData uri="http://schemas.microsoft.com/office/word/2010/wordprocessingShape">
                          <wps:wsp>
                            <wps:cNvSpPr txBox="1"/>
                            <wps:spPr>
                              <a:xfrm>
                                <a:off x="0" y="0"/>
                                <a:ext cx="431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57835" cy="175260"/>
                      <wp:effectExtent l="0" t="0" r="0" b="0"/>
                      <wp:wrapNone/>
                      <wp:docPr id="63" name="Frame6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86410" cy="175260"/>
                      <wp:effectExtent l="0" t="0" r="0" b="0"/>
                      <wp:wrapNone/>
                      <wp:docPr id="66" name="Frame6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6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center"/>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r>
      <w:tr>
        <w:trPr/>
        <w:tc>
          <w:tcPr>
            <w:tcW w:w="6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20,123</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to 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9,944</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non-cash items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(4,332)</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loss on sale/disposal of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doubtful accounts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5,608</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and fair value adjustments of contingent consideration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1,254</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 net of effects from business acquisitions: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16,898</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(18,062)</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receivables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(2,346)</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(1,376)</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(888)</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4,569</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(1,662)</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(2,364)</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28,724</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equipment, software, and 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(4,517)</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acquisitions, net of cash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(35,140)</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(39,629)</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contingent consideration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pPr>
            <w:r>
              <w:rPr/>
              <w:t>—</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Receipt of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on 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notes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made to retire prior credit agreement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(90,000)</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 to fund new credit agreement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88,414</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 under 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under revolving credit facility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outstanding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(28,414)</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finance leases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(737)</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stock option exercise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1,909</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sales of common stock under employee stock purchase plan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1,485</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used to pay taxes on stock grants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(3,093)</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(30,905)</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(41,810)</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65,919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74,158</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32,348</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disclosures of cash flow information: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(received) during the period for: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3,915</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2,471</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disclosures of 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related to business acquisitions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5,557</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Contingent consideration related to business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12,040</w:t>
            </w:r>
          </w:p>
        </w:tc>
      </w:tr>
      <w:tr>
        <w:trPr/>
        <w:tc>
          <w:tcPr>
            <w:tcW w:w="67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working capital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67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Equipment acquired under finance leases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855</w:t>
            </w:r>
          </w:p>
        </w:tc>
      </w:tr>
    </w:tbl>
    <w:p>
      <w:pPr>
        <w:pStyle w:val="TextBody"/>
        <w:bidi w:val="0"/>
        <w:spacing w:before="240" w:after="0"/>
        <w:ind w:left="0" w:right="0" w:hanging="0"/>
        <w:jc w:val="center"/>
        <w:rPr>
          <w:rFonts w:ascii="Times New Roman;Times;serif" w:hAnsi="Times New Roman;Times;serif"/>
          <w:sz w:val="16"/>
        </w:rPr>
      </w:pPr>
      <w:r>
        <w:rPr>
          <w:rFonts w:ascii="Times New Roman;Times;serif" w:hAnsi="Times New Roman;Times;serif"/>
          <w:sz w:val="16"/>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830" w:name="ORGANIZATIONANDOPERATIONSOFTHECOMPANY_11"/>
      <w:bookmarkEnd w:id="830"/>
      <w:r>
        <w:rPr>
          <w:rFonts w:ascii="Times New Roman;Times;serif" w:hAnsi="Times New Roman;Times;serif"/>
          <w:b/>
          <w:sz w:val="20"/>
        </w:rPr>
        <w:t>1. ORGANIZATION AND OPERATIONS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Willdan Group, Inc. (“Willdan” or the “Company”) is a provider of professional, technical and consulting services to utilities, private industry, and public agencies at all levels of government. As resources and infrastructures undergo continuous change, the Company helps organizations and their communities evolve and thrive by providing a wide range of technical services for energy solutions and government infrastructure. Through engineering, program management, policy advisory, and software and data management, the Company designs and delivers trusted, comprehensive, innovative, and proven solutions to improve efficiency, resiliency, and sustainability in energy and infrastructure.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broad portfolio of services operates within two financial reporting segments: (1) Energy and (2) Engineering and Consulting. The interfaces and synergies between these segments are important elements of the Company’s strategy to design and deliver trusted, comprehensive, innovative, and proven solutions for its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accounting policies followed by the Company are set forth in Part II, Item 8, Note 1, “</w:t>
      </w:r>
      <w:r>
        <w:rPr>
          <w:rFonts w:ascii="Times New Roman;Times;serif" w:hAnsi="Times New Roman;Times;serif"/>
          <w:i/>
          <w:sz w:val="20"/>
        </w:rPr>
        <w:t>Organization and Operations of the Company”</w:t>
      </w:r>
      <w:r>
        <w:rPr>
          <w:rFonts w:ascii="Times New Roman;Times;serif" w:hAnsi="Times New Roman;Times;serif"/>
          <w:sz w:val="20"/>
        </w:rPr>
        <w:t>, of the Notes to Consolidated Financial Statements included in the Company’s Annual Report on Form 10-K for the fiscal year ended January 2, 2026.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and related notes thereto should be read in conjunction with the Consolidated Financial Statements and the notes thereto included in the Company’s Annual Report on Form 10-K for the fiscal year ended January 2, 2026. The results of operations for interim periods are not necessarily indicative of results to be expected for the full year.</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Fiscal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operates and reports its annual financial results based on 52 or 53-week periods ending on the Friday closest to December 31. The Company operates and reports its quarterly financial results based on the 13-week period ending on the Friday closest to June 30, September 30, and December 31 and the 13 or 14-week period ending on the Friday closest to March 31, as applicable. Fiscal year 2026, which ends on January 1, 2027, will be comprised of 52 weeks, with all quarters consisting of 13 weeks each. Fiscal year 2025, which ended on January 2, 2026, was comprised of 53 weeks, with the first quarter consisting of 14 weeks and the remaining quarters consisting of 13 weeks each.</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prior year amounts have been reclassified in the condensed consolidated financial statements to conform to the current year presentation.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b/>
          <w:sz w:val="20"/>
        </w:rPr>
        <w:t>RECENT ACCOUNTING PRONOUNCEMENTS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Accounting Pronouncements Recently Issued</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December 2025, the Financial Accounting Standards Board (“FASB”) issued Accounting Standards Update (“ASU”) No. 2025-12, “Codification Improvements” (“ASU 2025-12”). ASU 2025-12 addresses suggestions received from stakeholders on the Accounting Standards Codification and to make other incremental improvements to generally accepted accounting principles (“GAAP”). ASU 2025-12 provides changes to the Codification that (1) clarify, (2) correct errors, or (3) make minor improvements. The amendments are effective for the annual reporting periods beginning after</w:t>
      </w:r>
      <w:r>
        <w:rPr>
          <w:rFonts w:ascii="Times New Roman;Times;serif" w:hAnsi="Times New Roman;Times;serif"/>
          <w:sz w:val="24"/>
        </w:rPr>
        <w:t> </w:t>
      </w:r>
      <w:r>
        <w:rPr>
          <w:rFonts w:ascii="Times New Roman;Times;serif" w:hAnsi="Times New Roman;Times;serif"/>
          <w:sz w:val="20"/>
        </w:rPr>
        <w:t>December 15, 2026, and interim periods within those fiscal year reporting periods beginning after December 15, 2026, with early adoption</w:t>
      </w:r>
      <w:r>
        <w:rPr>
          <w:rFonts w:ascii="Times New Roman;Times;serif" w:hAnsi="Times New Roman;Times;serif"/>
          <w:sz w:val="24"/>
        </w:rPr>
        <w:t> </w:t>
      </w:r>
      <w:r>
        <w:rPr>
          <w:rFonts w:ascii="Times New Roman;Times;serif" w:hAnsi="Times New Roman;Times;serif"/>
          <w:sz w:val="20"/>
        </w:rPr>
        <w:t>permitted. The Company does not believe the amendments in ASU 2025-12 will have a material impact on its Consolidated Financial Statements.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December 2025, the FASB issued ASU No. 2025-11, “Interim Reporting" (Topic 270): Narrow-Scope Improvements” (“ASU 2025-11”). The ASU 2025-11 amendments are intended to improve the guidance in Topic 270, Interim Reporting, by improving the navigability of the required interim disclosures and clarifying when that guidance is applicable. The amendments also provide additional guidance on what disclosures should be provided in interim reporting periods. The amendments are effective for the annual reporting periods beginning after December 15, 2027, and interim periods within those fiscal year reporting periods beginning after</w:t>
      </w:r>
      <w:r>
        <w:rPr>
          <w:rFonts w:ascii="Times New Roman;Times;serif" w:hAnsi="Times New Roman;Times;serif"/>
          <w:sz w:val="24"/>
        </w:rPr>
        <w:t xml:space="preserve"> </w:t>
      </w:r>
      <w:r>
        <w:rPr>
          <w:rFonts w:ascii="Times New Roman;Times;serif" w:hAnsi="Times New Roman;Times;serif"/>
          <w:sz w:val="20"/>
        </w:rPr>
        <w:t>December 15, 2027, with early adoption</w:t>
      </w:r>
      <w:r>
        <w:rPr>
          <w:rFonts w:ascii="Times New Roman;Times;serif" w:hAnsi="Times New Roman;Times;serif"/>
          <w:sz w:val="24"/>
        </w:rPr>
        <w:t> </w:t>
      </w:r>
      <w:r>
        <w:rPr>
          <w:rFonts w:ascii="Times New Roman;Times;serif" w:hAnsi="Times New Roman;Times;serif"/>
          <w:sz w:val="20"/>
        </w:rPr>
        <w:t>permitted either (1) prospectively or (2) retrospectively. The Company does not believe the amendments in ASU 2025-11 will have a material impact on its Consolidated Financial Statements.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November 2025, the FASB issued ASU No. 2025-09, “Derivatives and Hedging (Topic 815): Hedge Accounting Improvements” (“ASU 2025-09”). The ASU 2025-09 amendments are intended to simplify the application of hedge accounting and to more closely align hedge accounting with the economics of an entity's risk management activities in the following five areas: (1) similar risk assessment for cash flow hedges, (2) hedging forecasted interest payments on choose-your-rate debt instruments, (3) cash flow hedges of nonfinancial forecasted transactions, (4) net written options as hedging instruments, and (5) foreign-currency-denominated debt instrument as hedging instrument and hedged item (dual hedge). The amendments are effective for the annual reporting periods beginning after</w:t>
      </w:r>
      <w:r>
        <w:rPr>
          <w:rFonts w:ascii="Times New Roman;Times;serif" w:hAnsi="Times New Roman;Times;serif"/>
          <w:sz w:val="24"/>
        </w:rPr>
        <w:t> </w:t>
      </w:r>
      <w:r>
        <w:rPr>
          <w:rFonts w:ascii="Times New Roman;Times;serif" w:hAnsi="Times New Roman;Times;serif"/>
          <w:sz w:val="20"/>
        </w:rPr>
        <w:t>December 15, 2026, and interim periods within those fiscal year reporting periods beginning after December 15, 2026, with early adoption</w:t>
      </w:r>
      <w:r>
        <w:rPr>
          <w:rFonts w:ascii="Times New Roman;Times;serif" w:hAnsi="Times New Roman;Times;serif"/>
          <w:sz w:val="24"/>
        </w:rPr>
        <w:t> </w:t>
      </w:r>
      <w:r>
        <w:rPr>
          <w:rFonts w:ascii="Times New Roman;Times;serif" w:hAnsi="Times New Roman;Times;serif"/>
          <w:sz w:val="20"/>
        </w:rPr>
        <w:t>permitted. The Company does not believe the amendments in ASU 2025-09 will have a material impact on its Consolidated Financial Statements.</w:t>
      </w:r>
    </w:p>
    <w:p>
      <w:pPr>
        <w:pStyle w:val="TextBody"/>
        <w:bidi w:val="0"/>
        <w:spacing w:before="0" w:after="200"/>
        <w:ind w:left="0" w:right="0" w:firstLine="720"/>
        <w:jc w:val="left"/>
        <w:rPr>
          <w:rFonts w:ascii="Times New Roman;Times;serif" w:hAnsi="Times New Roman;Times;serif"/>
          <w:sz w:val="24"/>
        </w:rPr>
      </w:pPr>
      <w:r>
        <w:rPr>
          <w:rFonts w:ascii="Times New Roman;Times;serif" w:hAnsi="Times New Roman;Times;serif"/>
          <w:sz w:val="20"/>
        </w:rPr>
        <w:t>In September 2025, the FASB issued ASU No. 2025-06, “Intangibles – Goodwill and Other – Internal-Use Software (Subtopic 350-40): Targeted Improvements to the Accounting for Internal Software” (“ASU 2025-06”).</w:t>
      </w:r>
      <w:r>
        <w:rPr>
          <w:rFonts w:ascii="Times New Roman;Times;serif" w:hAnsi="Times New Roman;Times;serif"/>
          <w:color w:val="EE0000"/>
          <w:sz w:val="24"/>
        </w:rPr>
        <w:t xml:space="preserve"> </w:t>
      </w:r>
      <w:r>
        <w:rPr>
          <w:rFonts w:ascii="Times New Roman;Times;serif" w:hAnsi="Times New Roman;Times;serif"/>
          <w:sz w:val="20"/>
        </w:rPr>
        <w:t>ASU 2025-06 removes references to prescriptive and sequential software development stages which are referred to as “project stages” throughout Subtopic 350-40. The amendment introduces a principles-based approach to capitalization of internal-use software costs and requires capitalization of software costs to begin when management has authorized and committed to funding the project and it is probable the project will be completed and used to perform the intended function. The amendments do not change what internal-use software costs can be capitalized or when such capitalization ceases. The amendments are effective for the annual reporting periods beginning after</w:t>
      </w:r>
      <w:r>
        <w:rPr>
          <w:rFonts w:ascii="Times New Roman;Times;serif" w:hAnsi="Times New Roman;Times;serif"/>
          <w:sz w:val="24"/>
        </w:rPr>
        <w:t xml:space="preserve"> </w:t>
      </w:r>
      <w:r>
        <w:rPr>
          <w:rFonts w:ascii="Times New Roman;Times;serif" w:hAnsi="Times New Roman;Times;serif"/>
          <w:sz w:val="20"/>
        </w:rPr>
        <w:t>December 15, 2027, and interim periods within those fiscal year reporting periods beginning after December 15, 2027, with early adoption</w:t>
      </w:r>
      <w:r>
        <w:rPr>
          <w:rFonts w:ascii="Times New Roman;Times;serif" w:hAnsi="Times New Roman;Times;serif"/>
          <w:sz w:val="24"/>
        </w:rPr>
        <w:t xml:space="preserve"> </w:t>
      </w:r>
      <w:r>
        <w:rPr>
          <w:rFonts w:ascii="Times New Roman;Times;serif" w:hAnsi="Times New Roman;Times;serif"/>
          <w:sz w:val="20"/>
        </w:rPr>
        <w:t>permitted. The Company does not believe the amendments in ASU 2025-06 will have a material impact on its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May 2025, the FASB issued ASU No. 2025-03, “Business Combinations (Topic 805) and Consolidation (Topic 810): Determining the Accounting Acquirer in the Acquisition of a Variable Interest Entity” (“ASU 2025-03”). ASU 2025-03 requires an entity involved in an acquisition transaction effected primarily by exchanging equity interests when the legal acquiree is a Variable Interest Entity (“VIE”) that meets the definition of a business to consider the factors in paragraphs 805-10-55-12 through 55-15 to determine which entity is the accounting acquirer, rather than defaulting to the conclusion that the primary beneficiary is always the acquirer. The amendments are effective for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00"/>
        <w:ind w:left="0" w:right="0" w:hanging="0"/>
        <w:jc w:val="left"/>
        <w:rPr>
          <w:rFonts w:ascii="Times New Roman;Times;serif" w:hAnsi="Times New Roman;Times;serif"/>
          <w:sz w:val="24"/>
        </w:rPr>
      </w:pPr>
      <w:r>
        <w:rPr>
          <w:rFonts w:ascii="Times New Roman;Times;serif" w:hAnsi="Times New Roman;Times;serif"/>
          <w:sz w:val="20"/>
        </w:rPr>
        <w:t>annual reporting periods beginning after December 15, 2026, and interim periods within those fiscal year reporting periods beginning after</w:t>
      </w:r>
      <w:r>
        <w:rPr>
          <w:rFonts w:ascii="Times New Roman;Times;serif" w:hAnsi="Times New Roman;Times;serif"/>
          <w:sz w:val="24"/>
        </w:rPr>
        <w:t xml:space="preserve"> </w:t>
      </w:r>
      <w:r>
        <w:rPr>
          <w:rFonts w:ascii="Times New Roman;Times;serif" w:hAnsi="Times New Roman;Times;serif"/>
          <w:sz w:val="20"/>
        </w:rPr>
        <w:t>December 15, 2026, with early adoption</w:t>
      </w:r>
      <w:r>
        <w:rPr>
          <w:rFonts w:ascii="Times New Roman;Times;serif" w:hAnsi="Times New Roman;Times;serif"/>
          <w:sz w:val="24"/>
        </w:rPr>
        <w:t xml:space="preserve"> </w:t>
      </w:r>
      <w:r>
        <w:rPr>
          <w:rFonts w:ascii="Times New Roman;Times;serif" w:hAnsi="Times New Roman;Times;serif"/>
          <w:sz w:val="20"/>
        </w:rPr>
        <w:t>permitted. The Company does not believe the amendments in ASU 2025-03 will have a material impact on its Consolidated Financial Statements.</w:t>
      </w:r>
    </w:p>
    <w:p>
      <w:pPr>
        <w:pStyle w:val="TextBody"/>
        <w:bidi w:val="0"/>
        <w:spacing w:before="0" w:after="200"/>
        <w:ind w:left="0" w:right="0" w:firstLine="720"/>
        <w:jc w:val="left"/>
        <w:rPr>
          <w:rFonts w:ascii="Times New Roman;Times;serif" w:hAnsi="Times New Roman;Times;serif"/>
          <w:sz w:val="24"/>
        </w:rPr>
      </w:pPr>
      <w:r>
        <w:rPr>
          <w:rFonts w:ascii="Times New Roman;Times;serif" w:hAnsi="Times New Roman;Times;serif"/>
          <w:sz w:val="20"/>
        </w:rPr>
        <w:t>In November 2024, the FASB issued ASU No. 2024-03, “Income Statement - Reporting Comprehensive Income - Expense Disaggregation Disclosures (Subtopic 220-40)” (“ASU 2024-03”). ASU 2024-03 requires entities to disclose, in the notes to consolidated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entities will need to disclose the total amount of selling expenses and, in annual reporting periods, an entity’s definition of selling expenses. The amendments are effective for the annual reporting periods beginning after December 15, 2026, and interim periods within fiscal years beginning after December 15, 2027, with early adoption</w:t>
      </w:r>
      <w:r>
        <w:rPr>
          <w:rFonts w:ascii="Times New Roman;Times;serif" w:hAnsi="Times New Roman;Times;serif"/>
          <w:sz w:val="24"/>
        </w:rPr>
        <w:t xml:space="preserve"> </w:t>
      </w:r>
      <w:r>
        <w:rPr>
          <w:rFonts w:ascii="Times New Roman;Times;serif" w:hAnsi="Times New Roman;Times;serif"/>
          <w:sz w:val="20"/>
        </w:rPr>
        <w:t>permitted. The Company is currently evaluating</w:t>
      </w:r>
      <w:r>
        <w:rPr>
          <w:rFonts w:ascii="Times New Roman;Times;serif" w:hAnsi="Times New Roman;Times;serif"/>
          <w:sz w:val="24"/>
        </w:rPr>
        <w:t xml:space="preserve"> </w:t>
      </w:r>
      <w:r>
        <w:rPr>
          <w:rFonts w:ascii="Times New Roman;Times;serif" w:hAnsi="Times New Roman;Times;serif"/>
          <w:sz w:val="20"/>
        </w:rPr>
        <w:t>the impact this update will have on its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October 2023, the FASB issued ASU No. 2023-06, “Disclosure Improvements: Codification Amendments in Response to the SEC’s Disclosure Update and Simplification Initiative” (“ASU 2023-06”). ASU 2023-06 amends U.S. GAAP to reflect updates and simplifications to certain disclosure and presentation requirements referred to FASB by the SEC. The targeted amendments incorporate 14 of the 27 disclosures referred by the SEC into codification. Each amendment in ASU 2023-06 is effective on either the date on which the SEC’s removal of the related disclosure requirement from Regulation S-X or Regulation S-K becomes effective, or on June 30, 2027, if the SEC has not removed the requirements by that date. The Company does not believe the amendments in ASU 2023-06 will have a material impact on any of the Company’s current disclosures.</w:t>
      </w:r>
    </w:p>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3.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contracts with its clients that contain various types of pricing provisions, including fixed price, time-and-materials, and unit-based provisions. The Company recognizes revenues in accordance with ASU 2014-09, Revenue from Contracts with Customer, codified as ASC Topic 606 and the related amendments (collectively “ASC 606”).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reflects the Company’s two reportable segments and the types of contracts that each most commonly enters into for revenue generating activities.</w:t>
      </w:r>
    </w:p>
    <w:p>
      <w:pPr>
        <w:pStyle w:val="TextBody"/>
        <w:bidi w:val="0"/>
        <w:spacing w:before="0" w:after="0"/>
        <w:ind w:left="0" w:right="0" w:hanging="0"/>
        <w:jc w:val="left"/>
        <w:rPr/>
      </w:pPr>
      <w:r>
        <w:rPr/>
        <w:t>​</w:t>
      </w:r>
    </w:p>
    <w:tbl>
      <w:tblPr>
        <w:tblW w:w="6393" w:type="dxa"/>
        <w:jc w:val="left"/>
        <w:tblInd w:w="0" w:type="dxa"/>
        <w:tblLayout w:type="fixed"/>
        <w:tblCellMar>
          <w:top w:w="0" w:type="dxa"/>
          <w:left w:w="0" w:type="dxa"/>
          <w:bottom w:w="0" w:type="dxa"/>
          <w:right w:w="0" w:type="dxa"/>
        </w:tblCellMar>
      </w:tblPr>
      <w:tblGrid>
        <w:gridCol w:w="2431"/>
        <w:gridCol w:w="1681"/>
        <w:gridCol w:w="228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43685" cy="29210"/>
                      <wp:effectExtent l="0" t="0" r="0" b="0"/>
                      <wp:wrapNone/>
                      <wp:docPr id="67" name="Frame67"/>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067435" cy="29210"/>
                      <wp:effectExtent l="0" t="0" r="0" b="0"/>
                      <wp:wrapNone/>
                      <wp:docPr id="68" name="Frame68"/>
                      <a:graphic xmlns:a="http://schemas.openxmlformats.org/drawingml/2006/main">
                        <a:graphicData uri="http://schemas.microsoft.com/office/word/2010/wordprocessingShape">
                          <wps:wsp>
                            <wps:cNvSpPr txBox="1"/>
                            <wps:spPr>
                              <a:xfrm>
                                <a:off x="0" y="0"/>
                                <a:ext cx="1067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48435" cy="29210"/>
                      <wp:effectExtent l="0" t="0" r="0" b="0"/>
                      <wp:wrapNone/>
                      <wp:docPr id="69" name="Frame69"/>
                      <a:graphic xmlns:a="http://schemas.openxmlformats.org/drawingml/2006/main">
                        <a:graphicData uri="http://schemas.microsoft.com/office/word/2010/wordprocessingShape">
                          <wps:wsp>
                            <wps:cNvSpPr txBox="1"/>
                            <wps:spPr>
                              <a:xfrm>
                                <a:off x="0" y="0"/>
                                <a:ext cx="1448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4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2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Recognition Method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Software license</w:t>
            </w:r>
          </w:p>
        </w:tc>
        <w:tc>
          <w:tcPr>
            <w:tcW w:w="22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Engineering and Consulting</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bl>
    <w:p>
      <w:pPr>
        <w:pStyle w:val="TextBody"/>
        <w:bidi w:val="0"/>
        <w:spacing w:before="0" w:after="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Revenue on the vast majority of the Company’s contracts is recognized over time because of the continuous transfer of control to the customer. Revenue on fixed price contracts is recognized on the percentage-of-completion method based generally on the ratio of direct costs incurred-to-date to estimated total direct costs at completion. The Company uses the percentage-of-completion method to better match the level of work performed at a certain point in time in relation to the effort that will be required to complete a project. In addition, the percentage-of-completion method is a common method of revenue recognition in the Company’s industry.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Many of the Company’s fixed price contracts involve a high degree of subcontracted fixed price effort and, usually, are relatively short in duration, thereby lowering the risks of not properly estimating the percent complete. As of July 3, 2026, the Company had $478.2 million related to remaining performance obligations of fixed price contracts of which $171.1 million related to fixed price contract obligations in excess of twelve months.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on time-and-materials and unit-based contracts is recognized as the work is performed in accordance with the specific rates and terms of the contract. The Company recognizes revenues for time-and-materials contracts based upon the actual hours incurred during a reporting period at contractually agreed upon rates per hour and also includes in revenue all reimbursable costs incurred during a reporting period. Certain of the Company’s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the Company recognizes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condensed consolidated balance sheets. The Company also derives revenue from software licenses and professional services and maintenance fees. In accordance with ASC 606, the Company performs an assessment of each contract to identify the performance obligations, determine the overall transaction price for the contract, allocate the transaction price to the performance obligations, and recognize the revenue when the performance obligations are satisfied. In cases where the standalone selling price of the software licenses is not present, the Company utilizes the residual approach by which it estimates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which usually is the life of the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determine the proper revenue recognition method for contracts, the Company evaluates whether two or more contracts should be combined and accounted for as one single contract and whether the combined contract should be accounted for as one performance obligation. With respect to the Company’s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the Company provides a significant service of integrating a complex set of tasks and components into a single project or capability.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may enter into contracts that include separate phases or elements. If each phase or element is negotiated separately based on the technical resources required and/or the supply and demand for the services being provided, the Company evaluates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1.0% to 2.0% of the Company’s consolidated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that cover multiple phases or elements of the project or service lifecycle (development, construction and maintenance and support) may be considered to have multiple performance obligations even when they are part of a single contract. For contracts with multiple performance obligations, the Company allocates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the Company does not provide the distinct good or service on a standalone basis, the primary method used to estimate standalone selling price is the expected cost plus a margin approach, under which the Company forecasts the Company’s expected costs of satisfying a performance obligation and then adds an appropriate margin for the distinct good or service.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provides quality of workmanship warranties to customers that are included in the sale and are not priced or sold separately or do not provide customers with a service in addition to assurance of compliance with agreed-upon specifications and industry standards. The Company does not consider these types of warranties to be separate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cases, the Company has a master service or blanket agreement with a customer under which each task order releases the Company to perform specific portions of the overall scope in the service contract. Each task order is typically accounted for as a separate contract because the task order establishes the enforceable rights and obligations, and payment terms.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the Company’s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price are based largely on assessments of legal enforceability, the Company’s performance, and all information (historical, current and forecasted) that is reasonably available to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the Company’s performance obligations, the estimation of total revenue and cost at completion is complex, subject to many variables and requires significant judgment. As a significant change in one or more of these estimates could affect the profitability of the Company’s contracts, the Company reviews and updates the Company’s contract-related estimates regularly through a company-wide disciplined project review process in which management reviews the progress and execution of the Company’s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full amount of estimated loss in the period it is identified.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are often modified to account for changes in contract specifications and requirements. The Company considers contract modifications to exist when the modification either creates new rights or obligations or changes the existing enforceable rights or obligations.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the Company’s measure of progress for the performance obligation to which it relates is recognized as an adjustment to revenue (either as an increase in or a reduction of revenue) on a cumulative catch-up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the Company accounts for such contract modifications as a separate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includes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consist primarily of that portion of technical and nontechnical salaries and wages that has been incurred in connection with revenue producing projects. Direct costs of contract revenue also include production expenses, subcontractor services and other expenses that are incurred in connection with revenue producing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exclude that portion of technical and nontechnical salaries and wages related to marketing efforts, vacations, holidays and other time not spent directly generating revenue under existing contracts. Such costs are included in general and administrative expenses. Additionally, payroll taxes, bonuses and employee benefit costs for all Company personnel are included in general and administrative expenses in the accompanying condensed consolidated statements of comprehensive income since no allocation of these costs is made to direct costs of contract revenue. No allocation of facilities costs is made to direct costs of contract revenue. Other companies may classify as direct costs of contract revenue some of the costs that the Company classifies as general and administrative costs. The Company expenses direct costs of contract revenue when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revenue and costs are all reimbursable costs for which the Company has the risk or on which the fee was based at the time of bid or negotiation. No revenue or cost is recorded for costs in which the Company acts solely in the capacity of an agent and has no risks associated with such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are carried at original invoice amount less an estimate made for doubtful accounts based upon a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The Company’s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Retainage represents amounts withheld from billings to the Company’s clients pursuant to provisions in the contracts and may not be paid to the Company until specific tasks are completed or the project is completed and, in some instances, for even longer periods. As of July 3, 2026, contract assets and contract liabilities included retainage of $23.6 million, and $2.3 million, respectively. As of January 2, 2026, contract assets included retainage of $29.5 million and there was no retainage included in contract liabilities.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before="0" w:after="0"/>
        <w:ind w:left="0" w:right="0" w:hanging="0"/>
        <w:jc w:val="left"/>
        <w:rPr>
          <w:rFonts w:ascii="Times New Roman;Times;serif" w:hAnsi="Times New Roman;Times;serif"/>
          <w:b/>
          <w:sz w:val="20"/>
        </w:rPr>
      </w:pPr>
      <w:bookmarkStart w:id="831" w:name="Tc_iKWwmkvLmkCgbDBxVUhLOg_11_5"/>
      <w:bookmarkStart w:id="832" w:name="Tc_EYH2Ha_RKEe8tvWPfdHgbg_11_2"/>
      <w:bookmarkStart w:id="833" w:name="Tc_Rx3x9EdJK0ClvDZWJRSl5g_11_0"/>
      <w:bookmarkStart w:id="834" w:name="Tc_8KCW9VdV40SAunWZForBPQ_10_0"/>
      <w:bookmarkStart w:id="835" w:name="Tc_msyx9GV0oEGHlBmxG3lQeg_9_0"/>
      <w:bookmarkStart w:id="836" w:name="Tc_audoz481LEK0FE1rr_FYDw_8_0"/>
      <w:bookmarkStart w:id="837" w:name="Tc_Yf5zyHOdtUyFXYVsUL0FbQ_7_0"/>
      <w:bookmarkStart w:id="838" w:name="Tc_d13XSs48L0qjslTPaA7kIA_6_0"/>
      <w:bookmarkStart w:id="839" w:name="Tc_NoELa483g0qacmHoUdt_kg_5_0"/>
      <w:bookmarkStart w:id="840" w:name="Tc_ZYcYK_-xfkyVFMBHvk33gg_4_5"/>
      <w:bookmarkStart w:id="841" w:name="Tc_82AiW54O7EyNYuQIkODITg_4_2"/>
      <w:bookmarkStart w:id="842" w:name="Tc_6SctlD3MP0GGGjyFh5tXGg_4_0"/>
      <w:bookmarkStart w:id="843" w:name="Tc_Flw6T8VyV0-wJw1NmvGX6A_3_2"/>
      <w:bookmarkStart w:id="844" w:name="Tc_g-XJNfWBZkqMfosZm6s0cQ_2_5"/>
      <w:bookmarkStart w:id="845" w:name="Tc_hPRnz-1dJUad0ApitXYyeA_2_2"/>
      <w:bookmarkStart w:id="846" w:name="Tc_OxE5zrnaEU2s7s9NIFt4nw_1_5"/>
      <w:bookmarkStart w:id="847" w:name="Tc_QiGmCghGj0iurz_UDFgrgA_1_2"/>
      <w:bookmarkStart w:id="848" w:name="_153c3283_4be2_41ef_b17e_d5f6aa64dd38"/>
      <w:bookmarkStart w:id="849" w:name="Tc_7F4PFQ2eakCYj10pILy_0w_6_5"/>
      <w:bookmarkStart w:id="850" w:name="Tc_aQF0tUk1AUuyF1QQ1DhWEw_6_2"/>
      <w:bookmarkStart w:id="851" w:name="Tc_QahFc9xG4E-c9nGMr248vw_6_0"/>
      <w:bookmarkStart w:id="852" w:name="Tc_mQi900jWjUKZzuy0HvjoEQ_5_6"/>
      <w:bookmarkStart w:id="853" w:name="Tc_9WdmkeD0aUKwDyAOnlIYxg_4_5"/>
      <w:bookmarkStart w:id="854" w:name="Tc_UoYYMBojTUelIBcxlUTnwg_4_2"/>
      <w:bookmarkStart w:id="855" w:name="Tc_fPKstGVNh0KnL5D4eqAjKA_4_0"/>
      <w:bookmarkStart w:id="856" w:name="Tc_v969Nt83X0i1mKngcAwjhg_3_2"/>
      <w:bookmarkStart w:id="857" w:name="Tc_hgpP-J3IRUmRyI9_sXaa8A_2_5"/>
      <w:bookmarkStart w:id="858" w:name="Tc_eZr4imRqR0ar4c4MUX43cg_2_2"/>
      <w:bookmarkStart w:id="859" w:name="Tc_ljmr6P9BOUeRsHvU0w99Lw_1_5"/>
      <w:bookmarkStart w:id="860" w:name="Tc_gMuBPwd15k2ImO1uudkMqw_1_2"/>
      <w:bookmarkStart w:id="861" w:name="_a1d3449c_e5a1_4daf_8130_e12757f6eaf4"/>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rPr>
          <w:rFonts w:ascii="Times New Roman;Times;serif" w:hAnsi="Times New Roman;Times;serif"/>
          <w:b/>
          <w:sz w:val="20"/>
        </w:rPr>
        <w:t>4. SUPPLEMENTAL FINANCIAL STATEMENT DATA</w:t>
      </w:r>
    </w:p>
    <w:p>
      <w:pPr>
        <w:pStyle w:val="TextBody"/>
        <w:pBdr/>
        <w:shd w:fill="FFFFFF" w:val="clear"/>
        <w:bidi w:val="0"/>
        <w:spacing w:before="0" w:after="0"/>
        <w:ind w:left="0" w:right="0" w:firstLine="360"/>
        <w:jc w:val="left"/>
        <w:rPr>
          <w:rFonts w:ascii="Times New Roman;Times;serif" w:hAnsi="Times New Roman;Times;serif"/>
          <w:i/>
          <w:color w:val="212529"/>
          <w:sz w:val="20"/>
        </w:rPr>
      </w:pPr>
      <w:r>
        <w:rPr>
          <w:rFonts w:ascii="Times New Roman;Times;serif" w:hAnsi="Times New Roman;Times;serif"/>
          <w:i/>
          <w:color w:val="212529"/>
          <w:sz w:val="20"/>
        </w:rPr>
        <w:t>Restricted Cash</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and cash equivalents, and restricted cash reported within the condensed consolidated balance sheets to the total cash, cash equivalents, and restricted cash shown in the consolidated statements of cash flows: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22"/>
        <w:gridCol w:w="346"/>
        <w:gridCol w:w="211"/>
        <w:gridCol w:w="676"/>
        <w:gridCol w:w="346"/>
        <w:gridCol w:w="211"/>
        <w:gridCol w:w="793"/>
      </w:tblGrid>
      <w:tr>
        <w:trPr/>
        <w:tc>
          <w:tcPr>
            <w:tcW w:w="7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839970" cy="175260"/>
                      <wp:effectExtent l="0" t="0" r="0" b="0"/>
                      <wp:wrapNone/>
                      <wp:docPr id="70" name="Frame70"/>
                      <a:graphic xmlns:a="http://schemas.openxmlformats.org/drawingml/2006/main">
                        <a:graphicData uri="http://schemas.microsoft.com/office/word/2010/wordprocessingShape">
                          <wps:wsp>
                            <wps:cNvSpPr txBox="1"/>
                            <wps:spPr>
                              <a:xfrm>
                                <a:off x="0" y="0"/>
                                <a:ext cx="4839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9260" cy="175260"/>
                      <wp:effectExtent l="0" t="0" r="0" b="0"/>
                      <wp:wrapNone/>
                      <wp:docPr id="73" name="Frame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03555" cy="175260"/>
                      <wp:effectExtent l="0" t="0" r="0" b="0"/>
                      <wp:wrapNone/>
                      <wp:docPr id="76" name="Frame7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left"/>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r>
      <w:tr>
        <w:trPr/>
        <w:tc>
          <w:tcPr>
            <w:tcW w:w="76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76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7"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7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65,919</w:t>
            </w:r>
          </w:p>
        </w:tc>
      </w:tr>
      <w:tr>
        <w:trPr/>
        <w:tc>
          <w:tcPr>
            <w:tcW w:w="762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6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shown in the consolidated statement of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65,919</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certain utility contracts, the Company periodically receives cash deposits to be held in trust for the payment of energy incentive rebates to be sent directly to the utility’s end-customer on behalf of the utility. The Company acts solely as the utility’s agent to distribute these funds to the end-customer and, accordingly, the Company classifies these contractually restricted funds as restricted cash. Because these funds are held in trust for pass through to the utility’s customers and have no impact on the Company’s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Equipment and Leasehold Improvements</w:t>
      </w:r>
    </w:p>
    <w:p>
      <w:pPr>
        <w:pStyle w:val="TextBody"/>
        <w:bidi w:val="0"/>
        <w:spacing w:before="0" w:after="0"/>
        <w:ind w:left="0" w:right="0" w:hanging="0"/>
        <w:jc w:val="left"/>
        <w:rPr/>
      </w:pPr>
      <w:r>
        <w:rPr/>
        <w:t>​</w:t>
      </w:r>
    </w:p>
    <w:tbl>
      <w:tblPr>
        <w:tblW w:w="6487" w:type="dxa"/>
        <w:jc w:val="left"/>
        <w:tblInd w:w="0" w:type="dxa"/>
        <w:tblLayout w:type="fixed"/>
        <w:tblCellMar>
          <w:top w:w="0" w:type="dxa"/>
          <w:left w:w="0" w:type="dxa"/>
          <w:bottom w:w="0" w:type="dxa"/>
          <w:right w:w="0" w:type="dxa"/>
        </w:tblCellMar>
      </w:tblPr>
      <w:tblGrid>
        <w:gridCol w:w="3736"/>
        <w:gridCol w:w="346"/>
        <w:gridCol w:w="211"/>
        <w:gridCol w:w="796"/>
        <w:gridCol w:w="346"/>
        <w:gridCol w:w="211"/>
        <w:gridCol w:w="84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372360" cy="175260"/>
                      <wp:effectExtent l="0" t="0" r="0" b="0"/>
                      <wp:wrapNone/>
                      <wp:docPr id="77" name="Frame77"/>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05460" cy="175260"/>
                      <wp:effectExtent l="0" t="0" r="0" b="0"/>
                      <wp:wrapNone/>
                      <wp:docPr id="80" name="Frame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34035" cy="175260"/>
                      <wp:effectExtent l="0" t="0" r="0" b="0"/>
                      <wp:wrapNone/>
                      <wp:docPr id="83" name="Frame8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 and software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59,687</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under finance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Automobiles, trucks, and field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80,711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(49,220)</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31,491</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accumulated depreciation and amortization is $0.8 million and $1.5 million of amortization expense related to equipment held under finance leases for the six months ended July 3, 2026 and for fiscal year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bookmarkStart w:id="862" w:name="Tc_j_3tKXc2Iku_jbj3_gmGeA_10_11"/>
      <w:bookmarkStart w:id="863" w:name="Tc_wLwQDb7-tUSWEKCgkLT5JQ_10_8"/>
      <w:bookmarkStart w:id="864" w:name="Tc_Z8xmZDIcq0CLQzd5m0PgJQ_10_5"/>
      <w:bookmarkStart w:id="865" w:name="Tc_G_7lwb3n50aa8TRPWKc0YQ_10_2"/>
      <w:bookmarkStart w:id="866" w:name="Tc_x84WYr3E40WUN7in1NPMRQ_10_0"/>
      <w:bookmarkStart w:id="867" w:name="Tc_P_sKVcKcd0yku2efKKYpkw_9_16"/>
      <w:bookmarkStart w:id="868" w:name="Tc_yhGdnROdZEe2sT2P416TWQ_9_0"/>
      <w:bookmarkStart w:id="869" w:name="Tc_jMu1Q6QuhkeZJAn7INpE3w_8_16"/>
      <w:bookmarkStart w:id="870" w:name="Tc_X6MxTJNdckuHX8EOHM_5tg_8_0"/>
      <w:bookmarkStart w:id="871" w:name="Tc_rI-CQ7ovSkqX9WMZkNA-Xw_7_16"/>
      <w:bookmarkStart w:id="872" w:name="Tc_Ek_dWmLWKUq9bxuJLO588g_7_0"/>
      <w:bookmarkStart w:id="873" w:name="Tc_u-pEsp6DwESFTQE3q8m-cg_6_11"/>
      <w:bookmarkStart w:id="874" w:name="Tc_KvhVZ8J5jEOAzLxoBKV6MA_6_8"/>
      <w:bookmarkStart w:id="875" w:name="Tc_zVbbUsimFkiGAAIZl6VkQw_6_5"/>
      <w:bookmarkStart w:id="876" w:name="Tc_KE1Rncljt0C903XDhCTvkw_6_2"/>
      <w:bookmarkStart w:id="877" w:name="Tc_4MBQ14LwQUqO_K8gXJdQXQ_6_0"/>
      <w:bookmarkStart w:id="878" w:name="Tc_WU_pEzqKNkSb6nA_CZrGjQ_5_0"/>
      <w:bookmarkStart w:id="879" w:name="Tc_PTdU62MaS0G_9yWfORcOJw_4_14"/>
      <w:bookmarkStart w:id="880" w:name="Tc_23xLsoN8qkOSu31raZ_Zxg_4_2"/>
      <w:bookmarkStart w:id="881" w:name="Tc_Lof8jD0JOEyFjgSuEhS71w_3_14"/>
      <w:bookmarkStart w:id="882" w:name="Tc_3dPBP_4ih0-jbKms5TAd9Q_3_11"/>
      <w:bookmarkStart w:id="883" w:name="Tc_Ew4T5Aob7EiqZbQumen03g_3_8"/>
      <w:bookmarkStart w:id="884" w:name="Tc_VnqW_gY5ZEmt8TxPHLgINw_3_5"/>
      <w:bookmarkStart w:id="885" w:name="Tc_T5E2jGCaXEWpEaMhaHlOVQ_3_2"/>
      <w:bookmarkStart w:id="886" w:name="Tc_Nx6YKD8mOUqk1NMHsWK-aA_2_14"/>
      <w:bookmarkStart w:id="887" w:name="Tc_SiYyPiOaUUCbpthbwy43eQ_2_11"/>
      <w:bookmarkStart w:id="888" w:name="Tc_Whj_fheF3USFcSAWNiT4gw_2_8"/>
      <w:bookmarkStart w:id="889" w:name="Tc_UwycNqyvnkuyT-9xy7BPkQ_2_5"/>
      <w:bookmarkStart w:id="890" w:name="Tc_6nCyQnGb9EiHoRhnPHC_Xg_2_2"/>
      <w:bookmarkStart w:id="891" w:name="Tc_C9fBhhJgrEmgxtPZ1pAejg_1_8"/>
      <w:bookmarkStart w:id="892" w:name="Tc_MsVK8n0DTkiYQJ22AI9wzA_1_2"/>
      <w:bookmarkStart w:id="893" w:name="_1cd3588f_16f6_4fdc_a8cc_9eb9826051be"/>
      <w:bookmarkStart w:id="894" w:name="Tc_SSEIF3CYn0iMPcP_nxQ2FQ_7_11"/>
      <w:bookmarkStart w:id="895" w:name="Tc_10G8elZLzkehwn1ki2m9Vw_7_8"/>
      <w:bookmarkStart w:id="896" w:name="Tc_9sUbqsWCRkC-zqPGpS2YEQ_7_5"/>
      <w:bookmarkStart w:id="897" w:name="Tc_BhdTPXXhGkuF3jz_iQ3UDQ_7_2"/>
      <w:bookmarkStart w:id="898" w:name="Tc_z4tj-jAxLkqmfGEQMuG_6w_6_6"/>
      <w:bookmarkStart w:id="899" w:name="Tc_BJs3Tci1R0CGSjx6P9MjSw_6_0"/>
      <w:bookmarkStart w:id="900" w:name="Tc_BvPpYcSVzUKPW_CKpkgQHg_5_11"/>
      <w:bookmarkStart w:id="901" w:name="Tc_Y7K-vwTmGUOOZWb9Fx4lBw_5_9"/>
      <w:bookmarkStart w:id="902" w:name="Tc_DtCuD1eEpE6A91LZjYpttw_5_8"/>
      <w:bookmarkStart w:id="903" w:name="Tc_MszxLH727UeDsVDPVzjETg_5_5"/>
      <w:bookmarkStart w:id="904" w:name="Tc_YbR0OsOHa0aMIO2BEE-m1g_5_2"/>
      <w:bookmarkStart w:id="905" w:name="Tc_OI15cuePO0uWfb6WpGvLGA_5_0"/>
      <w:bookmarkStart w:id="906" w:name="Tc_wuF2nMcizUCq1Mxo_GDsyQ_4_0"/>
      <w:bookmarkStart w:id="907" w:name="Tc_HKMmnxO3fkGU7EWcEnKGlQ_3_2"/>
      <w:bookmarkStart w:id="908" w:name="Tc_fugYsuGxakmujy67bnzRUA_2_11"/>
      <w:bookmarkStart w:id="909" w:name="Tc_-EYI-rl0406riT_K2htCgg_2_8"/>
      <w:bookmarkStart w:id="910" w:name="Tc_hLqw86LkME6nMigH2BlYmg_2_5"/>
      <w:bookmarkStart w:id="911" w:name="Tc_OxSXT-BYbEq8htQFZetLzA_2_2"/>
      <w:bookmarkStart w:id="912" w:name="Tc_v1pMn19a-UGfBgZYQo1pYw_1_11"/>
      <w:bookmarkStart w:id="913" w:name="Tc_UNfXKyyahEin-1EaCriOIw_1_8"/>
      <w:bookmarkStart w:id="914" w:name="Tc_RstDO1q7q0KoNQx3fi1VOA_1_5"/>
      <w:bookmarkStart w:id="915" w:name="Tc_58-oGFMoskaD5NdOF9Fv2g_1_2"/>
      <w:bookmarkStart w:id="916" w:name="_c85b4554_c045_4ea0_bbf4_63b84da8ef05"/>
      <w:bookmarkStart w:id="917" w:name="Tc_iCiNp6asdkOWwya8cGmJ6g_10_5"/>
      <w:bookmarkStart w:id="918" w:name="Tc_7WxPiNqmlkSGDENZDlB3uA_10_2"/>
      <w:bookmarkStart w:id="919" w:name="Tc_1f9osGIOe0C_QoJTbXVAsg_10_0"/>
      <w:bookmarkStart w:id="920" w:name="Tc_17V1oL1JBUqjq5as2QZdjg_9_0"/>
      <w:bookmarkStart w:id="921" w:name="Tc_CsnN9BJREEaBIl3zYjKTKA_8_6"/>
      <w:bookmarkStart w:id="922" w:name="Tc_8ecrzz_9i0WLpG8mbuuBFQ_8_0"/>
      <w:bookmarkStart w:id="923" w:name="Tc__t0ySgpqcEeH4r2ubBnFPA_7_0"/>
      <w:bookmarkStart w:id="924" w:name="Tc_l1xOw_eiFE2E36rP1Tu6-A_6_0"/>
      <w:bookmarkStart w:id="925" w:name="Tc_52MS9MFBnUS83hnWtAk4Ug_5_0"/>
      <w:bookmarkStart w:id="926" w:name="Tc_WpQkFrfGKkuTRLoP8QpVNg_4_5"/>
      <w:bookmarkStart w:id="927" w:name="Tc_ZRQUKVTyFkWDXXidNM04kQ_4_2"/>
      <w:bookmarkStart w:id="928" w:name="Tc_Dd1ct1TXn025_XbUDYm6CQ_4_0"/>
      <w:bookmarkStart w:id="929" w:name="Tc_JCDkxVQtu0uK1EE11n2sMA_3_2"/>
      <w:bookmarkStart w:id="930" w:name="Tc_obZqteGoT0-MYv79imS3Gg_2_5"/>
      <w:bookmarkStart w:id="931" w:name="Tc_PnY_3MQ9Zk6wbPSQjfDpHg_2_2"/>
      <w:bookmarkStart w:id="932" w:name="Tc_WUAxhWgJjka0Zvv4lIOggQ_1_5"/>
      <w:bookmarkStart w:id="933" w:name="Tc_lNP1Y_si40exGm9MIyNysQ_1_2"/>
      <w:bookmarkStart w:id="934" w:name="_bd42a2c9_737b_415e_b15d_0fc85bb90588"/>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r>
        <w:rPr>
          <w:rFonts w:ascii="Times New Roman;Times;serif" w:hAnsi="Times New Roman;Times;serif"/>
          <w:i/>
          <w:sz w:val="20"/>
        </w:rPr>
        <w:t>Accrued Liabilities</w:t>
      </w:r>
    </w:p>
    <w:p>
      <w:pPr>
        <w:pStyle w:val="TextBody"/>
        <w:bidi w:val="0"/>
        <w:spacing w:before="0" w:after="0"/>
        <w:ind w:left="0" w:right="0" w:hanging="0"/>
        <w:jc w:val="left"/>
        <w:rPr/>
      </w:pPr>
      <w:r>
        <w:rPr/>
        <w:t>​</w:t>
      </w:r>
    </w:p>
    <w:tbl>
      <w:tblPr>
        <w:tblW w:w="5599" w:type="dxa"/>
        <w:jc w:val="left"/>
        <w:tblInd w:w="0" w:type="dxa"/>
        <w:tblLayout w:type="fixed"/>
        <w:tblCellMar>
          <w:top w:w="0" w:type="dxa"/>
          <w:left w:w="0" w:type="dxa"/>
          <w:bottom w:w="0" w:type="dxa"/>
          <w:right w:w="0" w:type="dxa"/>
        </w:tblCellMar>
      </w:tblPr>
      <w:tblGrid>
        <w:gridCol w:w="3016"/>
        <w:gridCol w:w="346"/>
        <w:gridCol w:w="211"/>
        <w:gridCol w:w="676"/>
        <w:gridCol w:w="346"/>
        <w:gridCol w:w="211"/>
        <w:gridCol w:w="793"/>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915160" cy="175260"/>
                      <wp:effectExtent l="0" t="0" r="0" b="0"/>
                      <wp:wrapNone/>
                      <wp:docPr id="84" name="Frame84"/>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03555" cy="175260"/>
                      <wp:effectExtent l="0" t="0" r="0" b="0"/>
                      <wp:wrapNone/>
                      <wp:docPr id="90" name="Frame9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center"/>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0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7"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subcontractor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37,123</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bonuses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27,478</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withholdings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5,999</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payroll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Utility incentives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accounting costs and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82,434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left"/>
        <w:rPr/>
      </w:pPr>
      <w:r>
        <w:rPr/>
        <w:t>​</w:t>
      </w:r>
    </w:p>
    <w:tbl>
      <w:tblPr>
        <w:tblW w:w="8062" w:type="dxa"/>
        <w:jc w:val="left"/>
        <w:tblInd w:w="0" w:type="dxa"/>
        <w:tblLayout w:type="fixed"/>
        <w:tblCellMar>
          <w:top w:w="0" w:type="dxa"/>
          <w:left w:w="0" w:type="dxa"/>
          <w:bottom w:w="0" w:type="dxa"/>
          <w:right w:w="0" w:type="dxa"/>
        </w:tblCellMar>
      </w:tblPr>
      <w:tblGrid>
        <w:gridCol w:w="2431"/>
        <w:gridCol w:w="346"/>
        <w:gridCol w:w="211"/>
        <w:gridCol w:w="781"/>
        <w:gridCol w:w="346"/>
        <w:gridCol w:w="271"/>
        <w:gridCol w:w="869"/>
        <w:gridCol w:w="346"/>
        <w:gridCol w:w="380"/>
        <w:gridCol w:w="626"/>
        <w:gridCol w:w="346"/>
        <w:gridCol w:w="211"/>
        <w:gridCol w:w="898"/>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43685" cy="175260"/>
                      <wp:effectExtent l="0" t="0" r="0" b="0"/>
                      <wp:wrapNone/>
                      <wp:docPr id="91" name="Frame91"/>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95935" cy="175260"/>
                      <wp:effectExtent l="0" t="0" r="0" b="0"/>
                      <wp:wrapNone/>
                      <wp:docPr id="94" name="Frame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72085" cy="175260"/>
                      <wp:effectExtent l="0" t="0" r="0" b="0"/>
                      <wp:wrapNone/>
                      <wp:docPr id="96" name="Frame9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51815" cy="175260"/>
                      <wp:effectExtent l="0" t="0" r="0" b="0"/>
                      <wp:wrapNone/>
                      <wp:docPr id="97" name="Frame97"/>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41300" cy="175260"/>
                      <wp:effectExtent l="0" t="0" r="0" b="0"/>
                      <wp:wrapNone/>
                      <wp:docPr id="99" name="Frame99"/>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97510" cy="175260"/>
                      <wp:effectExtent l="0" t="0" r="0" b="0"/>
                      <wp:wrapNone/>
                      <wp:docPr id="100" name="Frame100"/>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70230" cy="175260"/>
                      <wp:effectExtent l="0" t="0" r="0" b="0"/>
                      <wp:wrapNone/>
                      <wp:docPr id="103" name="Frame103"/>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Additions / </w:t>
            </w:r>
          </w:p>
        </w:tc>
        <w:tc>
          <w:tcPr>
            <w:tcW w:w="346" w:type="dxa"/>
            <w:tcBorders/>
            <w:vAlign w:val="center"/>
          </w:tcPr>
          <w:p>
            <w:pPr>
              <w:pStyle w:val="TableContents"/>
              <w:bidi w:val="0"/>
              <w:spacing w:before="0" w:after="0"/>
              <w:ind w:left="0" w:right="0" w:hanging="0"/>
              <w:jc w:val="left"/>
              <w:rPr/>
            </w:pPr>
            <w:r>
              <w:rPr/>
              <w:t>​</w:t>
            </w:r>
          </w:p>
        </w:tc>
        <w:tc>
          <w:tcPr>
            <w:tcW w:w="110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 Cost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85"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Unit: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170,835</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32,566</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203,401</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8,695</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8,768</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179,530</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32,566</w:t>
            </w:r>
          </w:p>
        </w:tc>
        <w:tc>
          <w:tcPr>
            <w:tcW w:w="34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212,169</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tests its goodwill at least annually for possible impairment. The Company completes its annual testing of goodwill as of the last day of the first month of its fourth fiscal quarter each year to determine whether there is a potential impairment. In addition to the Company’s annual test, it regularly evaluates whether events and circumstances have occurred that may indicate a potential impairment of goodwill. The Company evaluated the current economic environment and noted that it does not believe it is more likely than not that goodwill was impaired as of July 3, 2026.</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Intangible Assets</w:t>
      </w:r>
    </w:p>
    <w:p>
      <w:pPr>
        <w:pStyle w:val="TextBody"/>
        <w:bidi w:val="0"/>
        <w:spacing w:before="0" w:after="0"/>
        <w:ind w:left="0" w:right="0" w:hanging="0"/>
        <w:jc w:val="left"/>
        <w:rPr/>
      </w:pPr>
      <w:r>
        <w:rPr/>
        <w:t>​</w:t>
      </w:r>
    </w:p>
    <w:tbl>
      <w:tblPr>
        <w:tblW w:w="9308" w:type="dxa"/>
        <w:jc w:val="left"/>
        <w:tblInd w:w="0" w:type="dxa"/>
        <w:tblLayout w:type="fixed"/>
        <w:tblCellMar>
          <w:top w:w="0" w:type="dxa"/>
          <w:left w:w="0" w:type="dxa"/>
          <w:bottom w:w="0" w:type="dxa"/>
          <w:right w:w="0" w:type="dxa"/>
        </w:tblCellMar>
      </w:tblPr>
      <w:tblGrid>
        <w:gridCol w:w="2176"/>
        <w:gridCol w:w="346"/>
        <w:gridCol w:w="211"/>
        <w:gridCol w:w="781"/>
        <w:gridCol w:w="346"/>
        <w:gridCol w:w="257"/>
        <w:gridCol w:w="824"/>
        <w:gridCol w:w="346"/>
        <w:gridCol w:w="211"/>
        <w:gridCol w:w="781"/>
        <w:gridCol w:w="346"/>
        <w:gridCol w:w="257"/>
        <w:gridCol w:w="824"/>
        <w:gridCol w:w="346"/>
        <w:gridCol w:w="361"/>
        <w:gridCol w:w="109"/>
        <w:gridCol w:w="166"/>
        <w:gridCol w:w="109"/>
        <w:gridCol w:w="511"/>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81760" cy="175260"/>
                      <wp:effectExtent l="0" t="0" r="0" b="0"/>
                      <wp:wrapNone/>
                      <wp:docPr id="104" name="Frame104"/>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 2026</w:t>
            </w:r>
          </w:p>
        </w:tc>
        <w:tc>
          <w:tcPr>
            <w:tcW w:w="346" w:type="dxa"/>
            <w:tcBorders/>
            <w:vAlign w:val="center"/>
          </w:tcPr>
          <w:p>
            <w:pPr>
              <w:pStyle w:val="TableContents"/>
              <w:bidi w:val="0"/>
              <w:spacing w:before="0" w:after="0"/>
              <w:ind w:left="0" w:right="0" w:hanging="0"/>
              <w:jc w:val="center"/>
              <w:rPr/>
            </w:pPr>
            <w:r>
              <w:rPr/>
              <w:t>​</w:t>
            </w:r>
          </w:p>
        </w:tc>
        <w:tc>
          <w:tcPr>
            <w:tcW w:w="24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 2026</w:t>
            </w:r>
          </w:p>
        </w:tc>
        <w:tc>
          <w:tcPr>
            <w:tcW w:w="34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2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4"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Finite:</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15,219</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11,600</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9,853</w:t>
            </w:r>
          </w:p>
        </w:tc>
        <w:tc>
          <w:tcPr>
            <w:tcW w:w="346" w:type="dxa"/>
            <w:tcBorders/>
            <w:vAlign w:val="center"/>
          </w:tcPr>
          <w:p>
            <w:pPr>
              <w:pStyle w:val="TableContents"/>
              <w:bidi w:val="0"/>
              <w:spacing w:before="0" w:after="0"/>
              <w:ind w:left="0" w:right="0" w:hanging="0"/>
              <w:jc w:val="left"/>
              <w:rPr/>
            </w:pPr>
            <w:r>
              <w:rP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21,426</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17,773</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14,285</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102,248</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73,400</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43,414</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144,348</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104,608</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69,087</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before="0" w:after="0"/>
        <w:ind w:left="0" w:right="0" w:hanging="0"/>
        <w:jc w:val="left"/>
        <w:rPr>
          <w:rFonts w:ascii="Times New Roman;Times;serif" w:hAnsi="Times New Roman;Times;serif"/>
          <w:b/>
          <w:sz w:val="20"/>
        </w:rPr>
      </w:pPr>
      <w:bookmarkStart w:id="935" w:name="Tc_3unUk26H5kCYVY50r-7eBA_6_8"/>
      <w:bookmarkStart w:id="936" w:name="Tc_J8-VelkiuE2lVp0ng1GL0w_6_5"/>
      <w:bookmarkStart w:id="937" w:name="Tc_nUj-Razk9Uyuv5Raf1jFFA_6_2"/>
      <w:bookmarkStart w:id="938" w:name="Tc_BxtBKAXwdE64z1OMk0zeXw_6_0"/>
      <w:bookmarkStart w:id="939" w:name="Tc_w43IVU7sLU2lqHm8BxLyCw_5_7"/>
      <w:bookmarkStart w:id="940" w:name="Tc_WnokFsLhmky4CjL6lYjTLA_5_4"/>
      <w:bookmarkStart w:id="941" w:name="Tc_hdte0NBtmEKhSKm1omdyAw_5_0"/>
      <w:bookmarkStart w:id="942" w:name="Tc_QAQ31FmJ9EaL2arAdC90uw_4_4"/>
      <w:bookmarkStart w:id="943" w:name="Tc_cLeI4hMIsUqWjFYT2QlRTQ_3_7"/>
      <w:bookmarkStart w:id="944" w:name="Tc_VghU2utO206L5uBwdcOBVA_3_4"/>
      <w:bookmarkStart w:id="945" w:name="Tc_jpJgGeKjYUeJD5CqZcleFw_3_2"/>
      <w:bookmarkStart w:id="946" w:name="Tc__AHgLzZZMEqg3obvkcntNA_2_4"/>
      <w:bookmarkStart w:id="947" w:name="Tc_J7BzhM8_k0OiPy5z4WfNWw_1_4"/>
      <w:bookmarkStart w:id="948" w:name="_c4bba330_b332_4019_81a7_7baae4aa8798"/>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r>
        <w:rPr>
          <w:rFonts w:ascii="Times New Roman;Times;serif" w:hAnsi="Times New Roman;Times;serif"/>
          <w:b/>
          <w:sz w:val="20"/>
        </w:rPr>
        <w:t>5. DERIVATIVE FINANCIAL INSTRUMENTS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uses certain interest rate derivative contracts to hedge interest rate exposures on its variable rate debt. The Company’s hedging program is not designated for trading or speculative purposes.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derivative instruments as either assets or liabilities on the accompanying condensed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income (loss) as a loss or gain on cash flow hedge valuation. All related cash flows are reported in the operating activities section of the consolidated statements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30, 2023, the Company entered into an interest rate swap agreement that the Company designated as cash flow hedge to fix the variable interest rate on a portion of the Company’s Term Loan (see Note 6, “</w:t>
      </w:r>
      <w:r>
        <w:rPr>
          <w:rFonts w:ascii="Times New Roman;Times;serif" w:hAnsi="Times New Roman;Times;serif"/>
          <w:i/>
          <w:sz w:val="20"/>
        </w:rPr>
        <w:t xml:space="preserve">Debt Obligations” </w:t>
      </w:r>
      <w:r>
        <w:rPr>
          <w:rFonts w:ascii="Times New Roman;Times;serif" w:hAnsi="Times New Roman;Times;serif"/>
          <w:sz w:val="20"/>
        </w:rPr>
        <w:t>for information regarding our indebtedness). The interest rate swap agreement has a total notional amount of $50.0 million, has a fixed annual interest rate of 4.77%, and expires on September 29, 2026. As of July 3, 2026, the effective portion of the Company’s interest rate swap agreement designated as a cash flow hedge before tax effects was $0.3 million, of which no amounts were reclassified from accumulated other comprehensive income (loss) to interest expense</w:t>
      </w:r>
      <w:r>
        <w:rPr>
          <w:rFonts w:ascii="Times New Roman;Times;serif" w:hAnsi="Times New Roman;Times;serif"/>
          <w:sz w:val="20"/>
          <w:shd w:fill="FFFFFF" w:val="clear"/>
        </w:rPr>
        <w:t> in six months ended July 3, 2026</w:t>
      </w:r>
      <w:r>
        <w:rPr>
          <w:rFonts w:ascii="Times New Roman;Times;serif" w:hAnsi="Times New Roman;Times;serif"/>
          <w:sz w:val="20"/>
        </w:rPr>
        <w:t>. The Company expects to reclassify $0.1 million from accumulated other comprehensive income (loss) to interest expense within the next twelve months.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values of the Company’s outstanding derivatives designated as hedging instruments were as follows:</w:t>
      </w:r>
    </w:p>
    <w:p>
      <w:pPr>
        <w:pStyle w:val="TextBody"/>
        <w:bidi w:val="0"/>
        <w:spacing w:before="0" w:after="0"/>
        <w:ind w:left="0" w:right="0" w:hanging="0"/>
        <w:jc w:val="left"/>
        <w:rPr/>
      </w:pPr>
      <w:r>
        <w:rPr/>
        <w:t>​</w:t>
      </w:r>
    </w:p>
    <w:tbl>
      <w:tblPr>
        <w:tblW w:w="7894" w:type="dxa"/>
        <w:jc w:val="left"/>
        <w:tblInd w:w="0" w:type="dxa"/>
        <w:tblLayout w:type="fixed"/>
        <w:tblCellMar>
          <w:top w:w="0" w:type="dxa"/>
          <w:left w:w="0" w:type="dxa"/>
          <w:bottom w:w="0" w:type="dxa"/>
          <w:right w:w="0" w:type="dxa"/>
        </w:tblCellMar>
      </w:tblPr>
      <w:tblGrid>
        <w:gridCol w:w="2401"/>
        <w:gridCol w:w="346"/>
        <w:gridCol w:w="2311"/>
        <w:gridCol w:w="346"/>
        <w:gridCol w:w="328"/>
        <w:gridCol w:w="677"/>
        <w:gridCol w:w="135"/>
        <w:gridCol w:w="357"/>
        <w:gridCol w:w="993"/>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24635" cy="175895"/>
                      <wp:effectExtent l="0" t="0" r="0" b="0"/>
                      <wp:wrapNone/>
                      <wp:docPr id="107" name="Frame107"/>
                      <a:graphic xmlns:a="http://schemas.openxmlformats.org/drawingml/2006/main">
                        <a:graphicData uri="http://schemas.microsoft.com/office/word/2010/wordprocessingShape">
                          <wps:wsp>
                            <wps:cNvSpPr txBox="1"/>
                            <wps:spPr>
                              <a:xfrm>
                                <a:off x="0" y="0"/>
                                <a:ext cx="15246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895"/>
                      <wp:effectExtent l="0" t="0" r="0" b="0"/>
                      <wp:wrapNone/>
                      <wp:docPr id="108" name="Frame10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67485" cy="175895"/>
                      <wp:effectExtent l="0" t="0" r="0" b="0"/>
                      <wp:wrapNone/>
                      <wp:docPr id="109" name="Frame109"/>
                      <a:graphic xmlns:a="http://schemas.openxmlformats.org/drawingml/2006/main">
                        <a:graphicData uri="http://schemas.microsoft.com/office/word/2010/wordprocessingShape">
                          <wps:wsp>
                            <wps:cNvSpPr txBox="1"/>
                            <wps:spPr>
                              <a:xfrm>
                                <a:off x="0" y="0"/>
                                <a:ext cx="1467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895"/>
                      <wp:effectExtent l="0" t="0" r="0" b="0"/>
                      <wp:wrapNone/>
                      <wp:docPr id="110" name="Frame11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8280" cy="175895"/>
                      <wp:effectExtent l="0" t="0" r="0" b="0"/>
                      <wp:wrapNone/>
                      <wp:docPr id="111" name="Frame111"/>
                      <a:graphic xmlns:a="http://schemas.openxmlformats.org/drawingml/2006/main">
                        <a:graphicData uri="http://schemas.microsoft.com/office/word/2010/wordprocessingShape">
                          <wps:wsp>
                            <wps:cNvSpPr txBox="1"/>
                            <wps:spPr>
                              <a:xfrm>
                                <a:off x="0" y="0"/>
                                <a:ext cx="2082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29895" cy="175895"/>
                      <wp:effectExtent l="0" t="0" r="0" b="0"/>
                      <wp:wrapNone/>
                      <wp:docPr id="112" name="Frame112"/>
                      <a:graphic xmlns:a="http://schemas.openxmlformats.org/drawingml/2006/main">
                        <a:graphicData uri="http://schemas.microsoft.com/office/word/2010/wordprocessingShape">
                          <wps:wsp>
                            <wps:cNvSpPr txBox="1"/>
                            <wps:spPr>
                              <a:xfrm>
                                <a:off x="0" y="0"/>
                                <a:ext cx="4298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85725" cy="175895"/>
                      <wp:effectExtent l="0" t="0" r="0" b="0"/>
                      <wp:wrapNone/>
                      <wp:docPr id="113" name="Frame113"/>
                      <a:graphic xmlns:a="http://schemas.openxmlformats.org/drawingml/2006/main">
                        <a:graphicData uri="http://schemas.microsoft.com/office/word/2010/wordprocessingShape">
                          <wps:wsp>
                            <wps:cNvSpPr txBox="1"/>
                            <wps:spPr>
                              <a:xfrm>
                                <a:off x="0" y="0"/>
                                <a:ext cx="857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26695" cy="175895"/>
                      <wp:effectExtent l="0" t="0" r="0" b="0"/>
                      <wp:wrapNone/>
                      <wp:docPr id="114" name="Frame114"/>
                      <a:graphic xmlns:a="http://schemas.openxmlformats.org/drawingml/2006/main">
                        <a:graphicData uri="http://schemas.microsoft.com/office/word/2010/wordprocessingShape">
                          <wps:wsp>
                            <wps:cNvSpPr txBox="1"/>
                            <wps:spPr>
                              <a:xfrm>
                                <a:off x="0" y="0"/>
                                <a:ext cx="2266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30555" cy="175895"/>
                      <wp:effectExtent l="0" t="0" r="0" b="0"/>
                      <wp:wrapNone/>
                      <wp:docPr id="115" name="Frame115"/>
                      <a:graphic xmlns:a="http://schemas.openxmlformats.org/drawingml/2006/main">
                        <a:graphicData uri="http://schemas.microsoft.com/office/word/2010/wordprocessingShape">
                          <wps:wsp>
                            <wps:cNvSpPr txBox="1"/>
                            <wps:spPr>
                              <a:xfrm>
                                <a:off x="0" y="0"/>
                                <a:ext cx="6305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23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  ​ ​ ​</w:t>
            </w:r>
          </w:p>
        </w:tc>
        <w:tc>
          <w:tcPr>
            <w:tcW w:w="2490"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Fair Value of Derivative</w:t>
            </w:r>
          </w:p>
        </w:tc>
      </w:tr>
      <w:tr>
        <w:trPr/>
        <w:tc>
          <w:tcPr>
            <w:tcW w:w="240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23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  ​ ​ ​</w:t>
            </w:r>
          </w:p>
        </w:tc>
        <w:tc>
          <w:tcPr>
            <w:tcW w:w="249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Instruments as of</w:t>
            </w:r>
          </w:p>
        </w:tc>
      </w:tr>
      <w:tr>
        <w:trPr/>
        <w:tc>
          <w:tcPr>
            <w:tcW w:w="240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31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46" w:type="dxa"/>
            <w:tcBorders/>
            <w:vAlign w:val="center"/>
          </w:tcPr>
          <w:p>
            <w:pPr>
              <w:pStyle w:val="TableContents"/>
              <w:bidi w:val="0"/>
              <w:spacing w:before="1"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July 3, 2026</w:t>
            </w:r>
          </w:p>
        </w:tc>
        <w:tc>
          <w:tcPr>
            <w:tcW w:w="13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January 2, 2026</w:t>
            </w:r>
          </w:p>
        </w:tc>
      </w:tr>
      <w:tr>
        <w:trPr/>
        <w:tc>
          <w:tcPr>
            <w:tcW w:w="240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311"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2490"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0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46" w:type="dxa"/>
            <w:tcBorders/>
            <w:shd w:fill="CCEEFF" w:val="clear"/>
            <w:vAlign w:val="center"/>
          </w:tcPr>
          <w:p>
            <w:pPr>
              <w:pStyle w:val="TableContents"/>
              <w:bidi w:val="0"/>
              <w:spacing w:before="1" w:after="1"/>
              <w:ind w:left="0" w:right="0" w:hanging="0"/>
              <w:jc w:val="left"/>
              <w:rPr/>
            </w:pPr>
            <w:r>
              <w:rPr/>
              <w:t>​</w:t>
            </w:r>
          </w:p>
        </w:tc>
        <w:tc>
          <w:tcPr>
            <w:tcW w:w="2311" w:type="dxa"/>
            <w:tcBorders/>
            <w:shd w:fill="CCEEFF" w:val="cle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46" w:type="dxa"/>
            <w:tcBorders/>
            <w:shd w:fill="CCEEFF" w:val="clear"/>
            <w:vAlign w:val="center"/>
          </w:tcPr>
          <w:p>
            <w:pPr>
              <w:pStyle w:val="TableContents"/>
              <w:bidi w:val="0"/>
              <w:spacing w:before="1" w:after="1"/>
              <w:ind w:left="0" w:right="0" w:hanging="0"/>
              <w:jc w:val="left"/>
              <w:rPr/>
            </w:pPr>
            <w:r>
              <w:rPr/>
              <w:t>​</w:t>
            </w:r>
          </w:p>
        </w:tc>
        <w:tc>
          <w:tcPr>
            <w:tcW w:w="32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135" w:type="dxa"/>
            <w:tcBorders/>
            <w:shd w:fill="CCEEFF" w:val="clear"/>
            <w:vAlign w:val="center"/>
          </w:tcPr>
          <w:p>
            <w:pPr>
              <w:pStyle w:val="TableContents"/>
              <w:bidi w:val="0"/>
              <w:spacing w:before="1" w:after="1"/>
              <w:ind w:left="0" w:right="0" w:hanging="0"/>
              <w:jc w:val="left"/>
              <w:rPr/>
            </w:pPr>
            <w:r>
              <w:rPr/>
              <w:t>​</w:t>
            </w:r>
          </w:p>
        </w:tc>
        <w:tc>
          <w:tcPr>
            <w:tcW w:w="35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(341)</w:t>
            </w:r>
          </w:p>
        </w:tc>
      </w:tr>
      <w:tr>
        <w:trPr/>
        <w:tc>
          <w:tcPr>
            <w:tcW w:w="240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46" w:type="dxa"/>
            <w:tcBorders/>
            <w:vAlign w:val="center"/>
          </w:tcPr>
          <w:p>
            <w:pPr>
              <w:pStyle w:val="TableContents"/>
              <w:bidi w:val="0"/>
              <w:spacing w:before="1" w:after="1"/>
              <w:ind w:left="0" w:right="0" w:hanging="0"/>
              <w:jc w:val="left"/>
              <w:rPr/>
            </w:pPr>
            <w:r>
              <w:rPr/>
              <w:t>​</w:t>
            </w:r>
          </w:p>
        </w:tc>
        <w:tc>
          <w:tcPr>
            <w:tcW w:w="23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vAlign w:val="center"/>
          </w:tcPr>
          <w:p>
            <w:pPr>
              <w:pStyle w:val="TableContents"/>
              <w:bidi w:val="0"/>
              <w:spacing w:before="1" w:after="1"/>
              <w:ind w:left="0" w:right="0" w:hanging="0"/>
              <w:jc w:val="left"/>
              <w:rPr/>
            </w:pPr>
            <w:r>
              <w:rPr/>
              <w:t>​</w:t>
            </w:r>
          </w:p>
        </w:tc>
        <w:tc>
          <w:tcPr>
            <w:tcW w:w="328" w:type="dxa"/>
            <w:tcBorders/>
            <w:vAlign w:val="center"/>
          </w:tcPr>
          <w:p>
            <w:pPr>
              <w:pStyle w:val="TableContents"/>
              <w:bidi w:val="0"/>
              <w:spacing w:before="1" w:after="1"/>
              <w:ind w:left="0" w:right="0" w:hanging="0"/>
              <w:jc w:val="left"/>
              <w:rPr/>
            </w:pPr>
            <w:r>
              <w:rPr/>
              <w:t>​</w:t>
            </w:r>
          </w:p>
        </w:tc>
        <w:tc>
          <w:tcPr>
            <w:tcW w:w="677" w:type="dxa"/>
            <w:tcBorders/>
            <w:vAlign w:val="center"/>
          </w:tcPr>
          <w:p>
            <w:pPr>
              <w:pStyle w:val="TableContents"/>
              <w:bidi w:val="0"/>
              <w:spacing w:before="1" w:after="1"/>
              <w:ind w:left="0" w:right="0" w:hanging="0"/>
              <w:jc w:val="right"/>
              <w:rPr/>
            </w:pPr>
            <w:r>
              <w:rPr/>
              <w:t>—</w:t>
            </w:r>
          </w:p>
        </w:tc>
        <w:tc>
          <w:tcPr>
            <w:tcW w:w="135" w:type="dxa"/>
            <w:tcBorders/>
            <w:vAlign w:val="center"/>
          </w:tcPr>
          <w:p>
            <w:pPr>
              <w:pStyle w:val="TableContents"/>
              <w:bidi w:val="0"/>
              <w:spacing w:before="1" w:after="1"/>
              <w:ind w:left="0" w:right="0" w:hanging="0"/>
              <w:jc w:val="left"/>
              <w:rPr/>
            </w:pPr>
            <w:r>
              <w:rPr/>
              <w:t>​</w:t>
            </w:r>
          </w:p>
        </w:tc>
        <w:tc>
          <w:tcPr>
            <w:tcW w:w="357" w:type="dxa"/>
            <w:tcBorders/>
            <w:vAlign w:val="center"/>
          </w:tcPr>
          <w:p>
            <w:pPr>
              <w:pStyle w:val="TableContents"/>
              <w:bidi w:val="0"/>
              <w:spacing w:before="1" w:after="1"/>
              <w:ind w:left="0" w:right="0" w:hanging="0"/>
              <w:jc w:val="left"/>
              <w:rPr/>
            </w:pPr>
            <w:r>
              <w:rPr/>
              <w:t>​</w:t>
            </w:r>
          </w:p>
        </w:tc>
        <w:tc>
          <w:tcPr>
            <w:tcW w:w="993" w:type="dxa"/>
            <w:tcBorders/>
            <w:vAlign w:val="center"/>
          </w:tcPr>
          <w:p>
            <w:pPr>
              <w:pStyle w:val="TableContents"/>
              <w:bidi w:val="0"/>
              <w:spacing w:before="1" w:after="1"/>
              <w:ind w:left="0" w:right="72" w:hanging="0"/>
              <w:jc w:val="right"/>
              <w:rPr/>
            </w:pPr>
            <w:r>
              <w:rPr/>
              <w:t>—</w:t>
            </w:r>
          </w:p>
        </w:tc>
      </w:tr>
    </w:tbl>
    <w:p>
      <w:pPr>
        <w:pStyle w:val="TextBody"/>
        <w:shd w:fill="FFFFFF" w:val="clear"/>
        <w:bidi w:val="0"/>
        <w:spacing w:before="0" w:after="0"/>
        <w:ind w:left="0" w:right="0" w:hanging="0"/>
        <w:jc w:val="left"/>
        <w:rPr/>
      </w:pPr>
      <w:r>
        <w:rPr/>
        <w:t> </w:t>
      </w:r>
    </w:p>
    <w:p>
      <w:pPr>
        <w:pStyle w:val="TextBody"/>
        <w:pBdr/>
        <w:shd w:fill="FFFFFF" w:val="clear"/>
        <w:bidi w:val="0"/>
        <w:spacing w:before="0" w:after="0"/>
        <w:ind w:left="0" w:right="0" w:hanging="0"/>
        <w:jc w:val="left"/>
        <w:rPr/>
      </w:pPr>
      <w:r>
        <w:rPr/>
        <w:t>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impact of the effective portions of derivative instruments in cash flow hedging relationships and fair value relationships on other comprehensive income (loss) was not material to the Company’s condensed consolidated financial statements for the six months ended July 3,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shd w:fill="FFFFFF" w:val="clear"/>
        <w:bidi w:val="0"/>
        <w:spacing w:before="0" w:after="240"/>
        <w:ind w:left="0" w:right="0" w:firstLine="720"/>
        <w:jc w:val="left"/>
        <w:rPr>
          <w:rFonts w:ascii="Times New Roman;Times;serif" w:hAnsi="Times New Roman;Times;serif"/>
          <w:sz w:val="20"/>
        </w:rPr>
      </w:pPr>
      <w:bookmarkStart w:id="949" w:name="Tc_pXOEBD5k6EaIFt0Z2lVf0Q_14_5"/>
      <w:bookmarkStart w:id="950" w:name="Tc_oDSLbjJu3kSrx5Z3K8L7OQ_14_2"/>
      <w:bookmarkStart w:id="951" w:name="Tc_uprJq-nR2kqL1uRMzuv5tw_14_0"/>
      <w:bookmarkStart w:id="952" w:name="Tc_2wRHje_VZk2K-tP4yj22zg_13_0"/>
      <w:bookmarkStart w:id="953" w:name="Tc_kOqkGyhUo06OpSKU08oI4A_12_0"/>
      <w:bookmarkStart w:id="954" w:name="Tc_UGNZRglJKkW49F7HYfjasA_11_6"/>
      <w:bookmarkStart w:id="955" w:name="Tc_CUTW6ocA9kGfD1_dJ-Jijw_11_3"/>
      <w:bookmarkStart w:id="956" w:name="Tc_jT6k7fhX7EqVxsLdCquYdQ_11_0"/>
      <w:bookmarkStart w:id="957" w:name="Tc_sq8p1acnVkqK3NxFRfZylg_10_0"/>
      <w:bookmarkStart w:id="958" w:name="Tc_0JwCHnXtK0Kvwb30m_cwnw_9_5"/>
      <w:bookmarkStart w:id="959" w:name="Tc_3DDHqWlvB06tw5sfp4z8HA_9_2"/>
      <w:bookmarkStart w:id="960" w:name="Tc_xPquUP_G30qHx1LAuQ4LLA_9_0"/>
      <w:bookmarkStart w:id="961" w:name="Tc_jB3Odhaprk--J9jMMWB0dQ_8_0"/>
      <w:bookmarkStart w:id="962" w:name="Tc_jkFBNcOq9UqhfDeSF4c3Cw_7_0"/>
      <w:bookmarkStart w:id="963" w:name="Tc_mEkznvwhHE6tjcnL3P2bXA_6_6"/>
      <w:bookmarkStart w:id="964" w:name="Tc_n23bg7YL-USwySMprzmMgA_6_3"/>
      <w:bookmarkStart w:id="965" w:name="Tc_D0f-76XArE2_fl495SxHjw_6_0"/>
      <w:bookmarkStart w:id="966" w:name="Tc_NauQNHBe2UmvskKOqgHQKQ_5_0"/>
      <w:bookmarkStart w:id="967" w:name="Tc_GLeMUEEtLEGUpF0KGeC8zg_4_5"/>
      <w:bookmarkStart w:id="968" w:name="Tc_OYSxVrPbNU-issbYHm2zNg_4_2"/>
      <w:bookmarkStart w:id="969" w:name="Tc_w3Sms6ibtE-_5RmvsKQNKw_4_0"/>
      <w:bookmarkStart w:id="970" w:name="Tc_wnLkWA8ofUGWkki7KPctlQ_3_2"/>
      <w:bookmarkStart w:id="971" w:name="Tc_TO7P4Ot0XEe7MFrlsIzWRA_2_5"/>
      <w:bookmarkStart w:id="972" w:name="Tc_yiMNNIglO06PW8rApKNMpg_2_2"/>
      <w:bookmarkStart w:id="973" w:name="Tc_pWhm4sM8OUezuMIGpVBLVQ_1_5"/>
      <w:bookmarkStart w:id="974" w:name="Tc_X7PYOO28DEaPjY1ZwdqFVQ_1_2"/>
      <w:bookmarkStart w:id="975" w:name="_f55a0cc0_b8d8_496e_a2c8_4e2beb994da3"/>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r>
        <w:rPr>
          <w:rFonts w:ascii="Times New Roman;Times;serif" w:hAnsi="Times New Roman;Times;serif"/>
          <w:sz w:val="20"/>
        </w:rPr>
        <w:t>The accumulated balances and reporting period activities for the periods below related to reclassifications out of accumulated other comprehensive income (loss) are summarized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715"/>
        <w:gridCol w:w="109"/>
        <w:gridCol w:w="538"/>
        <w:gridCol w:w="1233"/>
        <w:gridCol w:w="346"/>
        <w:gridCol w:w="646"/>
        <w:gridCol w:w="1618"/>
      </w:tblGrid>
      <w:tr>
        <w:trPr/>
        <w:tc>
          <w:tcPr>
            <w:tcW w:w="57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618" w:type="dxa"/>
            <w:tcBorders/>
            <w:vAlign w:val="center"/>
          </w:tcPr>
          <w:p>
            <w:pPr>
              <w:pStyle w:val="TableContents"/>
              <w:bidi w:val="0"/>
              <w:spacing w:before="0" w:after="0"/>
              <w:ind w:left="0" w:right="0" w:hanging="0"/>
              <w:jc w:val="left"/>
              <w:rPr/>
            </w:pPr>
            <w:r>
              <w:rPr/>
              <w:t>​</w:t>
            </w:r>
          </w:p>
        </w:tc>
      </w:tr>
      <w:tr>
        <w:trPr/>
        <w:tc>
          <w:tcPr>
            <w:tcW w:w="57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346" w:type="dxa"/>
            <w:tcBorders/>
            <w:vAlign w:val="center"/>
          </w:tcPr>
          <w:p>
            <w:pPr>
              <w:pStyle w:val="TableContents"/>
              <w:bidi w:val="0"/>
              <w:spacing w:before="0" w:after="0"/>
              <w:ind w:left="0" w:right="0" w:hanging="0"/>
              <w:jc w:val="left"/>
              <w:rPr/>
            </w:pPr>
            <w:r>
              <w:rPr/>
              <w:t>​</w:t>
            </w:r>
          </w:p>
        </w:tc>
        <w:tc>
          <w:tcPr>
            <w:tcW w:w="226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r>
      <w:tr>
        <w:trPr/>
        <w:tc>
          <w:tcPr>
            <w:tcW w:w="57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Instruments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2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Income (Loss)</w:t>
            </w:r>
          </w:p>
        </w:tc>
      </w:tr>
      <w:tr>
        <w:trPr/>
        <w:tc>
          <w:tcPr>
            <w:tcW w:w="57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81"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January 2, 2026</w:t>
            </w:r>
          </w:p>
        </w:tc>
        <w:tc>
          <w:tcPr>
            <w:tcW w:w="109"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109"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6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151 </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1618" w:type="dxa"/>
            <w:tcBorders/>
            <w:shd w:fill="CCEEFF" w:val="clear"/>
            <w:vAlign w:val="center"/>
          </w:tcPr>
          <w:p>
            <w:pPr>
              <w:pStyle w:val="TableContents"/>
              <w:bidi w:val="0"/>
              <w:spacing w:before="0" w:after="0"/>
              <w:ind w:left="0" w:right="0" w:hanging="0"/>
              <w:jc w:val="right"/>
              <w:rPr/>
            </w:pPr>
            <w:r>
              <w:rPr/>
              <w:t>—</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 related to derivative instruments</w:t>
            </w:r>
          </w:p>
        </w:tc>
        <w:tc>
          <w:tcPr>
            <w:tcW w:w="109"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April 3, 2026</w:t>
            </w:r>
          </w:p>
        </w:tc>
        <w:tc>
          <w:tcPr>
            <w:tcW w:w="109" w:type="dxa"/>
            <w:tcBorders/>
            <w:vAlign w:val="center"/>
          </w:tcPr>
          <w:p>
            <w:pPr>
              <w:pStyle w:val="TableContents"/>
              <w:bidi w:val="0"/>
              <w:spacing w:before="0" w:after="0"/>
              <w:ind w:left="0" w:right="0" w:hanging="0"/>
              <w:jc w:val="left"/>
              <w:rPr/>
            </w:pPr>
            <w:r>
              <w:rPr/>
              <w:t>​</w:t>
            </w:r>
          </w:p>
        </w:tc>
        <w:tc>
          <w:tcPr>
            <w:tcW w:w="5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0"/>
              <w:ind w:left="0" w:right="0" w:hanging="0"/>
              <w:jc w:val="left"/>
              <w:rPr/>
            </w:pPr>
            <w:r>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109"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1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101 </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109"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1618" w:type="dxa"/>
            <w:tcBorders/>
            <w:vAlign w:val="center"/>
          </w:tcPr>
          <w:p>
            <w:pPr>
              <w:pStyle w:val="TableContents"/>
              <w:bidi w:val="0"/>
              <w:spacing w:before="0" w:after="0"/>
              <w:ind w:left="0" w:right="0" w:hanging="0"/>
              <w:jc w:val="right"/>
              <w:rPr/>
            </w:pPr>
            <w:r>
              <w:rPr/>
              <w:t>—</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 related to derivative instruments</w:t>
            </w:r>
          </w:p>
        </w:tc>
        <w:tc>
          <w:tcPr>
            <w:tcW w:w="109"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5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109"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57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July 3, 2026</w:t>
            </w:r>
          </w:p>
        </w:tc>
        <w:tc>
          <w:tcPr>
            <w:tcW w:w="109" w:type="dxa"/>
            <w:tcBorders/>
            <w:shd w:fill="CCEEFF" w:val="clear"/>
            <w:vAlign w:val="center"/>
          </w:tcPr>
          <w:p>
            <w:pPr>
              <w:pStyle w:val="TableContents"/>
              <w:bidi w:val="0"/>
              <w:spacing w:before="0" w:after="0"/>
              <w:ind w:left="0" w:right="0" w:hanging="0"/>
              <w:jc w:val="left"/>
              <w:rPr/>
            </w:pPr>
            <w:r>
              <w:rPr/>
              <w:t>​</w:t>
            </w:r>
          </w:p>
        </w:tc>
        <w:tc>
          <w:tcPr>
            <w:tcW w:w="5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976" w:name="Tc_WNMXIUdZEEy2k2ZBXgmS6g_12_5"/>
      <w:bookmarkStart w:id="977" w:name="Tc_-X3F8QoYGUGooDl91xck0A_12_2"/>
      <w:bookmarkStart w:id="978" w:name="Tc_LW7ET236pU2OGal6SlQGwg_12_0"/>
      <w:bookmarkStart w:id="979" w:name="Tc_JI7eEocmLkaqXKELorQNeA_11_0"/>
      <w:bookmarkStart w:id="980" w:name="Tc_M0pFgEAy3kmACoCFwruVKg_10_0"/>
      <w:bookmarkStart w:id="981" w:name="Tc_xZFpLCrKxkiqzUKj458OOQ_9_0"/>
      <w:bookmarkStart w:id="982" w:name="Tc_qx2XHBRog06YZinjV6m7xg_8_0"/>
      <w:bookmarkStart w:id="983" w:name="Tc_SebwCbziO02NEZo1lcEUYQ_7_6"/>
      <w:bookmarkStart w:id="984" w:name="Tc_3wXbzKQz70yIJHmB6jZTqw_7_3"/>
      <w:bookmarkStart w:id="985" w:name="Tc_JhtOQl8qmkKQu7IibkIhNw_7_0"/>
      <w:bookmarkStart w:id="986" w:name="Tc_UBRP6wghEkG7MFOe-GF7AQ_6_6"/>
      <w:bookmarkStart w:id="987" w:name="Tc_ydNRVkHDkEOLe6F4IlQ_iw_6_0"/>
      <w:bookmarkStart w:id="988" w:name="Tc_6wXV7JVgnkiUWKqko9BAIQ_5_5"/>
      <w:bookmarkStart w:id="989" w:name="Tc_Xd8gETJJy0W_rCKLg7vt4w_5_2"/>
      <w:bookmarkStart w:id="990" w:name="Tc_3Cr5dgczaUaJY5GD7YIKQQ_5_0"/>
      <w:bookmarkStart w:id="991" w:name="Tc_MOvU31ZNHEel6TjSUZ0QDA_4_0"/>
      <w:bookmarkStart w:id="992" w:name="Tc_Y8WZbO9L802iGWfBgI_hAA_3_2"/>
      <w:bookmarkStart w:id="993" w:name="Tc_6vfahb2pp02Lode7P8W7kg_2_5"/>
      <w:bookmarkStart w:id="994" w:name="Tc_hRw1ltjno0GODoYQsPyhfw_2_2"/>
      <w:bookmarkStart w:id="995" w:name="Tc_wiodzv2Nok6v0K0aAxs8Hg_1_5"/>
      <w:bookmarkStart w:id="996" w:name="Tc_U2P9GTqDSE6xBA5wZek8Wg_1_2"/>
      <w:bookmarkStart w:id="997" w:name="_312434a6_89dd_444a_a51f_21c2cb80edd3"/>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r>
        <w:rPr>
          <w:rFonts w:ascii="Times New Roman;Times;serif" w:hAnsi="Times New Roman;Times;serif"/>
          <w:b/>
          <w:sz w:val="20"/>
        </w:rPr>
        <w:t>6. DEBT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Debt obligations, excluding obligations under finance leases (see Note 7, “</w:t>
      </w:r>
      <w:r>
        <w:rPr>
          <w:rFonts w:ascii="Times New Roman;Times;serif" w:hAnsi="Times New Roman;Times;serif"/>
          <w:i/>
          <w:sz w:val="20"/>
        </w:rPr>
        <w:t>Leases”,</w:t>
      </w:r>
      <w:r>
        <w:rPr>
          <w:rFonts w:ascii="Times New Roman;Times;serif" w:hAnsi="Times New Roman;Times;serif"/>
          <w:sz w:val="20"/>
        </w:rPr>
        <w:t xml:space="preserve"> below), consisted of the following:</w:t>
      </w:r>
    </w:p>
    <w:p>
      <w:pPr>
        <w:pStyle w:val="TextBody"/>
        <w:bidi w:val="0"/>
        <w:spacing w:before="0" w:after="0"/>
        <w:ind w:left="0" w:right="0" w:hanging="0"/>
        <w:jc w:val="left"/>
        <w:rPr/>
      </w:pPr>
      <w:r>
        <w:rPr/>
        <w:t>​</w:t>
      </w:r>
    </w:p>
    <w:tbl>
      <w:tblPr>
        <w:tblW w:w="7069" w:type="dxa"/>
        <w:jc w:val="left"/>
        <w:tblInd w:w="0" w:type="dxa"/>
        <w:tblLayout w:type="fixed"/>
        <w:tblCellMar>
          <w:top w:w="0" w:type="dxa"/>
          <w:left w:w="0" w:type="dxa"/>
          <w:bottom w:w="0" w:type="dxa"/>
          <w:right w:w="0" w:type="dxa"/>
        </w:tblCellMar>
      </w:tblPr>
      <w:tblGrid>
        <w:gridCol w:w="4486"/>
        <w:gridCol w:w="346"/>
        <w:gridCol w:w="211"/>
        <w:gridCol w:w="676"/>
        <w:gridCol w:w="346"/>
        <w:gridCol w:w="211"/>
        <w:gridCol w:w="793"/>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848610" cy="175260"/>
                      <wp:effectExtent l="0" t="0" r="0" b="0"/>
                      <wp:wrapNone/>
                      <wp:docPr id="117" name="Frame11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9260" cy="175260"/>
                      <wp:effectExtent l="0" t="0" r="0" b="0"/>
                      <wp:wrapNone/>
                      <wp:docPr id="120" name="Frame1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03555" cy="175260"/>
                      <wp:effectExtent l="0" t="0" r="0" b="0"/>
                      <wp:wrapNone/>
                      <wp:docPr id="123" name="Frame12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left"/>
              <w:rPr/>
            </w:pPr>
            <w:r>
              <w:rPr/>
              <w:t>  ​ ​ ​</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7"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Credit Agreement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Term Loan 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Revolving Credit Facility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Delayed Draw 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48,750</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costs and debt discounts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Subtotal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48,462</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Less current portion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Long-term debt portion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45,962</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Amended and Restated Credit Agreement (the “Amended and Restated Credit Agreement”) governing the Company’s Revolving Credit Facility and Delayed Draw Term Loan under the Amended and Restated Credit Agreement (the “Credit Facilities”) require the Company to comply with certain financial obligations, including a maximum Net Leverage Ratio and a minimum Fixed Charge Coverage Ratio (as defined in the Amended and Restated Credit Agreement). The Amended and Restated Credit Agreement also contains customary restrictive covenants. As of July 3, 2026, the Company was in compliance with all these covenants.</w:t>
      </w:r>
    </w:p>
    <w:p>
      <w:pPr>
        <w:pStyle w:val="TextBody"/>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as of July 3, 2026, the Company’s composite interest rate, exclusive of the effects of upfront fees, undrawn fees and issuance cost amortization, was 5.3%.</w:t>
      </w:r>
    </w:p>
    <w:p>
      <w:pPr>
        <w:pStyle w:val="TextBody"/>
        <w:bidi w:val="0"/>
        <w:spacing w:before="280" w:after="0"/>
        <w:ind w:left="0" w:right="0" w:firstLine="720"/>
        <w:jc w:val="left"/>
        <w:rPr>
          <w:color w:val="212529"/>
        </w:rPr>
      </w:pPr>
      <w:r>
        <w:rPr>
          <w:color w:val="212529"/>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998" w:name="xxx"/>
      <w:bookmarkEnd w:id="998"/>
      <w:r>
        <w:rPr>
          <w:rFonts w:ascii="Times New Roman;Times;serif" w:hAnsi="Times New Roman;Times;serif"/>
          <w:b/>
          <w:sz w:val="20"/>
        </w:rPr>
        <w:t>7.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office facilities under long-term, non-cancellable operating leases that expire at various dates through 2034. In addition, the Company is obligated under finance leases for certain furniture and office equipment that expire at various dates through 2030.</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 xml:space="preserve">From time to time, the Company enters into non-cancelable leases for some of its facility and equipment needs. These leases allow the Company to conserve cash by paying a monthly lease rental fee for the use of facilities and equipment rather than purchasing them. The Company’s leases typically have remaining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to eight years, some of which may include options to extend</w:t>
      </w:r>
      <w:r>
        <w:rPr>
          <w:rFonts w:ascii="Times New Roman;Times;serif" w:hAnsi="Times New Roman;Times;serif"/>
          <w:sz w:val="24"/>
        </w:rPr>
        <w:t xml:space="preserve"> </w:t>
      </w:r>
      <w:r>
        <w:rPr>
          <w:rFonts w:ascii="Times New Roman;Times;serif" w:hAnsi="Times New Roman;Times;serif"/>
          <w:sz w:val="20"/>
        </w:rPr>
        <w:t>the leases for up to five years, and some of which may include options to terminate</w:t>
      </w:r>
      <w:r>
        <w:rPr>
          <w:rFonts w:ascii="Times New Roman;Times;serif" w:hAnsi="Times New Roman;Times;serif"/>
          <w:sz w:val="24"/>
        </w:rPr>
        <w:t xml:space="preserve"> </w:t>
      </w:r>
      <w:r>
        <w:rPr>
          <w:rFonts w:ascii="Times New Roman;Times;serif" w:hAnsi="Times New Roman;Times;serif"/>
          <w:sz w:val="20"/>
        </w:rPr>
        <w:t>the leases within one year. Currently, all of the Company’s leases contain fixed payment terms. The Company may decide to cancel or terminate a lease before the end of its term, in which case the Company is typically liable to the lessor for the remaining lease payments under the term of the lease. Additionally, all of the Company’s month-to-month leases are cancelable by the Company or the lessor, at any time, and are not included in the Company’s right-of-use asset or lease liability. As of July 3, 2026, the Company had no</w:t>
      </w:r>
      <w:r>
        <w:rPr>
          <w:rFonts w:ascii="Times New Roman;Times;serif" w:hAnsi="Times New Roman;Times;serif"/>
          <w:sz w:val="24"/>
        </w:rPr>
        <w:t xml:space="preserve"> </w:t>
      </w:r>
      <w:r>
        <w:rPr>
          <w:rFonts w:ascii="Times New Roman;Times;serif" w:hAnsi="Times New Roman;Times;serif"/>
          <w:sz w:val="20"/>
        </w:rPr>
        <w:t>leases with residual value guarantees. Typically, the Company has purchase options on the equipment underlying its long-term leases.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financing leases, depending on the terms of the lease.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Financing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The interest associated with financing lease obligations is included in interest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Right-of-use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leases are included in right-of-use assets, and current portion of lease liability and noncurrent portion of lease liability, as appropriate. Right-of-use assets and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at the lease commencement date. The right-of-use asset also includes any lease payments made and initial direct costs incurred at lease commencement and excludes lease incentives. The Company’s lease terms may include options to extend or terminate the lease when it is reasonably certain that the Company will exercise that option. Lease expense for minimum lease payments is recognized on a straight-line basis over the lease term.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bookmarkStart w:id="999" w:name="Tc_Nme50FgWwkivnYtXdKU5qw_26_7"/>
      <w:bookmarkStart w:id="1000" w:name="Tc_ZSxAwD9CCUmgLHA9cPXLHQ_26_4"/>
      <w:bookmarkStart w:id="1001" w:name="Tc_1vQIm_QNhU2SG4YWM1_L6w_26_0"/>
      <w:bookmarkStart w:id="1002" w:name="Tc_n-4LD7JWo0Ooi_SdGOgj9A_25_7"/>
      <w:bookmarkStart w:id="1003" w:name="Tc_vHDtq6AqQE6q43v4mevQHw_25_4"/>
      <w:bookmarkStart w:id="1004" w:name="Tc_VOBBhI8yB02TsBw0s-Fpow_25_0"/>
      <w:bookmarkStart w:id="1005" w:name="Tc__Ya4am-hc0qHJVfszxyGzA_24_0"/>
      <w:bookmarkStart w:id="1006" w:name="Tc_Fs7VYrzTX0qNCGxmU-4Ojg_22_0"/>
      <w:bookmarkStart w:id="1007" w:name="Tc_DyBC5zCJekaZ9kU4dEDsTw_21_0"/>
      <w:bookmarkStart w:id="1008" w:name="Tc_13IOxFK9ZEaxeti1QQa81w_20_0"/>
      <w:bookmarkStart w:id="1009" w:name="Tc_nUSWTpVQakqVYTomJUK9vw_18_5"/>
      <w:bookmarkStart w:id="1010" w:name="Tc_HfVE1buR7k2ufQZHWjXUwQ_18_2"/>
      <w:bookmarkStart w:id="1011" w:name="Tc_fMx2rpDZjEKxVkBGZReqeg_18_0"/>
      <w:bookmarkStart w:id="1012" w:name="Tc_iTskOlw3iUi-JJObMCoscA_17_0"/>
      <w:bookmarkStart w:id="1013" w:name="Tc_L8XoqVxDCEWwfiZHBbVUAw_16_5"/>
      <w:bookmarkStart w:id="1014" w:name="Tc_BfVmnkbys06re5d3MutcmA_16_2"/>
      <w:bookmarkStart w:id="1015" w:name="Tc_gRyLkj2qGkChPcGp5CeCQw_16_0"/>
      <w:bookmarkStart w:id="1016" w:name="Tc_CGG-FFNsh06EkilNuJWS7w_14_5"/>
      <w:bookmarkStart w:id="1017" w:name="Tc_EK1JB-XoNUqJF22n3WUE5g_14_2"/>
      <w:bookmarkStart w:id="1018" w:name="Tc_UAuqnYWdkkOgbQjFSs9wZA_13_0"/>
      <w:bookmarkStart w:id="1019" w:name="Tc_Nn4pLVBlKEqMFCZkJyla5A_12_5"/>
      <w:bookmarkStart w:id="1020" w:name="Tc_8RxXe0N-qU2czg3lFt-1CA_12_2"/>
      <w:bookmarkStart w:id="1021" w:name="Tc_KGl8FZUknUusllVNOe0ZTg_12_0"/>
      <w:bookmarkStart w:id="1022" w:name="Tc_YwhF7BNxEUm44-Hpm8AWmg_11_0"/>
      <w:bookmarkStart w:id="1023" w:name="Tc_yT1novso3ECysl0A_f1nvQ_9_5"/>
      <w:bookmarkStart w:id="1024" w:name="Tc_Pm_buh7v00efi6z5F4GvOA_9_2"/>
      <w:bookmarkStart w:id="1025" w:name="Tc_CiZQiqfAgE619VAnTflWtw_9_0"/>
      <w:bookmarkStart w:id="1026" w:name="Tc_lVVPD2eUZkujnzH6KfmSkw_8_0"/>
      <w:bookmarkStart w:id="1027" w:name="Tc_ex-LThSjmEWocij-4NK2dw_7_5"/>
      <w:bookmarkStart w:id="1028" w:name="Tc_fOn7-cPSUE-Z3nCkHMxX6A_7_2"/>
      <w:bookmarkStart w:id="1029" w:name="Tc_1V9R3XNzlEu5gNO35FSc7A_7_0"/>
      <w:bookmarkStart w:id="1030" w:name="Tc_wElthOmbW0mT6eJbqlN_Gg_5_5"/>
      <w:bookmarkStart w:id="1031" w:name="Tc_P8GdltWtAUOEH_dAb5I9Zw_5_2"/>
      <w:bookmarkStart w:id="1032" w:name="Tc_efM8ejFowEOw_WiuI9T1bw_5_0"/>
      <w:bookmarkStart w:id="1033" w:name="Tc_c2OqAHTMgkOwITkr-la5RQ_4_0"/>
      <w:bookmarkStart w:id="1034" w:name="Tc_JKy8r1gl7kO9OPutCGpmIw_3_2"/>
      <w:bookmarkStart w:id="1035" w:name="Tc_-_JAiGOjdEy8xbGdSNCpyw_2_5"/>
      <w:bookmarkStart w:id="1036" w:name="Tc_2U6Nx8oUuE-s8oCWgAVh6A_2_2"/>
      <w:bookmarkStart w:id="1037" w:name="Tc_uKa9NoWlRUKHzhNHJ3g69A_1_5"/>
      <w:bookmarkStart w:id="1038" w:name="Tc_w7iD8MriG0iFIbpwpkgiBg_1_2"/>
      <w:bookmarkStart w:id="1039" w:name="_5c1f5a99_fb42_44fe_9155_061cb791ebd0"/>
      <w:bookmarkStart w:id="1040" w:name="Tc_vaNtptuay0aMmkY2AktGLg_10_10"/>
      <w:bookmarkStart w:id="1041" w:name="Tc_-A8ccTXIiUCvRfhFC5w4Ng_10_7"/>
      <w:bookmarkStart w:id="1042" w:name="Tc_ll4ggBTa7U2zwydMW7YpvQ_10_4"/>
      <w:bookmarkStart w:id="1043" w:name="Tc_BtmPdN2u8k6btc21abSOqw_10_1"/>
      <w:bookmarkStart w:id="1044" w:name="Tc_RQIXxdp3oUa4ewNFzAiisQ_10_0"/>
      <w:bookmarkStart w:id="1045" w:name="Tc_v9X7Pxd31keZKN3aa4qF2w_9_0"/>
      <w:bookmarkStart w:id="1046" w:name="Tc_A_dQogrWjUK-pRP6G7UYiA_8_0"/>
      <w:bookmarkStart w:id="1047" w:name="Tc_vnl3B3aFNkWrqwfu-52SnA_7_0"/>
      <w:bookmarkStart w:id="1048" w:name="Tc_NIYf9tn_skWyYQ2wptGlog_6_0"/>
      <w:bookmarkStart w:id="1049" w:name="Tc_uLkYTC3NiEmBkiM63FekgQ_5_10"/>
      <w:bookmarkStart w:id="1050" w:name="Tc_f7X--8hSNE2F4geQCUwLTw_5_7"/>
      <w:bookmarkStart w:id="1051" w:name="Tc_XlnkD-x810aeK5U6kjAZMg_5_4"/>
      <w:bookmarkStart w:id="1052" w:name="Tc_B4y2XFzhWU6NiKtnhDa5BQ_5_1"/>
      <w:bookmarkStart w:id="1053" w:name="Tc_hAiC4kCFSkCzTDl25cfYdw_5_0"/>
      <w:bookmarkStart w:id="1054" w:name="Tc_hD5QmofD30a9sNqUq66h7A_4_7"/>
      <w:bookmarkStart w:id="1055" w:name="Tc_VD0CfMPybUKvWzzMtdGXfg_4_1"/>
      <w:bookmarkStart w:id="1056" w:name="Tc_5LnaROFw0kuzygcnU4pm6Q_3_10"/>
      <w:bookmarkStart w:id="1057" w:name="Tc_uND21sjE4ECeMuu5yU2thw_3_7"/>
      <w:bookmarkStart w:id="1058" w:name="Tc_Vw1WQBfvpUWTdEx7xMdeKw_3_4"/>
      <w:bookmarkStart w:id="1059" w:name="Tc_yvo8kq_1vkmlvRCdfgaqiw_3_1"/>
      <w:bookmarkStart w:id="1060" w:name="Tc_sjNRoOI1Q0Gi3h-HkCVE4g_2_10"/>
      <w:bookmarkStart w:id="1061" w:name="Tc_TOzJxON-8UOCFXSuuWQKUQ_2_7"/>
      <w:bookmarkStart w:id="1062" w:name="Tc_Q9IA0T03XUeGCnMna80EXQ_2_4"/>
      <w:bookmarkStart w:id="1063" w:name="Tc_GGF2x-5qlk6mKR287F54Gg_2_1"/>
      <w:bookmarkStart w:id="1064" w:name="Tc__i70oPpMwUSd2kKYQ8eFLg_1_7"/>
      <w:bookmarkStart w:id="1065" w:name="Tc_1-ktbWQuoUyMqogX86kY6Q_1_1"/>
      <w:bookmarkStart w:id="1066" w:name="_9ee4b882_7b2c_4a23_9a8c_86e8929a3c6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r>
        <w:rPr>
          <w:rFonts w:ascii="Times New Roman;Times;serif" w:hAnsi="Times New Roman;Times;serif"/>
          <w:sz w:val="20"/>
        </w:rPr>
        <w:t>The following is a summary of the Company’s lease expense:</w:t>
      </w:r>
    </w:p>
    <w:p>
      <w:pPr>
        <w:pStyle w:val="TextBody"/>
        <w:bidi w:val="0"/>
        <w:spacing w:before="0" w:after="0"/>
        <w:ind w:left="0" w:right="0" w:hanging="0"/>
        <w:jc w:val="left"/>
        <w:rPr/>
      </w:pPr>
      <w:r>
        <w:rPr/>
        <w:t>​</w:t>
      </w:r>
    </w:p>
    <w:tbl>
      <w:tblPr>
        <w:tblW w:w="6534" w:type="dxa"/>
        <w:jc w:val="left"/>
        <w:tblInd w:w="0" w:type="dxa"/>
        <w:tblLayout w:type="fixed"/>
        <w:tblCellMar>
          <w:top w:w="0" w:type="dxa"/>
          <w:left w:w="0" w:type="dxa"/>
          <w:bottom w:w="0" w:type="dxa"/>
          <w:right w:w="0" w:type="dxa"/>
        </w:tblCellMar>
      </w:tblPr>
      <w:tblGrid>
        <w:gridCol w:w="2251"/>
        <w:gridCol w:w="211"/>
        <w:gridCol w:w="571"/>
        <w:gridCol w:w="346"/>
        <w:gridCol w:w="211"/>
        <w:gridCol w:w="571"/>
        <w:gridCol w:w="346"/>
        <w:gridCol w:w="211"/>
        <w:gridCol w:w="571"/>
        <w:gridCol w:w="346"/>
        <w:gridCol w:w="211"/>
        <w:gridCol w:w="688"/>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29385" cy="175260"/>
                      <wp:effectExtent l="0" t="0" r="0" b="0"/>
                      <wp:wrapNone/>
                      <wp:docPr id="124" name="Frame124"/>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62585" cy="175260"/>
                      <wp:effectExtent l="0" t="0" r="0" b="0"/>
                      <wp:wrapNone/>
                      <wp:docPr id="126" name="Frame1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62585" cy="175260"/>
                      <wp:effectExtent l="0" t="0" r="0" b="0"/>
                      <wp:wrapNone/>
                      <wp:docPr id="129" name="Frame1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62585" cy="175260"/>
                      <wp:effectExtent l="0" t="0" r="0" b="0"/>
                      <wp:wrapNone/>
                      <wp:docPr id="132" name="Frame1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36880" cy="175260"/>
                      <wp:effectExtent l="0" t="0" r="0" b="0"/>
                      <wp:wrapNone/>
                      <wp:docPr id="135" name="Frame135"/>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20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251"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center"/>
              <w:rPr/>
            </w:pPr>
            <w:r>
              <w:rPr/>
              <w:t>​</w:t>
            </w:r>
          </w:p>
        </w:tc>
        <w:tc>
          <w:tcPr>
            <w:tcW w:w="8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r>
      <w:tr>
        <w:trPr/>
        <w:tc>
          <w:tcPr>
            <w:tcW w:w="225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51" w:type="dxa"/>
            <w:tcBorders/>
            <w:vAlign w:val="center"/>
          </w:tcPr>
          <w:p>
            <w:pPr>
              <w:pStyle w:val="TableContents"/>
              <w:bidi w:val="0"/>
              <w:spacing w:before="0" w:after="0"/>
              <w:ind w:left="0" w:right="0" w:hanging="0"/>
              <w:jc w:val="left"/>
              <w:rPr/>
            </w:pPr>
            <w:r>
              <w:rPr/>
              <w:t>​</w:t>
            </w:r>
          </w:p>
        </w:tc>
        <w:tc>
          <w:tcPr>
            <w:tcW w:w="1910"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2027"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3,117</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assets</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lease cost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3,903</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lease information presented on the Company’s consolidated balance sheet:</w:t>
      </w:r>
    </w:p>
    <w:p>
      <w:pPr>
        <w:pStyle w:val="TextBody"/>
        <w:bidi w:val="0"/>
        <w:spacing w:before="0" w:after="0"/>
        <w:ind w:left="0" w:right="0" w:hanging="0"/>
        <w:jc w:val="left"/>
        <w:rPr/>
      </w:pPr>
      <w:r>
        <w:rPr/>
        <w:t>​</w:t>
      </w:r>
    </w:p>
    <w:tbl>
      <w:tblPr>
        <w:tblW w:w="8651" w:type="dxa"/>
        <w:jc w:val="left"/>
        <w:tblInd w:w="0" w:type="dxa"/>
        <w:tblLayout w:type="fixed"/>
        <w:tblCellMar>
          <w:top w:w="0" w:type="dxa"/>
          <w:left w:w="0" w:type="dxa"/>
          <w:bottom w:w="0" w:type="dxa"/>
          <w:right w:w="0" w:type="dxa"/>
        </w:tblCellMar>
      </w:tblPr>
      <w:tblGrid>
        <w:gridCol w:w="6076"/>
        <w:gridCol w:w="109"/>
        <w:gridCol w:w="211"/>
        <w:gridCol w:w="691"/>
        <w:gridCol w:w="346"/>
        <w:gridCol w:w="211"/>
        <w:gridCol w:w="691"/>
        <w:gridCol w:w="316"/>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858260" cy="175260"/>
                      <wp:effectExtent l="0" t="0" r="0" b="0"/>
                      <wp:wrapNone/>
                      <wp:docPr id="136" name="Frame136"/>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38785" cy="175260"/>
                      <wp:effectExtent l="0" t="0" r="0" b="0"/>
                      <wp:wrapNone/>
                      <wp:docPr id="139" name="Frame1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8785" cy="175260"/>
                      <wp:effectExtent l="0" t="0" r="0" b="0"/>
                      <wp:wrapNone/>
                      <wp:docPr id="142" name="Frame1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0660" cy="175260"/>
                      <wp:effectExtent l="0" t="0" r="0" b="0"/>
                      <wp:wrapNone/>
                      <wp:docPr id="143" name="Frame14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16" w:type="dxa"/>
            <w:tcBorders/>
            <w:vAlign w:val="center"/>
          </w:tcPr>
          <w:p>
            <w:pPr>
              <w:pStyle w:val="TableContents"/>
              <w:bidi w:val="0"/>
              <w:spacing w:before="0" w:after="0"/>
              <w:ind w:left="0" w:right="0" w:hanging="0"/>
              <w:jc w:val="center"/>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before="0" w:after="0"/>
              <w:ind w:left="0" w:right="0" w:hanging="0"/>
              <w:jc w:val="center"/>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16,600</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13,762</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18,432</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 (included in equipment and leasehold improvements,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equipment and leasehold improvements,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obligations, less current portion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finance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Rent expense was $1.7 million and $3.3 million for the three and six months ended July 3, 2026, respectively, as compared to $1.7 million and $3.5 million for the three and six months ended July 4, 2025,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0"/>
        <w:ind w:left="0" w:right="0" w:firstLine="720"/>
        <w:jc w:val="left"/>
        <w:rPr>
          <w:rFonts w:ascii="Times New Roman;Times;serif" w:hAnsi="Times New Roman;Times;serif"/>
          <w:sz w:val="20"/>
        </w:rPr>
      </w:pPr>
      <w:bookmarkStart w:id="1067" w:name="Tc_8u862jkHMkWlWess_6vfeg_14_5"/>
      <w:bookmarkStart w:id="1068" w:name="Tc_zCCdS3mm90WAaavaJjdv5g_14_2"/>
      <w:bookmarkStart w:id="1069" w:name="Tc_DZj5MaLUT0Glsru2khi-Bw_14_0"/>
      <w:bookmarkStart w:id="1070" w:name="Tc_s-alHMZp-UuBHr6k_yMaww_13_0"/>
      <w:bookmarkStart w:id="1071" w:name="Tc_TsNhJFyrdEWyMqRt0wROkQ_12_0"/>
      <w:bookmarkStart w:id="1072" w:name="Tc_TDs5QSB2NkqB7ulfnPyiJQ_11_0"/>
      <w:bookmarkStart w:id="1073" w:name="Tc_NX_h8_frXUy3k26sbbQuAw_10_0"/>
      <w:bookmarkStart w:id="1074" w:name="Tc_5ih2i2iuJEKLnXCr8ySXIg_9_6"/>
      <w:bookmarkStart w:id="1075" w:name="Tc_MPXnkGciRU6KxE6eJNM5bQ_9_0"/>
      <w:bookmarkStart w:id="1076" w:name="Tc_OvRUVQBAXEixdqFH2xjzKg_8_0"/>
      <w:bookmarkStart w:id="1077" w:name="Tc_BoaVPdqpZkiDrJdCj6B_Ew_7_0"/>
      <w:bookmarkStart w:id="1078" w:name="Tc_Kv3xKrePE0yiGkVktikQuA_6_0"/>
      <w:bookmarkStart w:id="1079" w:name="Tc_xL17ljRCnE2EIf9EWYRvUw_5_0"/>
      <w:bookmarkStart w:id="1080" w:name="Tc_-2K-FqtCb0-cp9FvTU5DQw_4_5"/>
      <w:bookmarkStart w:id="1081" w:name="Tc_AMhPlTTh20G8hS532Xw5hg_4_2"/>
      <w:bookmarkStart w:id="1082" w:name="Tc_vKs_lytEhU-mtH10l4d6gA_4_0"/>
      <w:bookmarkStart w:id="1083" w:name="Tc_4C2c360AyU6HSILbhlCLlQ_3_0"/>
      <w:bookmarkStart w:id="1084" w:name="Tc_PWlGJNU7p0u_KefPiKqYzw_2_2"/>
      <w:bookmarkStart w:id="1085" w:name="Tc_EVUJBlfOukaSLQRcQB-GJA_1_5"/>
      <w:bookmarkStart w:id="1086" w:name="Tc_5Q4YPav4X0qBLBEuvTIPvw_1_2"/>
      <w:bookmarkStart w:id="1087" w:name="_1e3a943f_a13e_4b2f_85fa_69288b81f6cd"/>
      <w:bookmarkStart w:id="1088" w:name="Tc_bVm0ruP0ek6i6jZtC61YvA_11_5"/>
      <w:bookmarkStart w:id="1089" w:name="Tc_iaWa4WjDWkybCVyBdGLvnA_11_2"/>
      <w:bookmarkStart w:id="1090" w:name="Tc_m_U5uSKQXkGByKg4vtg_7Q_11_0"/>
      <w:bookmarkStart w:id="1091" w:name="Tc_J8kGTupNME6o-JRZJLKWZQ_10_0"/>
      <w:bookmarkStart w:id="1092" w:name="Tc_-SWStWEDxE6LEqy8_Vj9kg_8_0"/>
      <w:bookmarkStart w:id="1093" w:name="Tc__2cLH-33Ak2ZiEVp3RrGvA_7_0"/>
      <w:bookmarkStart w:id="1094" w:name="Tc_xxeAkzIjG02Oofe-SJDWPA_6_5"/>
      <w:bookmarkStart w:id="1095" w:name="Tc_7q85GLlYcUWotaJtBasVTQ_6_2"/>
      <w:bookmarkStart w:id="1096" w:name="Tc_e_-BLHVO9kqnwpGWsvvW0w_6_0"/>
      <w:bookmarkStart w:id="1097" w:name="Tc_wHxt8nyavkqfWB9i7TcuEQ_5_0"/>
      <w:bookmarkStart w:id="1098" w:name="Tc_YcBfC3vz_UOMHe0Ny0LjlA_4_2"/>
      <w:bookmarkStart w:id="1099" w:name="Tc_eZToTPBIdkS-qnhgH05ijw_3_5"/>
      <w:bookmarkStart w:id="1100" w:name="Tc_nvks4bgZ3kC5ePb3m6IFnw_3_2"/>
      <w:bookmarkStart w:id="1101" w:name="Tc_nQPPJGq-l062XgZP-ORZEw_2_5"/>
      <w:bookmarkStart w:id="1102" w:name="Tc_6rWre9sGhkeCo5UaCc2oFA_2_2"/>
      <w:bookmarkStart w:id="1103" w:name="Tc_r6BSvnKqV0ipBMUzB9qQDA_1_2"/>
      <w:bookmarkStart w:id="1104" w:name="_49b25e5b_8c25_4169_902e_110e24caa58e"/>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r>
        <w:rPr>
          <w:rFonts w:ascii="Times New Roman;Times;serif" w:hAnsi="Times New Roman;Times;serif"/>
          <w:sz w:val="20"/>
        </w:rPr>
        <w:t>The following is a summary of other information and supplemental cash flow information related to finance and operating leases:</w:t>
      </w:r>
    </w:p>
    <w:p>
      <w:pPr>
        <w:pStyle w:val="TextBody"/>
        <w:bidi w:val="0"/>
        <w:spacing w:before="0" w:after="0"/>
        <w:ind w:left="0" w:right="0" w:hanging="0"/>
        <w:jc w:val="left"/>
        <w:rPr/>
      </w:pPr>
      <w:r>
        <w:rPr/>
        <w:t>​</w:t>
      </w:r>
    </w:p>
    <w:tbl>
      <w:tblPr>
        <w:tblW w:w="7930" w:type="dxa"/>
        <w:jc w:val="left"/>
        <w:tblInd w:w="0" w:type="dxa"/>
        <w:tblLayout w:type="fixed"/>
        <w:tblCellMar>
          <w:top w:w="0" w:type="dxa"/>
          <w:left w:w="0" w:type="dxa"/>
          <w:bottom w:w="0" w:type="dxa"/>
          <w:right w:w="0" w:type="dxa"/>
        </w:tblCellMar>
      </w:tblPr>
      <w:tblGrid>
        <w:gridCol w:w="5866"/>
        <w:gridCol w:w="109"/>
        <w:gridCol w:w="211"/>
        <w:gridCol w:w="571"/>
        <w:gridCol w:w="346"/>
        <w:gridCol w:w="211"/>
        <w:gridCol w:w="61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724910" cy="175260"/>
                      <wp:effectExtent l="0" t="0" r="0" b="0"/>
                      <wp:wrapNone/>
                      <wp:docPr id="144" name="Frame144"/>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62585" cy="175260"/>
                      <wp:effectExtent l="0" t="0" r="0" b="0"/>
                      <wp:wrapNone/>
                      <wp:docPr id="147" name="Frame1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91160" cy="175260"/>
                      <wp:effectExtent l="0" t="0" r="0" b="0"/>
                      <wp:wrapNone/>
                      <wp:docPr id="150" name="Frame15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5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operating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 from 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 from finance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408</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the Company’s maturities of lease liabilities as of July 3, 2026:</w:t>
      </w:r>
    </w:p>
    <w:p>
      <w:pPr>
        <w:pStyle w:val="TextBody"/>
        <w:bidi w:val="0"/>
        <w:spacing w:before="0" w:after="0"/>
        <w:ind w:left="0" w:right="0" w:hanging="0"/>
        <w:jc w:val="left"/>
        <w:rPr/>
      </w:pPr>
      <w:r>
        <w:rPr/>
        <w:t>​</w:t>
      </w:r>
    </w:p>
    <w:tbl>
      <w:tblPr>
        <w:tblW w:w="5028" w:type="dxa"/>
        <w:jc w:val="left"/>
        <w:tblInd w:w="0" w:type="dxa"/>
        <w:tblLayout w:type="fixed"/>
        <w:tblCellMar>
          <w:top w:w="0" w:type="dxa"/>
          <w:left w:w="0" w:type="dxa"/>
          <w:bottom w:w="0" w:type="dxa"/>
          <w:right w:w="0" w:type="dxa"/>
        </w:tblCellMar>
      </w:tblPr>
      <w:tblGrid>
        <w:gridCol w:w="2461"/>
        <w:gridCol w:w="346"/>
        <w:gridCol w:w="211"/>
        <w:gridCol w:w="691"/>
        <w:gridCol w:w="346"/>
        <w:gridCol w:w="211"/>
        <w:gridCol w:w="571"/>
        <w:gridCol w:w="19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62735" cy="175895"/>
                      <wp:effectExtent l="0" t="0" r="0" b="0"/>
                      <wp:wrapNone/>
                      <wp:docPr id="151" name="Frame151"/>
                      <a:graphic xmlns:a="http://schemas.openxmlformats.org/drawingml/2006/main">
                        <a:graphicData uri="http://schemas.microsoft.com/office/word/2010/wordprocessingShape">
                          <wps:wsp>
                            <wps:cNvSpPr txBox="1"/>
                            <wps:spPr>
                              <a:xfrm>
                                <a:off x="0" y="0"/>
                                <a:ext cx="1562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895"/>
                      <wp:effectExtent l="0" t="0" r="0" b="0"/>
                      <wp:wrapNone/>
                      <wp:docPr id="152" name="Frame15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895"/>
                      <wp:effectExtent l="0" t="0" r="0" b="0"/>
                      <wp:wrapNone/>
                      <wp:docPr id="153" name="Frame15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38785" cy="175895"/>
                      <wp:effectExtent l="0" t="0" r="0" b="0"/>
                      <wp:wrapNone/>
                      <wp:docPr id="154" name="Frame154"/>
                      <a:graphic xmlns:a="http://schemas.openxmlformats.org/drawingml/2006/main">
                        <a:graphicData uri="http://schemas.microsoft.com/office/word/2010/wordprocessingShape">
                          <wps:wsp>
                            <wps:cNvSpPr txBox="1"/>
                            <wps:spPr>
                              <a:xfrm>
                                <a:off x="0" y="0"/>
                                <a:ext cx="438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895"/>
                      <wp:effectExtent l="0" t="0" r="0" b="0"/>
                      <wp:wrapNone/>
                      <wp:docPr id="155" name="Frame15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895"/>
                      <wp:effectExtent l="0" t="0" r="0" b="0"/>
                      <wp:wrapNone/>
                      <wp:docPr id="156" name="Frame15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62585" cy="175895"/>
                      <wp:effectExtent l="0" t="0" r="0" b="0"/>
                      <wp:wrapNone/>
                      <wp:docPr id="157" name="Frame157"/>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1285" cy="175895"/>
                      <wp:effectExtent l="0" t="0" r="0" b="0"/>
                      <wp:wrapNone/>
                      <wp:docPr id="158" name="Frame158"/>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bottom w:val="single" w:sz="2" w:space="0" w:color="000000"/>
            </w:tcBorders>
            <w:tcMar>
              <w:bottom w:w="28" w:type="dxa"/>
            </w:tcMar>
            <w:vAlign w:val="center"/>
          </w:tcPr>
          <w:p>
            <w:pPr>
              <w:pStyle w:val="TableContents"/>
              <w:bidi w:val="0"/>
              <w:spacing w:before="1"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91" w:type="dxa"/>
            <w:tcBorders/>
            <w:vAlign w:val="center"/>
          </w:tcPr>
          <w:p>
            <w:pPr>
              <w:pStyle w:val="TableContents"/>
              <w:bidi w:val="0"/>
              <w:spacing w:before="1" w:after="1"/>
              <w:ind w:left="0" w:right="0" w:hanging="0"/>
              <w:jc w:val="center"/>
              <w:rPr/>
            </w:pPr>
            <w:r>
              <w:rPr/>
              <w:t> </w:t>
            </w:r>
          </w:p>
        </w:tc>
      </w:tr>
      <w:tr>
        <w:trPr/>
        <w:tc>
          <w:tcPr>
            <w:tcW w:w="246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030"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191" w:type="dxa"/>
            <w:tcBorders/>
            <w:vAlign w:val="center"/>
          </w:tcPr>
          <w:p>
            <w:pPr>
              <w:pStyle w:val="TableContents"/>
              <w:bidi w:val="0"/>
              <w:spacing w:before="1" w:after="1"/>
              <w:ind w:left="0" w:right="0" w:hanging="0"/>
              <w:jc w:val="center"/>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Fiscal year:</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left"/>
              <w:rPr/>
            </w:pPr>
            <w:r>
              <w:rPr/>
              <w:t>​</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3,200</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638</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5,676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1,059</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4,469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387</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2,985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1,989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4,787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23,106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2,137</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(3,197)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obligations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19,909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2,037</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Current obligations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4,927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1,102</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Noncurrent lease obligations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14,982</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935</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imputed interest for finance lease obligations represents the interest component of finance leases that will be recognized as interest expense in future periods. The financing component for operating lease obligations represents the effect of discounting the operating lease payments to their present value.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VARIABLE INTEREST ENTITIES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Employee Benefit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a qualified profit sharing plan pursuant to Code Section 401(a) and </w:t>
      </w:r>
      <w:r>
        <w:rPr>
          <w:rFonts w:ascii="Times New Roman;Times;serif" w:hAnsi="Times New Roman;Times;serif"/>
          <w:b w:val="false"/>
          <w:i w:val="false"/>
          <w:caps w:val="false"/>
          <w:smallCaps w:val="false"/>
          <w:sz w:val="20"/>
        </w:rPr>
        <w:t>qualified</w:t>
      </w:r>
      <w:r>
        <w:rPr>
          <w:rFonts w:ascii="Times New Roman;Times;serif" w:hAnsi="Times New Roman;Times;serif"/>
          <w:sz w:val="20"/>
        </w:rPr>
        <w:t xml:space="preserve"> cash or deferred arrangement pursuant to Code Section 401(k) covering all employees. Employees may elect to contribute up to 50% of their compensation limited to the amount allowed by tax laws. Company contributions are made solely at the discretion of the Company’s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defined contribution plan (the “Plan”) covers employees who have completed three months of service and who have attained 21 years of age. The Company elects to make matching contributions equal to 50% of the participants’ contributions to the Plan, up to 6% of the individual participant’s compensation. Under the Plan, the Company may make discretionary contributions to employee accounts.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July 3, 2026 and July 4, 2025, the Company made matching contributions of $2.3 million </w:t>
      </w:r>
      <w:r>
        <w:rPr>
          <w:rFonts w:ascii="Times New Roman;Times;serif" w:hAnsi="Times New Roman;Times;serif"/>
          <w:sz w:val="20"/>
          <w:shd w:fill="FFFFFF" w:val="clear"/>
        </w:rPr>
        <w:t>and $2.0 million, respectively.</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Variable Interest Entities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On March 4, 2016, the Company and the Company’s wholly-owned subsidiary, Willdan Energy Solutions, Inc. (“WES”), acquired substantially all of the assets of Genesys Engineering, P.C. (“Genesys”) and assumed certain specified liabilities of Genesys (collectively, the “Purchase”) pursuant to an Asset Purchase and Merger Agreement, dated as of February 26, 2016 (the “Agreement”), by and among Willdan Group, Inc., WES, WESGEN (as defined below), Genesys and Ronald W. Mineo (“Mineo”) and Robert J. Braun (“Braun” and, together with Mineo, the “Genesys Shareholders”). On March 5, 2016, pursuant to the terms of the Agreement, WESGEN, Inc., a non-affiliated corporation (“WESGEN”), merged (the “Merger” and, together with the Purchase, the “Acquisition”) with Genesys, with Genesys remaining as the surviving corporation. Genesys was acquired to strengthen the Company’s power engineering capability in the northeastern U.S., and also to increase client exposure and experience with universities.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Genesys continues to be a professional corporation organized under the laws of the State of New York, wholly-owned by one or more licensed engineers. Pursuant to New York law, the Company does not own capital stock of Genesys. The Company has entered into an agreement with the Shareholder of Genesys pursuant to which the Shareholder will be prohibited from selling, transferring or encumbering the Shareholder’s ownership interest in Genesys without the Company’s consent. Notwithstanding the Company’s rights regarding the transfer of Genesys’s stock, the Company does not have control over the professional decision making of Genesys’s engineering services. The Company has entered into an administrative services agreement with Genesys pursuant to which WES will provide Genesys with ongoing administrative, operational and other non-professional support services. Genesys pays WES a service fee, which consists of all of the costs incurred by WES to provide the administrative services to Genesys plus ten percent of such costs, as well as any other costs that relate to professional service supplies and personnel costs. As a result of the administrative services agreement, the Company absorbs the expected losses of Genesys through its deferral of Genesys’s service fees owed to WES.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variable interest entity (“VIE”). In addition, the Company concluded there is no noncontrolling interest related to the consolidation of Genesys because the Company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As of July 3, 2026, the Company had one VIE — Genesys.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105" w:name="Tc_lpuzawANz0-xqoReJJCpDg_29_12"/>
      <w:bookmarkStart w:id="1106" w:name="Tc_mC4HzzVlN0OytGp9LYR0xA_29_0"/>
      <w:bookmarkStart w:id="1107" w:name="Tc_vi5F6TLflEC40RmRLn4mCQ_28_12"/>
      <w:bookmarkStart w:id="1108" w:name="Tc_zrAIR12UdUumneS9SfS6Cg_28_0"/>
      <w:bookmarkStart w:id="1109" w:name="Tc_HplsPGBua0ayTpW-pNAeOw_27_12"/>
      <w:bookmarkStart w:id="1110" w:name="Tc_gGFFrcUrwEm-M735T7aLWw_27_0"/>
      <w:bookmarkStart w:id="1111" w:name="Tc_pptc1k5QGUa_E5nNSuIj0g_26_12"/>
      <w:bookmarkStart w:id="1112" w:name="Tc_qSuD7Z_bA0yfFus0BF1z2Q_26_0"/>
      <w:bookmarkStart w:id="1113" w:name="Tc_j1IfL_zNHEKAsSgAh1L4FA_25_12"/>
      <w:bookmarkStart w:id="1114" w:name="Tc_TpS0qhbqDkONVbRYUsqACA_25_9"/>
      <w:bookmarkStart w:id="1115" w:name="Tc_5xAZyAfenkygDlcjdytfww_25_0"/>
      <w:bookmarkStart w:id="1116" w:name="Tc_cyrPD-fZrESCOUhF0i7Kqg_24_12"/>
      <w:bookmarkStart w:id="1117" w:name="Tc_dAueVjFee0C3tM2fcHrYig_24_6"/>
      <w:bookmarkStart w:id="1118" w:name="Tc_TqMIDlFj9EePHSKoHsP9aw_24_3"/>
      <w:bookmarkStart w:id="1119" w:name="Tc_uodi9WRBWk2kV7V_F7G_LA_24_0"/>
      <w:bookmarkStart w:id="1120" w:name="Tc_y5f8Q2ZllEiWYHwJi8we7w_23_12"/>
      <w:bookmarkStart w:id="1121" w:name="Tc_FotLn8lcLUG9EW-LTI990w_23_0"/>
      <w:bookmarkStart w:id="1122" w:name="Tc__377rji6J0-3MRw4-XC1Jw_22_12"/>
      <w:bookmarkStart w:id="1123" w:name="Tc_owcYwPBcWEyv9xVdWkbXQg_22_0"/>
      <w:bookmarkStart w:id="1124" w:name="Tc_6dlmpU4rt0-1p-UXqhbnDA_21_12"/>
      <w:bookmarkStart w:id="1125" w:name="Tc_n1BuQ3VMLEa-YEBOixdEsA_21_9"/>
      <w:bookmarkStart w:id="1126" w:name="Tc_h4ZKAJxVSUiVbHOh645Rqw_21_0"/>
      <w:bookmarkStart w:id="1127" w:name="Tc_iHRJ-UEt7UKqJ7PsIb7n6w_20_12"/>
      <w:bookmarkStart w:id="1128" w:name="Tc_wAL_yIFWpk2La5P9Np5KEw_20_9"/>
      <w:bookmarkStart w:id="1129" w:name="Tc_3R4ogbPvjUOHsPdOz0Ri2g_20_0"/>
      <w:bookmarkStart w:id="1130" w:name="Tc_MYrKfE3cL0mzalMsGLe-_A_19_12"/>
      <w:bookmarkStart w:id="1131" w:name="Tc_drcANQw9uk-LBMfjqFgLtA_19_9"/>
      <w:bookmarkStart w:id="1132" w:name="Tc_qQyBchya4UGSG8s0ZOfXTQ_19_0"/>
      <w:bookmarkStart w:id="1133" w:name="Tc_2ViarNeI-UG7lkbG4rWhSA_18_14"/>
      <w:bookmarkStart w:id="1134" w:name="Tc_dty-ruuJuECwRSdzL36QOw_18_12"/>
      <w:bookmarkStart w:id="1135" w:name="Tc_Ec9IoVJOFEe2PUsMmn0jxg_18_11"/>
      <w:bookmarkStart w:id="1136" w:name="Tc_gAYdJL8NgkGLdFKzW5eMmA_18_9"/>
      <w:bookmarkStart w:id="1137" w:name="Tc_uXA1DEIKK0arjv5x9pdzXA_18_8"/>
      <w:bookmarkStart w:id="1138" w:name="Tc_cG9YbXoS6kGqsBgB1TScgw_18_5"/>
      <w:bookmarkStart w:id="1139" w:name="Tc_njWS0JVAS0mgj65cZpsWlQ_18_2"/>
      <w:bookmarkStart w:id="1140" w:name="Tc_jJQiwAMFB0yz_WLPDMU9TQ_18_0"/>
      <w:bookmarkStart w:id="1141" w:name="Tc_6VpptcwH4EmPn6ggrdpW2Q_17_0"/>
      <w:bookmarkStart w:id="1142" w:name="Tc_SX6Hyy51kkaN1kRilibRKA_16_12"/>
      <w:bookmarkStart w:id="1143" w:name="Tc_DNawg7s-K0mXTa2YFugebA_16_0"/>
      <w:bookmarkStart w:id="1144" w:name="Tc_8VGwHj_sAUCurfINqfLBCQ_15_12"/>
      <w:bookmarkStart w:id="1145" w:name="Tc_FHP9st-sLUubA7EWiy6FiQ_15_0"/>
      <w:bookmarkStart w:id="1146" w:name="Tc_ITYs5hfPd0aG9wQwdCjY5A_14_12"/>
      <w:bookmarkStart w:id="1147" w:name="Tc_D5QP-LHAh0iLKEYaoILhRg_14_0"/>
      <w:bookmarkStart w:id="1148" w:name="Tc_sBRfvoW7hUegG3U4jmT-iA_13_12"/>
      <w:bookmarkStart w:id="1149" w:name="Tc__jc00boEYUWkwLxs-_dSSQ_13_0"/>
      <w:bookmarkStart w:id="1150" w:name="Tc_xOTMzA-y2UWJhNRjAoQv0Q_12_12"/>
      <w:bookmarkStart w:id="1151" w:name="Tc__u6sReyc6U6_QxDPNV6vTw_12_9"/>
      <w:bookmarkStart w:id="1152" w:name="Tc_Fq72NBVqiUqQNX0KEmtynw_12_0"/>
      <w:bookmarkStart w:id="1153" w:name="Tc_b_cLu9v7f06u69JsL_p3bQ_11_12"/>
      <w:bookmarkStart w:id="1154" w:name="Tc_XXaRGAqRrkqSTrD8-BJ3sw_11_6"/>
      <w:bookmarkStart w:id="1155" w:name="Tc_ylnlgZRneUGyJfUL_Kf_KA_11_3"/>
      <w:bookmarkStart w:id="1156" w:name="Tc_Rae2v7VxgkWEMjJNtXTqYQ_11_0"/>
      <w:bookmarkStart w:id="1157" w:name="Tc_XB5d4v2l1Eq3A3TbHHjKcg_10_12"/>
      <w:bookmarkStart w:id="1158" w:name="Tc_5QCwbtp6jEerBfBFZdPMbw_10_0"/>
      <w:bookmarkStart w:id="1159" w:name="Tc_14bnhOVJsUy5W3IgTJ1TZA_9_12"/>
      <w:bookmarkStart w:id="1160" w:name="Tc_LbDmwmj8WEyxQ08S0TC15g_9_0"/>
      <w:bookmarkStart w:id="1161" w:name="Tc_9bwnTnmhyU2L-_d9SoO3kw_8_12"/>
      <w:bookmarkStart w:id="1162" w:name="Tc_xQLk6P7J4EiZF-hb88tGrA_8_9"/>
      <w:bookmarkStart w:id="1163" w:name="Tc_Z-2BOMIQFUW5q5SftkMiYw_8_0"/>
      <w:bookmarkStart w:id="1164" w:name="Tc_fyruvtuzakGJVPAW7qsHXw_7_12"/>
      <w:bookmarkStart w:id="1165" w:name="Tc_RqnxMASoaEq94el8qWjK1g_7_9"/>
      <w:bookmarkStart w:id="1166" w:name="Tc_gjVMx39wWEW6n3oRBpnANQ_7_0"/>
      <w:bookmarkStart w:id="1167" w:name="Tc_bj83mu53EUub3C8oZXBIQQ_6_12"/>
      <w:bookmarkStart w:id="1168" w:name="Tc_wgE5bug51UyvvndAJxr5oA_6_9"/>
      <w:bookmarkStart w:id="1169" w:name="Tc_gI7xHQX-OkuqVPiv920wIA_6_0"/>
      <w:bookmarkStart w:id="1170" w:name="Tc_Vsb4I2IdrUC5Qc5vo87C5Q_5_14"/>
      <w:bookmarkStart w:id="1171" w:name="Tc_O_CfQgGoeEmhgKD6Mh7cHQ_5_12"/>
      <w:bookmarkStart w:id="1172" w:name="Tc_H8nMXXMWy0q_Ue5YH9pzZg_5_11"/>
      <w:bookmarkStart w:id="1173" w:name="Tc_jE0m93jcTkq7HWBsOKAw6Q_5_9"/>
      <w:bookmarkStart w:id="1174" w:name="Tc_igekwdps80GgnNmycqzjVQ_5_8"/>
      <w:bookmarkStart w:id="1175" w:name="Tc_vFgIqOXaEEO-AhH2CDlBRA_5_5"/>
      <w:bookmarkStart w:id="1176" w:name="Tc_GCIIyLek5kyk2fKyotTV-g_5_2"/>
      <w:bookmarkStart w:id="1177" w:name="Tc_yt7k5aJoEE-O1kj0w9S-Lg_5_0"/>
      <w:bookmarkStart w:id="1178" w:name="Tc_c14od5JKl0mag24q4ktZdg_4_0"/>
      <w:bookmarkStart w:id="1179" w:name="Tc_1-BzUuVb5ESI_c5SGz4U6g_3_2"/>
      <w:bookmarkStart w:id="1180" w:name="Tc_iUuAVEXB-kGoYIoDNTZMeA_2_14"/>
      <w:bookmarkStart w:id="1181" w:name="Tc_uuv9byaY7UiY6J__WAmPUg_2_11"/>
      <w:bookmarkStart w:id="1182" w:name="Tc_8HyfWFBjIkCJFlyOaqpQzg_2_8"/>
      <w:bookmarkStart w:id="1183" w:name="Tc_jEl5PyB75Uq6yJnEbb8Qdw_2_5"/>
      <w:bookmarkStart w:id="1184" w:name="Tc_cIThNiUXMEGJufzBf0n1nA_2_2"/>
      <w:bookmarkStart w:id="1185" w:name="Tc_u41B0-tIBEmjhLfP2dFczA_1_14"/>
      <w:bookmarkStart w:id="1186" w:name="Tc_wDULrKFNiU6NZYZWbyppuA_1_8"/>
      <w:bookmarkStart w:id="1187" w:name="Tc_XSyz7umOLUWA-uWpTIHn_w_1_5"/>
      <w:bookmarkStart w:id="1188" w:name="_480b5bb5_6d26_4495_8028_979b089540af"/>
      <w:bookmarkStart w:id="1189" w:name="_f0805b8e_f71d_4f70_a650_11d9646143df_5"/>
      <w:bookmarkStart w:id="1190" w:name="_f0805b8e_f71d_4f70_a650_11d9646143df_4"/>
      <w:bookmarkStart w:id="1191" w:name="_f0805b8e_f71d_4f70_a650_11d9646143df_3"/>
      <w:bookmarkStart w:id="1192" w:name="_f0805b8e_f71d_4f70_a650_11d9646143df_2"/>
      <w:bookmarkStart w:id="1193" w:name="_f0805b8e_f71d_4f70_a650_11d9646143df"/>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r>
        <w:rPr>
          <w:rFonts w:ascii="Times New Roman;Times;serif" w:hAnsi="Times New Roman;Times;serif"/>
          <w:b/>
          <w:sz w:val="20"/>
        </w:rPr>
        <w:t>9. SEGMENT AND GEOGRAPHICAL INFORMATION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two segments are Energy, and Engineering and Consulting, and the Company’s chief operating decision maker, which continues to be its chief executive officer, receives and reviews financial information in this format.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ASU 2023-07, the Company’s chief operating decision maker (“CODM”) evaluates the performance of each segment based upon the information provided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intersegment sales during the three months ended July 3, 2026 and July 4, 2025. In addition, enterprise-wide service line contract revenue is not included as it is impracticable to report this information for each group of similar services</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tbl>
      <w:tblPr>
        <w:tblW w:w="9944" w:type="dxa"/>
        <w:jc w:val="left"/>
        <w:tblInd w:w="0" w:type="dxa"/>
        <w:tblLayout w:type="fixed"/>
        <w:tblCellMar>
          <w:top w:w="0" w:type="dxa"/>
          <w:left w:w="0" w:type="dxa"/>
          <w:bottom w:w="0" w:type="dxa"/>
          <w:right w:w="0" w:type="dxa"/>
        </w:tblCellMar>
      </w:tblPr>
      <w:tblGrid>
        <w:gridCol w:w="3631"/>
        <w:gridCol w:w="346"/>
        <w:gridCol w:w="196"/>
        <w:gridCol w:w="691"/>
        <w:gridCol w:w="346"/>
        <w:gridCol w:w="220"/>
        <w:gridCol w:w="681"/>
        <w:gridCol w:w="346"/>
        <w:gridCol w:w="196"/>
        <w:gridCol w:w="721"/>
        <w:gridCol w:w="346"/>
        <w:gridCol w:w="479"/>
        <w:gridCol w:w="407"/>
        <w:gridCol w:w="346"/>
        <w:gridCol w:w="196"/>
        <w:gridCol w:w="79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305685" cy="175260"/>
                      <wp:effectExtent l="0" t="0" r="0" b="0"/>
                      <wp:wrapNone/>
                      <wp:docPr id="159" name="Frame159"/>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4460" cy="175260"/>
                      <wp:effectExtent l="0" t="0" r="0" b="0"/>
                      <wp:wrapNone/>
                      <wp:docPr id="161" name="Frame1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38785" cy="175260"/>
                      <wp:effectExtent l="0" t="0" r="0" b="0"/>
                      <wp:wrapNone/>
                      <wp:docPr id="162" name="Frame1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9700" cy="175260"/>
                      <wp:effectExtent l="0" t="0" r="0" b="0"/>
                      <wp:wrapNone/>
                      <wp:docPr id="164" name="Frame16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32435" cy="175260"/>
                      <wp:effectExtent l="0" t="0" r="0" b="0"/>
                      <wp:wrapNone/>
                      <wp:docPr id="165" name="Frame165"/>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4460" cy="175260"/>
                      <wp:effectExtent l="0" t="0" r="0" b="0"/>
                      <wp:wrapNone/>
                      <wp:docPr id="167" name="Frame1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57835" cy="175260"/>
                      <wp:effectExtent l="0" t="0" r="0" b="0"/>
                      <wp:wrapNone/>
                      <wp:docPr id="168" name="Frame16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04165" cy="175260"/>
                      <wp:effectExtent l="0" t="0" r="0" b="0"/>
                      <wp:wrapNone/>
                      <wp:docPr id="170" name="Frame170"/>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58445" cy="175260"/>
                      <wp:effectExtent l="0" t="0" r="0" b="0"/>
                      <wp:wrapNone/>
                      <wp:docPr id="171" name="Frame171"/>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4460" cy="175260"/>
                      <wp:effectExtent l="0" t="0" r="0" b="0"/>
                      <wp:wrapNone/>
                      <wp:docPr id="173" name="Frame1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05460" cy="175260"/>
                      <wp:effectExtent l="0" t="0" r="0" b="0"/>
                      <wp:wrapNone/>
                      <wp:docPr id="174" name="Frame17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Engineering</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Unallocated</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&amp; 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Intersegment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Total</w:t>
            </w:r>
            <w:r>
              <w:rPr>
                <w:rFonts w:ascii="Times New Roman;Times;serif" w:hAnsi="Times New Roman;Times;serif"/>
                <w:sz w:val="14"/>
              </w:rPr>
              <w:t xml:space="preserve"> </w:t>
            </w:r>
            <w:r>
              <w:rPr>
                <w:rFonts w:ascii="Times New Roman;Times;serif" w:hAnsi="Times New Roman;Times;serif"/>
                <w:sz w:val="11"/>
              </w:rPr>
              <w:t>(1)</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67" w:type="dxa"/>
            <w:gridSpan w:val="14"/>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(in thousands)</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July 3, 2026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202,589</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28,439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231,028</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111,411</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113,786</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18,926</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29,788</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72,252</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87,454</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44,656</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4,378</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60,749</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27,652</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(3,994)</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27,144</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1,086</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1,086</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6,475</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6,971</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21,177</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(5,080)</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19,087</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(5,808)</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1,517</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(5,258)</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26,985</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(6,597)</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24,345</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504,428</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85,442</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634,875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Six Months Ended July 3, 2026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330,557</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386,142</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172,399</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176,468</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37,023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59,064</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121,135</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29,475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150,610</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81,203</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7,656</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111,167</w:t>
            </w:r>
          </w:p>
        </w:tc>
      </w:tr>
      <w:tr>
        <w:trPr/>
        <w:tc>
          <w:tcPr>
            <w:tcW w:w="363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40,233</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(6,720)</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40,677</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1,921</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1,921</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11,379</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12,417</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28,854</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(8,641)</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26,339</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(7,161)</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2,145</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(6,536)</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36,015</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(10,786)</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32,875</w:t>
            </w:r>
          </w:p>
        </w:tc>
      </w:tr>
      <w:tr>
        <w:trPr/>
        <w:tc>
          <w:tcPr>
            <w:tcW w:w="363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504,428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45,005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85,442</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634,875</w:t>
            </w:r>
          </w:p>
        </w:tc>
      </w:tr>
    </w:tbl>
    <w:p>
      <w:pPr>
        <w:pStyle w:val="TextBody"/>
        <w:bidi w:val="0"/>
        <w:spacing w:before="0" w:after="0"/>
        <w:ind w:left="0" w:right="0" w:hanging="0"/>
        <w:jc w:val="left"/>
        <w:rPr/>
      </w:pPr>
      <w:r>
        <w:rPr/>
        <w:t>​</w:t>
      </w:r>
    </w:p>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(2)</w:t>
            </w:r>
          </w:p>
        </w:tc>
        <w:tc>
          <w:tcPr>
            <w:tcW w:w="6166" w:type="dxa"/>
            <w:tcBorders/>
            <w:tcMar>
              <w:top w:w="0" w:type="dxa"/>
              <w:left w:w="0" w:type="dxa"/>
              <w:bottom w:w="0" w:type="dxa"/>
              <w:right w:w="0" w:type="dxa"/>
            </w:tcMar>
            <w:vAlign w:val="center"/>
          </w:tcPr>
          <w:p>
            <w:pPr>
              <w:pStyle w:val="TableContents"/>
              <w:bidi w:val="0"/>
              <w:spacing w:before="0" w:after="283"/>
              <w:jc w:val="left"/>
              <w:rPr/>
            </w:pPr>
            <w:r>
              <w:rPr/>
              <w:t>“</w:t>
            </w:r>
            <w:r>
              <w:rPr>
                <w:rFonts w:ascii="Times New Roman;Times;serif" w:hAnsi="Times New Roman;Times;serif"/>
                <w:b w:val="false"/>
                <w:i/>
                <w:sz w:val="16"/>
              </w:rPr>
              <w:t>EBITDA” is defined as earnings before interest, taxes, depreciation and amortization.</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(3)</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Segment assets are presented net of intercompany receivables.</w:t>
            </w:r>
          </w:p>
        </w:tc>
      </w:tr>
    </w:tbl>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Normal"/>
        <w:bidi w:val="0"/>
        <w:spacing w:before="0" w:after="0"/>
        <w:jc w:val="left"/>
        <w:rPr>
          <w:sz w:val="4"/>
          <w:szCs w:val="4"/>
        </w:rPr>
      </w:pPr>
      <w:r>
        <w:rPr>
          <w:sz w:val="4"/>
          <w:szCs w:val="4"/>
        </w:rPr>
      </w:r>
      <w:bookmarkStart w:id="1194" w:name="Tc_Q8BQW34L_EumlND0y6lL4A_29_12"/>
      <w:bookmarkStart w:id="1195" w:name="Tc_1TIcOYf_hEOynDsdyRUU6A_29_0"/>
      <w:bookmarkStart w:id="1196" w:name="Tc__TvFSuj0wk6H-rfVJbiDvw_28_12"/>
      <w:bookmarkStart w:id="1197" w:name="Tc_8kTM4zWNSUKL3ZIUSIyuiQ_28_0"/>
      <w:bookmarkStart w:id="1198" w:name="Tc_bXmBwyC2GESaVmMdSym_4Q_27_12"/>
      <w:bookmarkStart w:id="1199" w:name="Tc_kQVu8FsQrkKd5pukZaQuMQ_27_0"/>
      <w:bookmarkStart w:id="1200" w:name="Tc_FFw4qP_AVEiz8lCbd0Ox8g_26_12"/>
      <w:bookmarkStart w:id="1201" w:name="Tc_d-WTSgUhBUe6c8tQkQpH3A_26_0"/>
      <w:bookmarkStart w:id="1202" w:name="Tc_yG9Ioq5IAkWwSaAr9-0ssw_25_12"/>
      <w:bookmarkStart w:id="1203" w:name="Tc_CVP1awAsRE2N9QiAq7ODqg_25_9"/>
      <w:bookmarkStart w:id="1204" w:name="Tc_kvVb9pLoh0GZYNfl0AhR0Q_25_0"/>
      <w:bookmarkStart w:id="1205" w:name="Tc_KdEK6WvYXE6FTp95w471NA_24_12"/>
      <w:bookmarkStart w:id="1206" w:name="Tc_CoC4jK71Tk-BNcdh776Dfg_24_6"/>
      <w:bookmarkStart w:id="1207" w:name="Tc_8Ufm9D-XrkaEpnLgoVltaQ_24_3"/>
      <w:bookmarkStart w:id="1208" w:name="Tc_vz4mqSm2EUmPb_3FzqC41Q_24_0"/>
      <w:bookmarkStart w:id="1209" w:name="Tc_cjGR67Set0ab-xUr-hVgig_23_12"/>
      <w:bookmarkStart w:id="1210" w:name="Tc_PYbyOvyGKUKRAPMby4CUwA_23_0"/>
      <w:bookmarkStart w:id="1211" w:name="Tc_l-73KLDMJ0ifWn81toB2bg_22_12"/>
      <w:bookmarkStart w:id="1212" w:name="Tc_zHET7tMVzUOnmZHS9KWsww_22_0"/>
      <w:bookmarkStart w:id="1213" w:name="Tc_rECj-cptKUKiC0Ylrud3iA_21_12"/>
      <w:bookmarkStart w:id="1214" w:name="Tc_56sauFkG20eHIcwtTgugmA_21_9"/>
      <w:bookmarkStart w:id="1215" w:name="Tc__3HJa_bCAkmtUVSMbUYuxQ_21_0"/>
      <w:bookmarkStart w:id="1216" w:name="Tc_fhtDKXVEjkSF8vgXsvSQ9A_20_12"/>
      <w:bookmarkStart w:id="1217" w:name="Tc_CqHV5FuHNU2vXew_BH4qAQ_20_9"/>
      <w:bookmarkStart w:id="1218" w:name="Tc_lZnhUjQcq0yAH_9qoslGMw_20_0"/>
      <w:bookmarkStart w:id="1219" w:name="Tc_6hib56IJOEe4XeWxsY4Xjg_19_12"/>
      <w:bookmarkStart w:id="1220" w:name="Tc_ETVKsJBA6USF3XW2QzO8HQ_19_9"/>
      <w:bookmarkStart w:id="1221" w:name="Tc_P9AnBdgUeEiTPdOUA0khvw_19_0"/>
      <w:bookmarkStart w:id="1222" w:name="Tc_W3oM35TDaUmKVzXiqqhoCw_18_14"/>
      <w:bookmarkStart w:id="1223" w:name="Tc_aXFlyo5bPU2Pj8BVlirffQ_18_12"/>
      <w:bookmarkStart w:id="1224" w:name="Tc_888OEa8Cg0285Sj_jWUkIQ_18_11"/>
      <w:bookmarkStart w:id="1225" w:name="Tc_aDv4cSRIF0q5uN_bvxYp_Q_18_9"/>
      <w:bookmarkStart w:id="1226" w:name="Tc_BKT0UulTPEKOLcpfXavVew_18_8"/>
      <w:bookmarkStart w:id="1227" w:name="Tc_yh4cY_W86Eq1K7J2dgya1A_18_5"/>
      <w:bookmarkStart w:id="1228" w:name="Tc_d-AlZXrvSEuOtpdYMhV5kg_18_2"/>
      <w:bookmarkStart w:id="1229" w:name="Tc_wiwgN9WdmkeIzQaZ5w948Q_18_0"/>
      <w:bookmarkStart w:id="1230" w:name="Tc__x932aMA3k2pWW7IbR-x-A_17_0"/>
      <w:bookmarkStart w:id="1231" w:name="Tc_nDs2nV4ukUuDu917t8vdZw_16_12"/>
      <w:bookmarkStart w:id="1232" w:name="Tc_U8-ItLtqxU-NtUuk-mfj2g_16_0"/>
      <w:bookmarkStart w:id="1233" w:name="Tc_VVMKqi5WwUKS8MZHeMJRdg_15_12"/>
      <w:bookmarkStart w:id="1234" w:name="Tc_t2sJVpGGgkqh8r_agM4HmA_15_0"/>
      <w:bookmarkStart w:id="1235" w:name="Tc_EYloUyXQ4kee-SHD9rpZng_14_12"/>
      <w:bookmarkStart w:id="1236" w:name="Tc_3Pv07TyPmUq313VnuY5ulg_14_0"/>
      <w:bookmarkStart w:id="1237" w:name="Tc_zy6smxBgB0CX0mxfEjf7ig_13_12"/>
      <w:bookmarkStart w:id="1238" w:name="Tc_RBbcoogHxU6CHOVqpzXB_A_13_0"/>
      <w:bookmarkStart w:id="1239" w:name="Tc_c7Py6x2U_0ml39ZD7AZeFg_12_12"/>
      <w:bookmarkStart w:id="1240" w:name="Tc_PzDI21FLp0GYV-RmnGqw_g_12_9"/>
      <w:bookmarkStart w:id="1241" w:name="Tc_TagGlY8kL0qAn0Fl6A8KKw_12_0"/>
      <w:bookmarkStart w:id="1242" w:name="Tc_ddspmdlra0O71rxwC5dYzg_11_12"/>
      <w:bookmarkStart w:id="1243" w:name="Tc_Dz9PUg7lzEKnnDJH9lWXKg_11_6"/>
      <w:bookmarkStart w:id="1244" w:name="Tc_s4sP8X0LFEG5zD8soRMoAQ_11_3"/>
      <w:bookmarkStart w:id="1245" w:name="Tc_uIZXrppHVUK-swisZva1aA_11_0"/>
      <w:bookmarkStart w:id="1246" w:name="Tc_0k6MpsMJVEibudnOVtMuCg_10_12"/>
      <w:bookmarkStart w:id="1247" w:name="Tc_dfD_jWv-kUGYD72v01OL0w_10_0"/>
      <w:bookmarkStart w:id="1248" w:name="Tc_nQZfVwO8eEy7Q8NM1APFfA_9_12"/>
      <w:bookmarkStart w:id="1249" w:name="Tc_EKxL9qDkBUSk9ts4uqxSsw_9_0"/>
      <w:bookmarkStart w:id="1250" w:name="Tc_0CajjoIA4Uij61biee6RuQ_8_12"/>
      <w:bookmarkStart w:id="1251" w:name="Tc_9RZGFDi86EaM5Yj9cSy_Pg_8_9"/>
      <w:bookmarkStart w:id="1252" w:name="Tc_dSqeLKVkl02tACuAiluAXg_8_0"/>
      <w:bookmarkStart w:id="1253" w:name="Tc_yoGAldgX00-GIoAuzPDGzQ_7_12"/>
      <w:bookmarkStart w:id="1254" w:name="Tc_VRLt3new7EqWy1AfzSNL7g_7_9"/>
      <w:bookmarkStart w:id="1255" w:name="Tc_llMHot1GiUC5UsoUPMFbIw_7_0"/>
      <w:bookmarkStart w:id="1256" w:name="Tc_aexUoJ4IMUCfnWjKiw-1Ow_6_12"/>
      <w:bookmarkStart w:id="1257" w:name="Tc_Q5Acco5RvEymu20cPXXeIA_6_9"/>
      <w:bookmarkStart w:id="1258" w:name="Tc_6emCrkb5UkCPBe4Y5f854Q_6_0"/>
      <w:bookmarkStart w:id="1259" w:name="Tc_r5090nkJkkif_wDkOc74TA_5_14"/>
      <w:bookmarkStart w:id="1260" w:name="Tc_T3J_vaz92UaCbueGCwkcLw_5_12"/>
      <w:bookmarkStart w:id="1261" w:name="Tc_m2gdnTZ3e0aDsyRF6J7xDg_5_11"/>
      <w:bookmarkStart w:id="1262" w:name="Tc_oI_NeMlyJEKI8FN3Ihc19Q_5_9"/>
      <w:bookmarkStart w:id="1263" w:name="Tc_NtIZi-ClCkWjmfnLACfdhA_5_8"/>
      <w:bookmarkStart w:id="1264" w:name="Tc_Bhl63f80g0mgBu6HLoVpzg_5_5"/>
      <w:bookmarkStart w:id="1265" w:name="Tc_pPLk_8UhmEyw6Dx5AANK1g_5_2"/>
      <w:bookmarkStart w:id="1266" w:name="Tc_psv75ZqR_kCYw-i9JFzawg_5_0"/>
      <w:bookmarkStart w:id="1267" w:name="Tc_f2YAxGsTNEGoasAtEkDBLA_4_0"/>
      <w:bookmarkStart w:id="1268" w:name="Tc_-jJSdXqI8k6Islm7tc1Ndg_3_2"/>
      <w:bookmarkStart w:id="1269" w:name="Tc_BKnzX2PvvUesQ7EyE4M1TA_2_14"/>
      <w:bookmarkStart w:id="1270" w:name="Tc_F_9gQTzC1USZLgYN0CcObQ_2_11"/>
      <w:bookmarkStart w:id="1271" w:name="Tc_ZP3BiFGxHEyIFf2CkJHHRQ_2_8"/>
      <w:bookmarkStart w:id="1272" w:name="Tc_XEzkM-PuLUe_pitZnR38YQ_2_5"/>
      <w:bookmarkStart w:id="1273" w:name="Tc_LbdXOMnjNEG00h8xMx2aeg_2_2"/>
      <w:bookmarkStart w:id="1274" w:name="Tc_C4r2dbwr702yr7HcXhvzVA_1_14"/>
      <w:bookmarkStart w:id="1275" w:name="Tc_E1b1LwbhuU2zWa8yjNn4jw_1_8"/>
      <w:bookmarkStart w:id="1276" w:name="Tc_kgexhwyWBEqgwvAb_UMCBQ_1_5"/>
      <w:bookmarkStart w:id="1277" w:name="_6ed5f7ee_25fe_4666_b2d7_8c59cfc71556"/>
      <w:bookmarkStart w:id="1278" w:name="Tc_Q8BQW34L_EumlND0y6lL4A_29_12"/>
      <w:bookmarkStart w:id="1279" w:name="Tc_1TIcOYf_hEOynDsdyRUU6A_29_0"/>
      <w:bookmarkStart w:id="1280" w:name="Tc__TvFSuj0wk6H-rfVJbiDvw_28_12"/>
      <w:bookmarkStart w:id="1281" w:name="Tc_8kTM4zWNSUKL3ZIUSIyuiQ_28_0"/>
      <w:bookmarkStart w:id="1282" w:name="Tc_bXmBwyC2GESaVmMdSym_4Q_27_12"/>
      <w:bookmarkStart w:id="1283" w:name="Tc_kQVu8FsQrkKd5pukZaQuMQ_27_0"/>
      <w:bookmarkStart w:id="1284" w:name="Tc_FFw4qP_AVEiz8lCbd0Ox8g_26_12"/>
      <w:bookmarkStart w:id="1285" w:name="Tc_d-WTSgUhBUe6c8tQkQpH3A_26_0"/>
      <w:bookmarkStart w:id="1286" w:name="Tc_yG9Ioq5IAkWwSaAr9-0ssw_25_12"/>
      <w:bookmarkStart w:id="1287" w:name="Tc_CVP1awAsRE2N9QiAq7ODqg_25_9"/>
      <w:bookmarkStart w:id="1288" w:name="Tc_kvVb9pLoh0GZYNfl0AhR0Q_25_0"/>
      <w:bookmarkStart w:id="1289" w:name="Tc_KdEK6WvYXE6FTp95w471NA_24_12"/>
      <w:bookmarkStart w:id="1290" w:name="Tc_CoC4jK71Tk-BNcdh776Dfg_24_6"/>
      <w:bookmarkStart w:id="1291" w:name="Tc_8Ufm9D-XrkaEpnLgoVltaQ_24_3"/>
      <w:bookmarkStart w:id="1292" w:name="Tc_vz4mqSm2EUmPb_3FzqC41Q_24_0"/>
      <w:bookmarkStart w:id="1293" w:name="Tc_cjGR67Set0ab-xUr-hVgig_23_12"/>
      <w:bookmarkStart w:id="1294" w:name="Tc_PYbyOvyGKUKRAPMby4CUwA_23_0"/>
      <w:bookmarkStart w:id="1295" w:name="Tc_l-73KLDMJ0ifWn81toB2bg_22_12"/>
      <w:bookmarkStart w:id="1296" w:name="Tc_zHET7tMVzUOnmZHS9KWsww_22_0"/>
      <w:bookmarkStart w:id="1297" w:name="Tc_rECj-cptKUKiC0Ylrud3iA_21_12"/>
      <w:bookmarkStart w:id="1298" w:name="Tc_56sauFkG20eHIcwtTgugmA_21_9"/>
      <w:bookmarkStart w:id="1299" w:name="Tc__3HJa_bCAkmtUVSMbUYuxQ_21_0"/>
      <w:bookmarkStart w:id="1300" w:name="Tc_fhtDKXVEjkSF8vgXsvSQ9A_20_12"/>
      <w:bookmarkStart w:id="1301" w:name="Tc_CqHV5FuHNU2vXew_BH4qAQ_20_9"/>
      <w:bookmarkStart w:id="1302" w:name="Tc_lZnhUjQcq0yAH_9qoslGMw_20_0"/>
      <w:bookmarkStart w:id="1303" w:name="Tc_6hib56IJOEe4XeWxsY4Xjg_19_12"/>
      <w:bookmarkStart w:id="1304" w:name="Tc_ETVKsJBA6USF3XW2QzO8HQ_19_9"/>
      <w:bookmarkStart w:id="1305" w:name="Tc_P9AnBdgUeEiTPdOUA0khvw_19_0"/>
      <w:bookmarkStart w:id="1306" w:name="Tc_W3oM35TDaUmKVzXiqqhoCw_18_14"/>
      <w:bookmarkStart w:id="1307" w:name="Tc_aXFlyo5bPU2Pj8BVlirffQ_18_12"/>
      <w:bookmarkStart w:id="1308" w:name="Tc_888OEa8Cg0285Sj_jWUkIQ_18_11"/>
      <w:bookmarkStart w:id="1309" w:name="Tc_aDv4cSRIF0q5uN_bvxYp_Q_18_9"/>
      <w:bookmarkStart w:id="1310" w:name="Tc_BKT0UulTPEKOLcpfXavVew_18_8"/>
      <w:bookmarkStart w:id="1311" w:name="Tc_yh4cY_W86Eq1K7J2dgya1A_18_5"/>
      <w:bookmarkStart w:id="1312" w:name="Tc_d-AlZXrvSEuOtpdYMhV5kg_18_2"/>
      <w:bookmarkStart w:id="1313" w:name="Tc_wiwgN9WdmkeIzQaZ5w948Q_18_0"/>
      <w:bookmarkStart w:id="1314" w:name="Tc__x932aMA3k2pWW7IbR-x-A_17_0"/>
      <w:bookmarkStart w:id="1315" w:name="Tc_nDs2nV4ukUuDu917t8vdZw_16_12"/>
      <w:bookmarkStart w:id="1316" w:name="Tc_U8-ItLtqxU-NtUuk-mfj2g_16_0"/>
      <w:bookmarkStart w:id="1317" w:name="Tc_VVMKqi5WwUKS8MZHeMJRdg_15_12"/>
      <w:bookmarkStart w:id="1318" w:name="Tc_t2sJVpGGgkqh8r_agM4HmA_15_0"/>
      <w:bookmarkStart w:id="1319" w:name="Tc_EYloUyXQ4kee-SHD9rpZng_14_12"/>
      <w:bookmarkStart w:id="1320" w:name="Tc_3Pv07TyPmUq313VnuY5ulg_14_0"/>
      <w:bookmarkStart w:id="1321" w:name="Tc_zy6smxBgB0CX0mxfEjf7ig_13_12"/>
      <w:bookmarkStart w:id="1322" w:name="Tc_RBbcoogHxU6CHOVqpzXB_A_13_0"/>
      <w:bookmarkStart w:id="1323" w:name="Tc_c7Py6x2U_0ml39ZD7AZeFg_12_12"/>
      <w:bookmarkStart w:id="1324" w:name="Tc_PzDI21FLp0GYV-RmnGqw_g_12_9"/>
      <w:bookmarkStart w:id="1325" w:name="Tc_TagGlY8kL0qAn0Fl6A8KKw_12_0"/>
      <w:bookmarkStart w:id="1326" w:name="Tc_ddspmdlra0O71rxwC5dYzg_11_12"/>
      <w:bookmarkStart w:id="1327" w:name="Tc_Dz9PUg7lzEKnnDJH9lWXKg_11_6"/>
      <w:bookmarkStart w:id="1328" w:name="Tc_s4sP8X0LFEG5zD8soRMoAQ_11_3"/>
      <w:bookmarkStart w:id="1329" w:name="Tc_uIZXrppHVUK-swisZva1aA_11_0"/>
      <w:bookmarkStart w:id="1330" w:name="Tc_0k6MpsMJVEibudnOVtMuCg_10_12"/>
      <w:bookmarkStart w:id="1331" w:name="Tc_dfD_jWv-kUGYD72v01OL0w_10_0"/>
      <w:bookmarkStart w:id="1332" w:name="Tc_nQZfVwO8eEy7Q8NM1APFfA_9_12"/>
      <w:bookmarkStart w:id="1333" w:name="Tc_EKxL9qDkBUSk9ts4uqxSsw_9_0"/>
      <w:bookmarkStart w:id="1334" w:name="Tc_0CajjoIA4Uij61biee6RuQ_8_12"/>
      <w:bookmarkStart w:id="1335" w:name="Tc_9RZGFDi86EaM5Yj9cSy_Pg_8_9"/>
      <w:bookmarkStart w:id="1336" w:name="Tc_dSqeLKVkl02tACuAiluAXg_8_0"/>
      <w:bookmarkStart w:id="1337" w:name="Tc_yoGAldgX00-GIoAuzPDGzQ_7_12"/>
      <w:bookmarkStart w:id="1338" w:name="Tc_VRLt3new7EqWy1AfzSNL7g_7_9"/>
      <w:bookmarkStart w:id="1339" w:name="Tc_llMHot1GiUC5UsoUPMFbIw_7_0"/>
      <w:bookmarkStart w:id="1340" w:name="Tc_aexUoJ4IMUCfnWjKiw-1Ow_6_12"/>
      <w:bookmarkStart w:id="1341" w:name="Tc_Q5Acco5RvEymu20cPXXeIA_6_9"/>
      <w:bookmarkStart w:id="1342" w:name="Tc_6emCrkb5UkCPBe4Y5f854Q_6_0"/>
      <w:bookmarkStart w:id="1343" w:name="Tc_r5090nkJkkif_wDkOc74TA_5_14"/>
      <w:bookmarkStart w:id="1344" w:name="Tc_T3J_vaz92UaCbueGCwkcLw_5_12"/>
      <w:bookmarkStart w:id="1345" w:name="Tc_m2gdnTZ3e0aDsyRF6J7xDg_5_11"/>
      <w:bookmarkStart w:id="1346" w:name="Tc_oI_NeMlyJEKI8FN3Ihc19Q_5_9"/>
      <w:bookmarkStart w:id="1347" w:name="Tc_NtIZi-ClCkWjmfnLACfdhA_5_8"/>
      <w:bookmarkStart w:id="1348" w:name="Tc_Bhl63f80g0mgBu6HLoVpzg_5_5"/>
      <w:bookmarkStart w:id="1349" w:name="Tc_pPLk_8UhmEyw6Dx5AANK1g_5_2"/>
      <w:bookmarkStart w:id="1350" w:name="Tc_psv75ZqR_kCYw-i9JFzawg_5_0"/>
      <w:bookmarkStart w:id="1351" w:name="Tc_f2YAxGsTNEGoasAtEkDBLA_4_0"/>
      <w:bookmarkStart w:id="1352" w:name="Tc_-jJSdXqI8k6Islm7tc1Ndg_3_2"/>
      <w:bookmarkStart w:id="1353" w:name="Tc_BKnzX2PvvUesQ7EyE4M1TA_2_14"/>
      <w:bookmarkStart w:id="1354" w:name="Tc_F_9gQTzC1USZLgYN0CcObQ_2_11"/>
      <w:bookmarkStart w:id="1355" w:name="Tc_ZP3BiFGxHEyIFf2CkJHHRQ_2_8"/>
      <w:bookmarkStart w:id="1356" w:name="Tc_XEzkM-PuLUe_pitZnR38YQ_2_5"/>
      <w:bookmarkStart w:id="1357" w:name="Tc_LbdXOMnjNEG00h8xMx2aeg_2_2"/>
      <w:bookmarkStart w:id="1358" w:name="Tc_C4r2dbwr702yr7HcXhvzVA_1_14"/>
      <w:bookmarkStart w:id="1359" w:name="Tc_E1b1LwbhuU2zWa8yjNn4jw_1_8"/>
      <w:bookmarkStart w:id="1360" w:name="Tc_kgexhwyWBEqgwvAb_UMCBQ_1_5"/>
      <w:bookmarkStart w:id="1361" w:name="_6ed5f7ee_25fe_4666_b2d7_8c59cfc71556"/>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p>
    <w:tbl>
      <w:tblPr>
        <w:tblW w:w="9932" w:type="dxa"/>
        <w:jc w:val="left"/>
        <w:tblInd w:w="0" w:type="dxa"/>
        <w:tblLayout w:type="fixed"/>
        <w:tblCellMar>
          <w:top w:w="0" w:type="dxa"/>
          <w:left w:w="0" w:type="dxa"/>
          <w:bottom w:w="0" w:type="dxa"/>
          <w:right w:w="0" w:type="dxa"/>
        </w:tblCellMar>
      </w:tblPr>
      <w:tblGrid>
        <w:gridCol w:w="3631"/>
        <w:gridCol w:w="346"/>
        <w:gridCol w:w="196"/>
        <w:gridCol w:w="691"/>
        <w:gridCol w:w="346"/>
        <w:gridCol w:w="220"/>
        <w:gridCol w:w="681"/>
        <w:gridCol w:w="346"/>
        <w:gridCol w:w="196"/>
        <w:gridCol w:w="721"/>
        <w:gridCol w:w="346"/>
        <w:gridCol w:w="479"/>
        <w:gridCol w:w="407"/>
        <w:gridCol w:w="346"/>
        <w:gridCol w:w="196"/>
        <w:gridCol w:w="784"/>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305685" cy="175260"/>
                      <wp:effectExtent l="0" t="0" r="0" b="0"/>
                      <wp:wrapNone/>
                      <wp:docPr id="175" name="Frame175"/>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4460" cy="175260"/>
                      <wp:effectExtent l="0" t="0" r="0" b="0"/>
                      <wp:wrapNone/>
                      <wp:docPr id="177" name="Frame17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38785" cy="175260"/>
                      <wp:effectExtent l="0" t="0" r="0" b="0"/>
                      <wp:wrapNone/>
                      <wp:docPr id="178" name="Frame1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9700" cy="175260"/>
                      <wp:effectExtent l="0" t="0" r="0" b="0"/>
                      <wp:wrapNone/>
                      <wp:docPr id="180" name="Frame18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32435" cy="175260"/>
                      <wp:effectExtent l="0" t="0" r="0" b="0"/>
                      <wp:wrapNone/>
                      <wp:docPr id="181" name="Frame181"/>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57835" cy="175260"/>
                      <wp:effectExtent l="0" t="0" r="0" b="0"/>
                      <wp:wrapNone/>
                      <wp:docPr id="184" name="Frame18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04165" cy="175260"/>
                      <wp:effectExtent l="0" t="0" r="0" b="0"/>
                      <wp:wrapNone/>
                      <wp:docPr id="186" name="Frame186"/>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58445" cy="175260"/>
                      <wp:effectExtent l="0" t="0" r="0" b="0"/>
                      <wp:wrapNone/>
                      <wp:docPr id="187" name="Frame187"/>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4460" cy="175260"/>
                      <wp:effectExtent l="0" t="0" r="0" b="0"/>
                      <wp:wrapNone/>
                      <wp:docPr id="189" name="Frame1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97840" cy="175260"/>
                      <wp:effectExtent l="0" t="0" r="0" b="0"/>
                      <wp:wrapNone/>
                      <wp:docPr id="190" name="Frame190"/>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Engineering</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Unallocated</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&amp; 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Corporate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Intersegment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8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Total</w:t>
            </w:r>
            <w:r>
              <w:rPr>
                <w:rFonts w:ascii="Times New Roman;Times;serif" w:hAnsi="Times New Roman;Times;serif"/>
                <w:sz w:val="14"/>
              </w:rPr>
              <w:t xml:space="preserve"> </w:t>
            </w:r>
            <w:r>
              <w:rPr>
                <w:rFonts w:ascii="Times New Roman;Times;serif" w:hAnsi="Times New Roman;Times;serif"/>
                <w:sz w:val="11"/>
              </w:rPr>
              <w:t>(1)</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955" w:type="dxa"/>
            <w:gridSpan w:val="14"/>
            <w:tcBorders/>
            <w:vAlign w:val="center"/>
          </w:tcPr>
          <w:p>
            <w:pPr>
              <w:pStyle w:val="TableContents"/>
              <w:bidi w:val="0"/>
              <w:spacing w:before="0" w:after="0"/>
              <w:ind w:left="0" w:right="0" w:hanging="0"/>
              <w:jc w:val="center"/>
              <w:rPr>
                <w:rFonts w:ascii="Times New Roman;Times;serif" w:hAnsi="Times New Roman;Times;serif"/>
                <w:i/>
                <w:sz w:val="14"/>
              </w:rPr>
            </w:pPr>
            <w:r>
              <w:rPr>
                <w:rFonts w:ascii="Times New Roman;Times;serif" w:hAnsi="Times New Roman;Times;serif"/>
                <w:i/>
                <w:sz w:val="14"/>
              </w:rPr>
              <w:t>(in thousands)</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Three Months Ended July 4, 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76,794</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78,505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16,176</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26,643</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53,779</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68,325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35,878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5,774</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51,005</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17,167</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(4,488)</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17,871</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2,186</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2,186</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4,940</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5,504</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12,228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(6,675)</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10,181</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(5,861)</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3,365</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18,088</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(10,039)</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15,436</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362,141</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81,503</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484,851</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Six Months Ended July 4, 2025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142,874</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145,553</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32,717</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54,320</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97,406</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125,986</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70,426</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7,135</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97,190</w:t>
            </w:r>
          </w:p>
        </w:tc>
      </w:tr>
      <w:tr>
        <w:trPr/>
        <w:tc>
          <w:tcPr>
            <w:tcW w:w="363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26,249</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(5,890)</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29,306</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3,988</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3,988</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8,895</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9,944</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17,355</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(9,879)</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15,374</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(5,361)</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3,052</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(4,749)</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22,715</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(12,930)</w:t>
            </w:r>
          </w:p>
        </w:tc>
        <w:tc>
          <w:tcPr>
            <w:tcW w:w="346" w:type="dxa"/>
            <w:tcBorders/>
            <w:shd w:fill="CCEEFF" w:val="clear"/>
            <w:vAlign w:val="center"/>
          </w:tcPr>
          <w:p>
            <w:pPr>
              <w:pStyle w:val="TableContents"/>
              <w:bidi w:val="0"/>
              <w:spacing w:before="0" w:after="0"/>
              <w:ind w:left="0" w:right="0" w:hanging="0"/>
              <w:jc w:val="left"/>
              <w:rPr/>
            </w:pPr>
            <w:r>
              <w:rPr/>
              <w:t>​</w:t>
            </w:r>
          </w:p>
        </w:tc>
        <w:tc>
          <w:tcPr>
            <w:tcW w:w="47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20,123</w:t>
            </w:r>
          </w:p>
        </w:tc>
      </w:tr>
      <w:tr>
        <w:trPr/>
        <w:tc>
          <w:tcPr>
            <w:tcW w:w="363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362,141</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81,503</w:t>
            </w:r>
          </w:p>
        </w:tc>
        <w:tc>
          <w:tcPr>
            <w:tcW w:w="346" w:type="dxa"/>
            <w:tcBorders/>
            <w:vAlign w:val="center"/>
          </w:tcPr>
          <w:p>
            <w:pPr>
              <w:pStyle w:val="TableContents"/>
              <w:bidi w:val="0"/>
              <w:spacing w:before="0" w:after="0"/>
              <w:ind w:left="0" w:right="0" w:hanging="0"/>
              <w:jc w:val="left"/>
              <w:rPr/>
            </w:pPr>
            <w:r>
              <w:rPr/>
              <w:t>​</w:t>
            </w:r>
          </w:p>
        </w:tc>
        <w:tc>
          <w:tcPr>
            <w:tcW w:w="47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484,851</w:t>
            </w:r>
          </w:p>
        </w:tc>
      </w:tr>
    </w:tbl>
    <w:p>
      <w:pPr>
        <w:pStyle w:val="TextBody"/>
        <w:bidi w:val="0"/>
        <w:spacing w:before="0" w:after="0"/>
        <w:ind w:left="0" w:right="0" w:hanging="0"/>
        <w:jc w:val="left"/>
        <w:rPr/>
      </w:pPr>
      <w:r>
        <w:rPr/>
        <w:t>​</w:t>
      </w:r>
    </w:p>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(2)</w:t>
            </w:r>
          </w:p>
        </w:tc>
        <w:tc>
          <w:tcPr>
            <w:tcW w:w="6211" w:type="dxa"/>
            <w:tcBorders/>
            <w:tcMar>
              <w:top w:w="0" w:type="dxa"/>
              <w:left w:w="0" w:type="dxa"/>
              <w:bottom w:w="0" w:type="dxa"/>
              <w:right w:w="0" w:type="dxa"/>
            </w:tcMar>
            <w:vAlign w:val="center"/>
          </w:tcPr>
          <w:p>
            <w:pPr>
              <w:pStyle w:val="TableContents"/>
              <w:bidi w:val="0"/>
              <w:spacing w:before="0" w:after="283"/>
              <w:jc w:val="left"/>
              <w:rPr/>
            </w:pPr>
            <w:r>
              <w:rPr/>
              <w:t>“</w:t>
            </w:r>
            <w:r>
              <w:rPr>
                <w:rFonts w:ascii="Times New Roman;Times;serif" w:hAnsi="Times New Roman;Times;serif"/>
                <w:b w:val="false"/>
                <w:i/>
                <w:sz w:val="16"/>
              </w:rPr>
              <w:t xml:space="preserve">EBITDA” is defined as earnings before interest, taxes, depreciation and amortization. </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2"/>
              </w:rPr>
            </w:pPr>
            <w:r>
              <w:rPr>
                <w:rFonts w:ascii="Times New Roman;Times;serif" w:hAnsi="Times New Roman;Times;serif"/>
                <w:i/>
                <w:sz w:val="12"/>
              </w:rPr>
              <w:t>(3)</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Segment assets are presented net of intercompany receivables.</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bookmarkStart w:id="1362" w:name="Tc_8eUyNnr6fketiNATt_z1kQ_35_8"/>
      <w:bookmarkStart w:id="1363" w:name="Tc_OIsg7n1Gh06Jf_ZE-HXUmg_35_5"/>
      <w:bookmarkStart w:id="1364" w:name="Tc_T-obRJe2x0W0gsd9ftOWFQ_35_2"/>
      <w:bookmarkStart w:id="1365" w:name="Tc_IIQ0jeU8FUS1idWJihxEUA_35_0"/>
      <w:bookmarkStart w:id="1366" w:name="Tc_qrd_SfostkiQVZGm7_QRow_34_0"/>
      <w:bookmarkStart w:id="1367" w:name="Tc_uo14L7RHM0y26bVxE5tRNQ_32_8"/>
      <w:bookmarkStart w:id="1368" w:name="Tc_5b_PzWNOvUCzkH7FYvD5SA_32_5"/>
      <w:bookmarkStart w:id="1369" w:name="Tc_qJ_aLfTulEulqcDrMnjh4A_32_2"/>
      <w:bookmarkStart w:id="1370" w:name="Tc_jQFQI9Jnx0-WP9vCBvUHIw_32_0"/>
      <w:bookmarkStart w:id="1371" w:name="Tc_zwXHNY0qN0OcM2mbgopqlA_31_0"/>
      <w:bookmarkStart w:id="1372" w:name="Tc_tzJFlTWHO0iYHn5CKwg1vw_30_0"/>
      <w:bookmarkStart w:id="1373" w:name="Tc_iE6UopURjUmIY8eon6tNRw_29_8"/>
      <w:bookmarkStart w:id="1374" w:name="Tc_TRQCP_Clj060prJj4EscmQ_29_5"/>
      <w:bookmarkStart w:id="1375" w:name="Tc_DYwkBndd00KZJsFZnNLhlw_29_2"/>
      <w:bookmarkStart w:id="1376" w:name="Tc_KZunw7zxsEa-Myz6S_ptIQ_29_0"/>
      <w:bookmarkStart w:id="1377" w:name="Tc_qN1Bj-NO2UWysqodo5b-sw_28_0"/>
      <w:bookmarkStart w:id="1378" w:name="Tc_FZMspMAxekmziuxAWl_Kww_26_8"/>
      <w:bookmarkStart w:id="1379" w:name="Tc_KbHMQLD0kUqwDEYCRGZ4WA_26_5"/>
      <w:bookmarkStart w:id="1380" w:name="Tc_PztsauAMKUOHn2q46EBpig_26_2"/>
      <w:bookmarkStart w:id="1381" w:name="Tc_lO2M1dx770uP5L-Jps_Dxg_26_0"/>
      <w:bookmarkStart w:id="1382" w:name="Tc_RciedmFoEUCDnL7xmHb01w_25_0"/>
      <w:bookmarkStart w:id="1383" w:name="Tc_TZPYBVwKT02ZG5lylMfazw_24_0"/>
      <w:bookmarkStart w:id="1384" w:name="Tc_j3e9KdQ6p0COQoh9qDN2Ug_23_8"/>
      <w:bookmarkStart w:id="1385" w:name="Tc_2uHwF-YDL0ejp40d8x3wZw_23_5"/>
      <w:bookmarkStart w:id="1386" w:name="Tc_9yGLR0RkFUiQF5hN4OFNOg_23_2"/>
      <w:bookmarkStart w:id="1387" w:name="Tc_5aBX7hN730yNL3XgC3qhKQ_23_0"/>
      <w:bookmarkStart w:id="1388" w:name="Tc_B9BQ4nIVJUamqLqcLTtKgg_22_0"/>
      <w:bookmarkStart w:id="1389" w:name="Tc_zHpfC5DDw0Sd12avu6PuAg_21_2"/>
      <w:bookmarkStart w:id="1390" w:name="Tc_w-5-RbMM5kK0w0HlwTVIsw_20_8"/>
      <w:bookmarkStart w:id="1391" w:name="Tc_fsi1h3FmXUK1mrqsqt6B2A_20_5"/>
      <w:bookmarkStart w:id="1392" w:name="Tc_yVpp2837v0mL873u7tXAFw_20_2"/>
      <w:bookmarkStart w:id="1393" w:name="Tc_BD_d7We9sk6gP_mgyvc07g_19_2"/>
      <w:bookmarkStart w:id="1394" w:name="Tc_0k2vjlj1DES4CpyHH4p6uw_17_8"/>
      <w:bookmarkStart w:id="1395" w:name="Tc_fTaMGJZD1UW_CQDKM2LESw_17_5"/>
      <w:bookmarkStart w:id="1396" w:name="Tc_40cuVKc-1EyHuwmi3p8eJA_17_2"/>
      <w:bookmarkStart w:id="1397" w:name="Tc_RLXTCwyEa0SHBRTRny9Nyg_17_0"/>
      <w:bookmarkStart w:id="1398" w:name="Tc_L-uRqP2xYEK1_g8lb4ZIPg_16_0"/>
      <w:bookmarkStart w:id="1399" w:name="Tc_k3haIkJfw0m6c3zMMQGxwg_14_8"/>
      <w:bookmarkStart w:id="1400" w:name="Tc_fpjujUStJEm6iwIRDZe_Qw_14_5"/>
      <w:bookmarkStart w:id="1401" w:name="Tc_OAXq9yRV5U-Hp9Q8caz1Pg_14_2"/>
      <w:bookmarkStart w:id="1402" w:name="Tc_KHY3Qif8WkifPLaVdHv1CA_14_0"/>
      <w:bookmarkStart w:id="1403" w:name="Tc_zatCwVgZKUOW2X13YN1IAw_13_0"/>
      <w:bookmarkStart w:id="1404" w:name="Tc_Zf4HrftKDE-qFLOPK6VBXw_12_0"/>
      <w:bookmarkStart w:id="1405" w:name="Tc_cjT04lRJm0iSTxdM8w4cCA_11_8"/>
      <w:bookmarkStart w:id="1406" w:name="Tc_Yxi_glZ2T0SbyR9faAniEA_11_5"/>
      <w:bookmarkStart w:id="1407" w:name="Tc_YCQ0Osgd7keCbz8M5ek_3w_11_2"/>
      <w:bookmarkStart w:id="1408" w:name="Tc_ghGFrg9TTEeUoHgJc9s5SA_11_0"/>
      <w:bookmarkStart w:id="1409" w:name="Tc_lRM32HSw50ikt2iBxwrs4A_10_0"/>
      <w:bookmarkStart w:id="1410" w:name="Tc_EomSTXF3uUiCgX7PTrlJgA_8_8"/>
      <w:bookmarkStart w:id="1411" w:name="Tc_Ra7bEsH-PE-mGol32Af2Vw_8_5"/>
      <w:bookmarkStart w:id="1412" w:name="Tc_kwqe1YdyWkuzhheMrwb09Q_8_2"/>
      <w:bookmarkStart w:id="1413" w:name="Tc_N8z9AqE6skmwLCYE3tPr8Q_8_0"/>
      <w:bookmarkStart w:id="1414" w:name="Tc_OX1OJGiyPk2MidZH0g73cA_7_0"/>
      <w:bookmarkStart w:id="1415" w:name="Tc_G4RvGZIIfkSrFfoiB1TFsw_6_0"/>
      <w:bookmarkStart w:id="1416" w:name="Tc_xyvhdhZCUUSYhvcUQ-vPMA_5_8"/>
      <w:bookmarkStart w:id="1417" w:name="Tc_fU0qosDH_kmtYxFrAjf2uw_5_5"/>
      <w:bookmarkStart w:id="1418" w:name="Tc_hyO2S-lo-ESixPxvSMWnJA_5_2"/>
      <w:bookmarkStart w:id="1419" w:name="Tc_iiGOVVyTXU-psry0VElQMw_5_0"/>
      <w:bookmarkStart w:id="1420" w:name="Tc_u0iOzHzCh0-RMlQtCgrxew_4_0"/>
      <w:bookmarkStart w:id="1421" w:name="Tc_3kt3IHZcv0W-ocDFZfz-eQ_3_2"/>
      <w:bookmarkStart w:id="1422" w:name="Tc__TB2-VcEgUKMX6ebYsDnfg_2_8"/>
      <w:bookmarkStart w:id="1423" w:name="Tc_NqxIX72Z8U6mLver2dK3pA_2_5"/>
      <w:bookmarkStart w:id="1424" w:name="Tc_R0oho4bWtkOXAcD2VOe2BQ_2_2"/>
      <w:bookmarkStart w:id="1425" w:name="Tc_WUkOBYcJ9UGBEuohfH1Eog_1_2"/>
      <w:bookmarkStart w:id="1426" w:name="_bdfc8955_9955_4268_8b06_3cffbdbe1f12"/>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r>
        <w:rPr>
          <w:rFonts w:ascii="Times New Roman;Times;serif" w:hAnsi="Times New Roman;Times;serif"/>
          <w:sz w:val="20"/>
        </w:rPr>
        <w:t>The following tables provide information about disaggregated revenue by contract type, client type and geographical region:</w:t>
      </w:r>
    </w:p>
    <w:p>
      <w:pPr>
        <w:pStyle w:val="TextBody"/>
        <w:bidi w:val="0"/>
        <w:spacing w:before="0" w:after="0"/>
        <w:ind w:left="0" w:right="0" w:hanging="0"/>
        <w:jc w:val="left"/>
        <w:rPr/>
      </w:pPr>
      <w:r>
        <w:rPr/>
        <w:t>​</w:t>
      </w:r>
    </w:p>
    <w:tbl>
      <w:tblPr>
        <w:tblW w:w="567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934085" cy="175260"/>
                      <wp:effectExtent l="0" t="0" r="0" b="0"/>
                      <wp:wrapNone/>
                      <wp:docPr id="191" name="Frame19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4460" cy="175260"/>
                      <wp:effectExtent l="0" t="0" r="0" b="0"/>
                      <wp:wrapNone/>
                      <wp:docPr id="193" name="Frame1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38785" cy="175260"/>
                      <wp:effectExtent l="0" t="0" r="0" b="0"/>
                      <wp:wrapNone/>
                      <wp:docPr id="194" name="Frame1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1295" cy="175260"/>
                      <wp:effectExtent l="0" t="0" r="0" b="0"/>
                      <wp:wrapNone/>
                      <wp:docPr id="196" name="Frame19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18490" cy="175260"/>
                      <wp:effectExtent l="0" t="0" r="0" b="0"/>
                      <wp:wrapNone/>
                      <wp:docPr id="197" name="Frame197"/>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4460" cy="175260"/>
                      <wp:effectExtent l="0" t="0" r="0" b="0"/>
                      <wp:wrapNone/>
                      <wp:docPr id="199" name="Frame1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05460" cy="175260"/>
                      <wp:effectExtent l="0" t="0" r="0" b="0"/>
                      <wp:wrapNone/>
                      <wp:docPr id="200" name="Frame20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July 3, 2026</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6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14,541</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33,188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61,714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69,946</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126,334</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127,894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202,589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231,028</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58,849</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60,820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69,834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96,231</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73,906</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73,977</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202,589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231,028</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202,589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28,439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231,028</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July 3, 2026</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6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27,241</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64,088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111,331</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126,616</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191,985</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195,438</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330,557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386,142</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78,238</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82,055</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113,680</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165,267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138,639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138,820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330,557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386,142</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330,557</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55,585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386,142</w:t>
            </w:r>
          </w:p>
        </w:tc>
      </w:tr>
    </w:tbl>
    <w:p>
      <w:pPr>
        <w:pStyle w:val="TextBody"/>
        <w:bidi w:val="0"/>
        <w:spacing w:before="1"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Normal"/>
        <w:bidi w:val="0"/>
        <w:spacing w:before="0" w:after="0"/>
        <w:jc w:val="left"/>
        <w:rPr>
          <w:sz w:val="4"/>
          <w:szCs w:val="4"/>
        </w:rPr>
      </w:pPr>
      <w:r>
        <w:rPr>
          <w:sz w:val="4"/>
          <w:szCs w:val="4"/>
        </w:rPr>
      </w:r>
      <w:bookmarkStart w:id="1427" w:name="Tc_xiTwunSLQEKqzzkTuZgw8Q_35_8"/>
      <w:bookmarkStart w:id="1428" w:name="Tc_1fZmUHm6mEmGth4JAVlvsQ_35_5"/>
      <w:bookmarkStart w:id="1429" w:name="Tc_1u9dflGs-kmBt62KR_VlUQ_35_2"/>
      <w:bookmarkStart w:id="1430" w:name="Tc_aD8guECgzk-1mK46o4r8Ew_35_0"/>
      <w:bookmarkStart w:id="1431" w:name="Tc_CE4_UJWoXEG3eAFdbau-2Q_34_0"/>
      <w:bookmarkStart w:id="1432" w:name="Tc_rLjSrG4X-kOhv4gTOmkKUA_32_8"/>
      <w:bookmarkStart w:id="1433" w:name="Tc_snC_EQwyRkm2X3c2k93MLw_32_5"/>
      <w:bookmarkStart w:id="1434" w:name="Tc_pf4_WTkiz02e8umAmyIsAg_32_2"/>
      <w:bookmarkStart w:id="1435" w:name="Tc_VtZg8KTpQkyZntSPCZVDGA_32_0"/>
      <w:bookmarkStart w:id="1436" w:name="Tc_sllYpMBECUOkUt10c8HJ7Q_31_0"/>
      <w:bookmarkStart w:id="1437" w:name="Tc_FdtttpTls06nTI4k1Vd2bg_30_0"/>
      <w:bookmarkStart w:id="1438" w:name="Tc_GVnVlUF4qk-VoTIZixXkOA_29_8"/>
      <w:bookmarkStart w:id="1439" w:name="Tc_2lAJqt-9-EaH7DPI2XeHXA_29_5"/>
      <w:bookmarkStart w:id="1440" w:name="Tc_Q-DMd4jeFE6bnGHkB_LpWQ_29_2"/>
      <w:bookmarkStart w:id="1441" w:name="Tc_MyclxbLfbEyjaBPAxNpMJw_29_0"/>
      <w:bookmarkStart w:id="1442" w:name="Tc_x7wWL1X__EKrNqd4hddrlw_28_0"/>
      <w:bookmarkStart w:id="1443" w:name="Tc_fw07mABVJUS0WV4CDqSp7w_26_8"/>
      <w:bookmarkStart w:id="1444" w:name="Tc_xmv9S2QlBkWTsvpeB6JkOA_26_5"/>
      <w:bookmarkStart w:id="1445" w:name="Tc_5eEY3-I2mk-O8OBNdtMZRQ_26_2"/>
      <w:bookmarkStart w:id="1446" w:name="Tc_iAHtwR80SUyWrU84Zk5Zxg_26_0"/>
      <w:bookmarkStart w:id="1447" w:name="Tc_fx0cqPm9C0qrrIvH5chlNA_25_0"/>
      <w:bookmarkStart w:id="1448" w:name="Tc_gtkFVtmzukq-c3NUAHyoIw_24_0"/>
      <w:bookmarkStart w:id="1449" w:name="Tc_5oaJqWzD9UKUo9ghPpSmIA_23_8"/>
      <w:bookmarkStart w:id="1450" w:name="Tc_dmHT6I0ivUu9VLmkabxrAA_23_5"/>
      <w:bookmarkStart w:id="1451" w:name="Tc_cpOZcjeqTESGINbNHJCXwQ_23_2"/>
      <w:bookmarkStart w:id="1452" w:name="Tc_q_Q_0SRlckuqjrJn1hFk6w_23_0"/>
      <w:bookmarkStart w:id="1453" w:name="Tc_tmH20fDehUiebW3HJwPoBg_22_0"/>
      <w:bookmarkStart w:id="1454" w:name="Tc_2IATMuot8Ee1enzJhUh6SQ_21_2"/>
      <w:bookmarkStart w:id="1455" w:name="Tc_vb8tyuvrTEOGzIWmoTnJTg_20_8"/>
      <w:bookmarkStart w:id="1456" w:name="Tc_BDxyGYgjvkCnSTfc8GSfBg_20_5"/>
      <w:bookmarkStart w:id="1457" w:name="Tc_VRz2V9xfm0iL-gaDtsbncQ_20_2"/>
      <w:bookmarkStart w:id="1458" w:name="Tc_0TmdhCCdj0Cz_a_TMwFCXA_19_2"/>
      <w:bookmarkStart w:id="1459" w:name="Tc_algn0FfFs0aL55FhGkG9zQ_17_8"/>
      <w:bookmarkStart w:id="1460" w:name="Tc_WJLR2afZ5UOzjvIVTa8VGQ_17_5"/>
      <w:bookmarkStart w:id="1461" w:name="Tc_K4UUFmov4k2E2XE2CKZwjQ_17_2"/>
      <w:bookmarkStart w:id="1462" w:name="Tc_msnNs7mX3UKul-0ykAIErA_17_0"/>
      <w:bookmarkStart w:id="1463" w:name="Tc_YU4GwtduOkaCTjoK9GZSQA_16_0"/>
      <w:bookmarkStart w:id="1464" w:name="Tc_pSIMg38VNECX7dxIdSU7OA_14_8"/>
      <w:bookmarkStart w:id="1465" w:name="Tc_Soy6hv27uE-5UslJgAHC_A_14_5"/>
      <w:bookmarkStart w:id="1466" w:name="Tc_W7og3Zii5U2dKmJF-PsfoQ_14_2"/>
      <w:bookmarkStart w:id="1467" w:name="Tc_zVUZShJ0g0261QCC5DPZCg_14_0"/>
      <w:bookmarkStart w:id="1468" w:name="Tc_HwpTHqRFH0KDF6oeVhwvVg_13_0"/>
      <w:bookmarkStart w:id="1469" w:name="Tc_o0iO-fxFpk2LSN7hK0E0vg_12_0"/>
      <w:bookmarkStart w:id="1470" w:name="Tc_iJkhzYSeK0-ZdlAmKqcWeA_11_8"/>
      <w:bookmarkStart w:id="1471" w:name="Tc_PWhUzQnZbkiH9glycXrhJA_11_5"/>
      <w:bookmarkStart w:id="1472" w:name="Tc_EatJ6zqNBkqCN9P35hFErQ_11_2"/>
      <w:bookmarkStart w:id="1473" w:name="Tc_TDjZedHywECJvgTbrG3BTg_11_0"/>
      <w:bookmarkStart w:id="1474" w:name="Tc_Q1bCtPkuuEKo7vq0b5gaTQ_10_0"/>
      <w:bookmarkStart w:id="1475" w:name="Tc_sOTQG8HPuEmiZ8rB5-rzWg_8_8"/>
      <w:bookmarkStart w:id="1476" w:name="Tc_c6rZOtq7hkS6KphJB43wAA_8_5"/>
      <w:bookmarkStart w:id="1477" w:name="Tc_F5aa36aq6kGU2_t1bzbmbg_8_2"/>
      <w:bookmarkStart w:id="1478" w:name="Tc_7g29PmzJOE2wUqG8gvorpQ_8_0"/>
      <w:bookmarkStart w:id="1479" w:name="Tc_h-crzHNzM02i_5pLq8XEwQ_7_0"/>
      <w:bookmarkStart w:id="1480" w:name="Tc_1xMFUU4O1EKtYuEvIaMSJw_6_0"/>
      <w:bookmarkStart w:id="1481" w:name="Tc_t7EHzK-yb0Ga6hUaklXGfg_5_8"/>
      <w:bookmarkStart w:id="1482" w:name="Tc_0O3_0lfT7EmDUydwPO8sSQ_5_5"/>
      <w:bookmarkStart w:id="1483" w:name="Tc_XMIg6xgVj0Sjen7V_Et_2g_5_2"/>
      <w:bookmarkStart w:id="1484" w:name="Tc_sIMmkBHn3UGM316MDU52iw_5_0"/>
      <w:bookmarkStart w:id="1485" w:name="Tc_lzFdoQQj5kWH_YsbCEb3OA_4_0"/>
      <w:bookmarkStart w:id="1486" w:name="Tc_-b7CGFSGV0qHk7XFWq5y2g_3_2"/>
      <w:bookmarkStart w:id="1487" w:name="Tc__QmS1SrQr026K2skhAGxuA_2_8"/>
      <w:bookmarkStart w:id="1488" w:name="Tc_dqgvFTkuykyPpnONGnQVzw_2_5"/>
      <w:bookmarkStart w:id="1489" w:name="Tc_jp7-WQJS4kCjGIIVF4_Twg_2_2"/>
      <w:bookmarkStart w:id="1490" w:name="Tc_B3HjcHLagE2BxE0LI78xaw_1_2"/>
      <w:bookmarkStart w:id="1491" w:name="_5ce13bce_5090_4d07_9d96_ef4ff43b1ade"/>
      <w:bookmarkStart w:id="1492" w:name="Tc_xiTwunSLQEKqzzkTuZgw8Q_35_8"/>
      <w:bookmarkStart w:id="1493" w:name="Tc_1fZmUHm6mEmGth4JAVlvsQ_35_5"/>
      <w:bookmarkStart w:id="1494" w:name="Tc_1u9dflGs-kmBt62KR_VlUQ_35_2"/>
      <w:bookmarkStart w:id="1495" w:name="Tc_aD8guECgzk-1mK46o4r8Ew_35_0"/>
      <w:bookmarkStart w:id="1496" w:name="Tc_CE4_UJWoXEG3eAFdbau-2Q_34_0"/>
      <w:bookmarkStart w:id="1497" w:name="Tc_rLjSrG4X-kOhv4gTOmkKUA_32_8"/>
      <w:bookmarkStart w:id="1498" w:name="Tc_snC_EQwyRkm2X3c2k93MLw_32_5"/>
      <w:bookmarkStart w:id="1499" w:name="Tc_pf4_WTkiz02e8umAmyIsAg_32_2"/>
      <w:bookmarkStart w:id="1500" w:name="Tc_VtZg8KTpQkyZntSPCZVDGA_32_0"/>
      <w:bookmarkStart w:id="1501" w:name="Tc_sllYpMBECUOkUt10c8HJ7Q_31_0"/>
      <w:bookmarkStart w:id="1502" w:name="Tc_FdtttpTls06nTI4k1Vd2bg_30_0"/>
      <w:bookmarkStart w:id="1503" w:name="Tc_GVnVlUF4qk-VoTIZixXkOA_29_8"/>
      <w:bookmarkStart w:id="1504" w:name="Tc_2lAJqt-9-EaH7DPI2XeHXA_29_5"/>
      <w:bookmarkStart w:id="1505" w:name="Tc_Q-DMd4jeFE6bnGHkB_LpWQ_29_2"/>
      <w:bookmarkStart w:id="1506" w:name="Tc_MyclxbLfbEyjaBPAxNpMJw_29_0"/>
      <w:bookmarkStart w:id="1507" w:name="Tc_x7wWL1X__EKrNqd4hddrlw_28_0"/>
      <w:bookmarkStart w:id="1508" w:name="Tc_fw07mABVJUS0WV4CDqSp7w_26_8"/>
      <w:bookmarkStart w:id="1509" w:name="Tc_xmv9S2QlBkWTsvpeB6JkOA_26_5"/>
      <w:bookmarkStart w:id="1510" w:name="Tc_5eEY3-I2mk-O8OBNdtMZRQ_26_2"/>
      <w:bookmarkStart w:id="1511" w:name="Tc_iAHtwR80SUyWrU84Zk5Zxg_26_0"/>
      <w:bookmarkStart w:id="1512" w:name="Tc_fx0cqPm9C0qrrIvH5chlNA_25_0"/>
      <w:bookmarkStart w:id="1513" w:name="Tc_gtkFVtmzukq-c3NUAHyoIw_24_0"/>
      <w:bookmarkStart w:id="1514" w:name="Tc_5oaJqWzD9UKUo9ghPpSmIA_23_8"/>
      <w:bookmarkStart w:id="1515" w:name="Tc_dmHT6I0ivUu9VLmkabxrAA_23_5"/>
      <w:bookmarkStart w:id="1516" w:name="Tc_cpOZcjeqTESGINbNHJCXwQ_23_2"/>
      <w:bookmarkStart w:id="1517" w:name="Tc_q_Q_0SRlckuqjrJn1hFk6w_23_0"/>
      <w:bookmarkStart w:id="1518" w:name="Tc_tmH20fDehUiebW3HJwPoBg_22_0"/>
      <w:bookmarkStart w:id="1519" w:name="Tc_2IATMuot8Ee1enzJhUh6SQ_21_2"/>
      <w:bookmarkStart w:id="1520" w:name="Tc_vb8tyuvrTEOGzIWmoTnJTg_20_8"/>
      <w:bookmarkStart w:id="1521" w:name="Tc_BDxyGYgjvkCnSTfc8GSfBg_20_5"/>
      <w:bookmarkStart w:id="1522" w:name="Tc_VRz2V9xfm0iL-gaDtsbncQ_20_2"/>
      <w:bookmarkStart w:id="1523" w:name="Tc_0TmdhCCdj0Cz_a_TMwFCXA_19_2"/>
      <w:bookmarkStart w:id="1524" w:name="Tc_algn0FfFs0aL55FhGkG9zQ_17_8"/>
      <w:bookmarkStart w:id="1525" w:name="Tc_WJLR2afZ5UOzjvIVTa8VGQ_17_5"/>
      <w:bookmarkStart w:id="1526" w:name="Tc_K4UUFmov4k2E2XE2CKZwjQ_17_2"/>
      <w:bookmarkStart w:id="1527" w:name="Tc_msnNs7mX3UKul-0ykAIErA_17_0"/>
      <w:bookmarkStart w:id="1528" w:name="Tc_YU4GwtduOkaCTjoK9GZSQA_16_0"/>
      <w:bookmarkStart w:id="1529" w:name="Tc_pSIMg38VNECX7dxIdSU7OA_14_8"/>
      <w:bookmarkStart w:id="1530" w:name="Tc_Soy6hv27uE-5UslJgAHC_A_14_5"/>
      <w:bookmarkStart w:id="1531" w:name="Tc_W7og3Zii5U2dKmJF-PsfoQ_14_2"/>
      <w:bookmarkStart w:id="1532" w:name="Tc_zVUZShJ0g0261QCC5DPZCg_14_0"/>
      <w:bookmarkStart w:id="1533" w:name="Tc_HwpTHqRFH0KDF6oeVhwvVg_13_0"/>
      <w:bookmarkStart w:id="1534" w:name="Tc_o0iO-fxFpk2LSN7hK0E0vg_12_0"/>
      <w:bookmarkStart w:id="1535" w:name="Tc_iJkhzYSeK0-ZdlAmKqcWeA_11_8"/>
      <w:bookmarkStart w:id="1536" w:name="Tc_PWhUzQnZbkiH9glycXrhJA_11_5"/>
      <w:bookmarkStart w:id="1537" w:name="Tc_EatJ6zqNBkqCN9P35hFErQ_11_2"/>
      <w:bookmarkStart w:id="1538" w:name="Tc_TDjZedHywECJvgTbrG3BTg_11_0"/>
      <w:bookmarkStart w:id="1539" w:name="Tc_Q1bCtPkuuEKo7vq0b5gaTQ_10_0"/>
      <w:bookmarkStart w:id="1540" w:name="Tc_sOTQG8HPuEmiZ8rB5-rzWg_8_8"/>
      <w:bookmarkStart w:id="1541" w:name="Tc_c6rZOtq7hkS6KphJB43wAA_8_5"/>
      <w:bookmarkStart w:id="1542" w:name="Tc_F5aa36aq6kGU2_t1bzbmbg_8_2"/>
      <w:bookmarkStart w:id="1543" w:name="Tc_7g29PmzJOE2wUqG8gvorpQ_8_0"/>
      <w:bookmarkStart w:id="1544" w:name="Tc_h-crzHNzM02i_5pLq8XEwQ_7_0"/>
      <w:bookmarkStart w:id="1545" w:name="Tc_1xMFUU4O1EKtYuEvIaMSJw_6_0"/>
      <w:bookmarkStart w:id="1546" w:name="Tc_t7EHzK-yb0Ga6hUaklXGfg_5_8"/>
      <w:bookmarkStart w:id="1547" w:name="Tc_0O3_0lfT7EmDUydwPO8sSQ_5_5"/>
      <w:bookmarkStart w:id="1548" w:name="Tc_XMIg6xgVj0Sjen7V_Et_2g_5_2"/>
      <w:bookmarkStart w:id="1549" w:name="Tc_sIMmkBHn3UGM316MDU52iw_5_0"/>
      <w:bookmarkStart w:id="1550" w:name="Tc_lzFdoQQj5kWH_YsbCEb3OA_4_0"/>
      <w:bookmarkStart w:id="1551" w:name="Tc_-b7CGFSGV0qHk7XFWq5y2g_3_2"/>
      <w:bookmarkStart w:id="1552" w:name="Tc__QmS1SrQr026K2skhAGxuA_2_8"/>
      <w:bookmarkStart w:id="1553" w:name="Tc_dqgvFTkuykyPpnONGnQVzw_2_5"/>
      <w:bookmarkStart w:id="1554" w:name="Tc_jp7-WQJS4kCjGIIVF4_Twg_2_2"/>
      <w:bookmarkStart w:id="1555" w:name="Tc_B3HjcHLagE2BxE0LI78xaw_1_2"/>
      <w:bookmarkStart w:id="1556" w:name="_5ce13bce_5090_4d07_9d96_ef4ff43b1ade"/>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p>
    <w:tbl>
      <w:tblPr>
        <w:tblW w:w="561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3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934085" cy="175260"/>
                      <wp:effectExtent l="0" t="0" r="0" b="0"/>
                      <wp:wrapNone/>
                      <wp:docPr id="201" name="Frame20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24460" cy="175260"/>
                      <wp:effectExtent l="0" t="0" r="0" b="0"/>
                      <wp:wrapNone/>
                      <wp:docPr id="203" name="Frame2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38785" cy="175260"/>
                      <wp:effectExtent l="0" t="0" r="0" b="0"/>
                      <wp:wrapNone/>
                      <wp:docPr id="204" name="Frame2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1295" cy="175260"/>
                      <wp:effectExtent l="0" t="0" r="0" b="0"/>
                      <wp:wrapNone/>
                      <wp:docPr id="206" name="Frame20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18490" cy="175260"/>
                      <wp:effectExtent l="0" t="0" r="0" b="0"/>
                      <wp:wrapNone/>
                      <wp:docPr id="207" name="Frame207"/>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4460" cy="175260"/>
                      <wp:effectExtent l="0" t="0" r="0" b="0"/>
                      <wp:wrapNone/>
                      <wp:docPr id="209" name="Frame2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67360" cy="175260"/>
                      <wp:effectExtent l="0" t="0" r="0" b="0"/>
                      <wp:wrapNone/>
                      <wp:docPr id="210" name="Frame21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July 4, 2025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0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11,733</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30,632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58,250</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64,737</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76,766</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78,104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18,093</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19,848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55,839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80,763</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72,817</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72,862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July 4, 2025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0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23,335</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60,294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105,957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118,699</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143,705</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146,866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31,608</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35,174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104,163</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153,359</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137,226</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137,326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bl>
    <w:tbl>
      <w:tblPr>
        <w:tblW w:w="4131" w:type="dxa"/>
        <w:jc w:val="left"/>
        <w:tblInd w:w="0" w:type="dxa"/>
        <w:tblLayout w:type="fixed"/>
        <w:tblCellMar>
          <w:top w:w="28" w:type="dxa"/>
          <w:left w:w="28" w:type="dxa"/>
          <w:bottom w:w="28" w:type="dxa"/>
          <w:right w:w="28" w:type="dxa"/>
        </w:tblCellMar>
      </w:tblPr>
      <w:tblGrid>
        <w:gridCol w:w="124"/>
        <w:gridCol w:w="271"/>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296" w:type="dxa"/>
        <w:jc w:val="left"/>
        <w:tblInd w:w="0" w:type="dxa"/>
        <w:tblLayout w:type="fixed"/>
        <w:tblCellMar>
          <w:top w:w="28" w:type="dxa"/>
          <w:left w:w="28" w:type="dxa"/>
          <w:bottom w:w="28" w:type="dxa"/>
          <w:right w:w="28" w:type="dxa"/>
        </w:tblCellMar>
      </w:tblPr>
      <w:tblGrid>
        <w:gridCol w:w="124"/>
        <w:gridCol w:w="271"/>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9741" w:type="dxa"/>
        <w:jc w:val="left"/>
        <w:tblInd w:w="0" w:type="dxa"/>
        <w:tblLayout w:type="fixed"/>
        <w:tblCellMar>
          <w:top w:w="28" w:type="dxa"/>
          <w:left w:w="28" w:type="dxa"/>
          <w:bottom w:w="28" w:type="dxa"/>
          <w:right w:w="28" w:type="dxa"/>
        </w:tblCellMar>
      </w:tblPr>
      <w:tblGrid>
        <w:gridCol w:w="124"/>
        <w:gridCol w:w="271"/>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(3)</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 xml:space="preserve">Revenue from the Company’s foreign operations was not material for the three and six months ended July 3, 2026 and July 4, 2025. </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Geographical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Substantially all of the Company’s consolidated revenue was derived from its operations in the U.S. The Company operates through a network of offices spread across 26 U.S. states, the District of Columbia, the Commonwealth of Puerto Rico, and Canada. Revenues from the Company’s Puerto Rican and Canadian operations were not material for the three and six months ended July 3, 2026, nor for the three and six months ended July 4,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Customer Concentration</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six months ended July 3, 2026, the Company’s top 10 customers accounted for 51.7%, and 47.1%, respectively, of the Company’s consolidated contract revenue. </w:t>
      </w:r>
      <w:r>
        <w:rPr>
          <w:rFonts w:ascii="Times New Roman;Times;serif" w:hAnsi="Times New Roman;Times;serif"/>
          <w:sz w:val="20"/>
          <w:shd w:fill="FFFFFF" w:val="clear"/>
        </w:rPr>
        <w:t>For the three and six months ended July 4, 2025, the Company’s top 10 customers accounted for </w:t>
      </w:r>
      <w:r>
        <w:rPr>
          <w:rFonts w:ascii="Times New Roman;Times;serif" w:hAnsi="Times New Roman;Times;serif"/>
          <w:sz w:val="20"/>
        </w:rPr>
        <w:t>52.5%</w:t>
      </w:r>
      <w:r>
        <w:rPr>
          <w:rFonts w:ascii="Times New Roman;Times;serif" w:hAnsi="Times New Roman;Times;serif"/>
          <w:sz w:val="20"/>
          <w:shd w:fill="FFFFFF" w:val="clear"/>
        </w:rPr>
        <w:t>, and </w:t>
      </w:r>
      <w:r>
        <w:rPr>
          <w:rFonts w:ascii="Times New Roman;Times;serif" w:hAnsi="Times New Roman;Times;serif"/>
          <w:sz w:val="20"/>
        </w:rPr>
        <w:t>52.6%</w:t>
      </w:r>
      <w:r>
        <w:rPr>
          <w:rFonts w:ascii="Times New Roman;Times;serif" w:hAnsi="Times New Roman;Times;serif"/>
          <w:sz w:val="20"/>
          <w:shd w:fill="FFFFFF" w:val="clear"/>
        </w:rPr>
        <w:t>, respectively, of the Company’s consolidated contract revenue.</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July 3, 2026, the Company had no individual customers that accounted for more than 10% of its consolidated contract revenue. For the three and six months ended July 4, 2025, the Company had individual customers that accounted for more than 10% of its consolidated contract revenue. For the three months ended July 4, 2025, the Company derived 26.3% of its consolidated contract revenue from two customers, Southern California Edison and Clark County School District. For the six months ended July 4, 2025, the Company derived 25.3% of its consolidated contract revenue from two customers, Southern California Edison and Clark County School District.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 segment basis, the Company had individual customers that accounted for more than 10% of its segment contract revenues. For the three months ended July 3, 2026, the Company derived 11.2% of its Energy segment revenues from one customer, Southern California Edison, and no single customer accounted for 10% or more of the Company’s Engineering and Consulting segment revenues. For the six months ended July 3, 2026, the Company derived 11.3% of its Energy segment revenues from one customer, Southern California Edison, and no single customer accounted for 10% or more of the Company’s Engineering and Consulting segment revenues. For the three months ended July 4, 2025, the Company derived 31.1% of its Energy segment revenues from two customers, Southern California Edison and Clark County School District, and no single customer accounted for 10% or more of the Company’s Engineering and Consulting segment revenues. For the six months ended July 4, 2025, the Company derived 30.2% of its Energy segment revenues from two customers, Southern California Edison and Clark County School District, and no single customer accounted for 10% or more of the Company’s Engineering and Consulting segment revenues.</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a geographical basis, through the six months ended July 3, 2026, the Company’s largest clients are based in California and New York. For the three and six months ended July 3, 2026, services provided to clients in California accounted for 43.7% and 44.6%, respectively, of the Company’s consolidated contract revenue, and services provided to clients in New York accounted for 15.8% and 17.3%, respectively, of the Company’s consolidated contract revenue. For the three and six months ended July 4, 2025, services provided to clients in California accounted for 44.6% and 42.4%, respectively, of the Company’s consolidated contract revenue, and services provided to clients in New York accounted for 18.4% and 20.0%, respectively, of the Company’s consolidated contract revenue.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10. INCOME TAXES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of temporary differences between the financial reporting basis and tax basis of the Company’s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 than not that some of the deferred tax assets may not be realized. Significant judgment is applied when assessing the need for valuation allowances and includes the evaluation of historical income (loss) adjusted for the effects of non-recurring items and the impact of recent business combinations. Areas of estimation include the Company’s consideration of future taxable income which is driven by verifiable signed contracts and ongoing prudent and feasible tax planning strategies. Should a change in circumstances lead to a change in judgment about the utilization of deferred tax assets in future years, the Company would adjust the related valuation allowances in the period that the change in circumstances occurs, along with a corresponding increase or charge to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the end of fiscal year 2025, the Company’s total valuation allowance for future utilization of deferred tax assets was $1.1 million. As of July 3, 2026, the Company assessed all available positive and negative evidence available to determine whether, based on the weight of that evidence, there was a change in judgment related to the utilization of deferred tax assets in future years. The Company concluded that as of July 3, 2026, the valuation allowance for the Company’s deferred tax assets was appropriate in accordance with ASC 740. Consequently, there was no change to the valuation allowance during the three and six months ended July 3,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acquired business entities, if the Company identifies changes to acquired deferred tax asset valuation allowances or liabilities related to uncertain tax positions during the measurement period and they relate to new information obtained about facts and circumstances that existed as of the acquisition date, those changes are considered a measurement period adjustment, and the Company records the offset to goodwill. The Company records all other changes to deferred tax asset valuation allowances and liabilities related to uncertain tax positions in current period 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During the three and six months ended July 3, 2026, and the three and six months ended July 4, 2025, the Company did not record a liability for uncertain tax positions.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Company’s estimates and determination of an effective tax rate for the year, the Company recorded an income tax benefit of $5.3 million and $6.5 million for the three and six months ended July 3, 2026, respectively, compared to an income tax benefit of $5.3 million and $4.7 million for the three and six months ended July 4, 2025, respectively. During the three and six months ended July 3, 2026, the difference between the effective tax rate and the federal statutory rate was primarily attributable to state taxes, non-deductible executive compensation, deductions related to stock-compensation, research and development tax credits, and the commercial energy-efficiency building deduction. During the three and six months ended July 4, 2025, the difference between the effective tax rate and the federal statutory rate was primarily attributable to state taxes, nondeductible executive compensation, deductions related to stock option exercises, research and development tax credits, and the commercial energy-efficiency building deduction.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b/>
          <w:sz w:val="20"/>
        </w:rPr>
      </w:pPr>
      <w:bookmarkStart w:id="1557" w:name="Tc_Y7mpnAGYzUa2TCWbr9KoDQ_11_11"/>
      <w:bookmarkStart w:id="1558" w:name="Tc_TKtuqms6OUCva1h-3p81Rw_11_8"/>
      <w:bookmarkStart w:id="1559" w:name="Tc_Rkf8vGnhjkenaJ3dwFklAQ_11_5"/>
      <w:bookmarkStart w:id="1560" w:name="Tc_2oUtNl8hEk-dYf4lMJx8jQ_11_2"/>
      <w:bookmarkStart w:id="1561" w:name="Tc_vOz40Nisr0KrQR2YjRrH0w_11_0"/>
      <w:bookmarkStart w:id="1562" w:name="Tc_YVFkPEmimU2K9Zp_XHz7JQ_10_11"/>
      <w:bookmarkStart w:id="1563" w:name="Tc_IqcUrgT9zU6eP8-t1uYelg_10_8"/>
      <w:bookmarkStart w:id="1564" w:name="Tc_IxNajOE9TUKrOzoVzEz6Zg_10_5"/>
      <w:bookmarkStart w:id="1565" w:name="Tc_4VJGgBGLskOoP8oaeQy16w_10_2"/>
      <w:bookmarkStart w:id="1566" w:name="Tc_J4292vacKUi_BJEGN6CQIA_10_0"/>
      <w:bookmarkStart w:id="1567" w:name="Tc_9dGLiOr490u9B7wjxUFBfw_9_0"/>
      <w:bookmarkStart w:id="1568" w:name="Tc_f2qvDucA_0i0nyV-dUNCJg_8_0"/>
      <w:bookmarkStart w:id="1569" w:name="Tc_H8p8YTkxKUeGLHB-kjSyJQ_7_0"/>
      <w:bookmarkStart w:id="1570" w:name="Tc_lxgqpIcUjkiVtQh8JslqOQ_6_0"/>
      <w:bookmarkStart w:id="1571" w:name="Tc_o22dZeYGokmHOC8rtw74Zw_5_11"/>
      <w:bookmarkStart w:id="1572" w:name="Tc_ua67soZNhEitgu2Vx3aPKQ_5_8"/>
      <w:bookmarkStart w:id="1573" w:name="Tc_7LpwE9WavUCWhXjZ9S8Piw_5_5"/>
      <w:bookmarkStart w:id="1574" w:name="Tc_LURoDhNsqUGSFEhYB12kJg_5_2"/>
      <w:bookmarkStart w:id="1575" w:name="Tc_6_c2AYjU0kyiwC3aAa4Blg_5_0"/>
      <w:bookmarkStart w:id="1576" w:name="Tc_FI1wqOYb_k6PJf6vr70S8g_4_2"/>
      <w:bookmarkStart w:id="1577" w:name="Tc_EUu3tfAYoE24QxiAhVI18w_3_11"/>
      <w:bookmarkStart w:id="1578" w:name="Tc_w92RHydj0ky5dYuwiVdnwQ_3_8"/>
      <w:bookmarkStart w:id="1579" w:name="Tc_qW50ypoSFEq9Jj1DABVmFg_3_5"/>
      <w:bookmarkStart w:id="1580" w:name="Tc_AfHHyA8VwEieQTUNP85V2w_3_2"/>
      <w:bookmarkStart w:id="1581" w:name="Tc_7XpesQ_j-UOA20D9vNqjHw_2_11"/>
      <w:bookmarkStart w:id="1582" w:name="Tc_OPKaJqi5I0GGnWXFqFWE8Q_2_8"/>
      <w:bookmarkStart w:id="1583" w:name="Tc_dxuYm1w8S0eeFr8cz1zgpA_2_5"/>
      <w:bookmarkStart w:id="1584" w:name="Tc_kaBIVThZWU6H9GoeolbjOg_2_2"/>
      <w:bookmarkStart w:id="1585" w:name="Tc_AzjvKqp30kCbUZPQwmLOyQ_1_8"/>
      <w:bookmarkStart w:id="1586" w:name="Tc_lTaFsVyowESYvVZAImmIDg_1_2"/>
      <w:bookmarkStart w:id="1587" w:name="_d6162344_f958_4411_9488_f538b1cbcc31"/>
      <w:bookmarkStart w:id="1588" w:name="_2a1d0ec2_c041_4215_9911_0c5f6d950541"/>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r>
        <w:rPr>
          <w:rFonts w:ascii="Times New Roman;Times;serif" w:hAnsi="Times New Roman;Times;serif"/>
          <w:b/>
          <w:sz w:val="20"/>
        </w:rPr>
        <w:t>11. EARNINGS PER SHARE (“EPS”)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EPS is computed by dividing net income available to common stockholders by the weighted-average number of common shares outstanding. Diluted EPS is computed by dividing net income by the weighted-average number of common shares outstanding and dilutive potential common shares for the period. Potential common shares include the weighted-average dilutive effects of outstanding stock options and restricted stock awards using the treasury stock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number of weighted-average common shares outstanding used to compute basic and diluted EPS:</w:t>
      </w:r>
    </w:p>
    <w:p>
      <w:pPr>
        <w:pStyle w:val="TextBody"/>
        <w:bidi w:val="0"/>
        <w:spacing w:before="0" w:after="0"/>
        <w:ind w:left="0" w:right="0" w:hanging="0"/>
        <w:jc w:val="left"/>
        <w:rPr/>
      </w:pPr>
      <w:r>
        <w:rPr/>
        <w:t>​</w:t>
      </w:r>
    </w:p>
    <w:tbl>
      <w:tblPr>
        <w:tblW w:w="9838" w:type="dxa"/>
        <w:jc w:val="left"/>
        <w:tblInd w:w="0" w:type="dxa"/>
        <w:tblLayout w:type="fixed"/>
        <w:tblCellMar>
          <w:top w:w="0" w:type="dxa"/>
          <w:left w:w="0" w:type="dxa"/>
          <w:bottom w:w="0" w:type="dxa"/>
          <w:right w:w="0" w:type="dxa"/>
        </w:tblCellMar>
      </w:tblPr>
      <w:tblGrid>
        <w:gridCol w:w="4861"/>
        <w:gridCol w:w="346"/>
        <w:gridCol w:w="211"/>
        <w:gridCol w:w="676"/>
        <w:gridCol w:w="346"/>
        <w:gridCol w:w="211"/>
        <w:gridCol w:w="676"/>
        <w:gridCol w:w="346"/>
        <w:gridCol w:w="211"/>
        <w:gridCol w:w="676"/>
        <w:gridCol w:w="346"/>
        <w:gridCol w:w="211"/>
        <w:gridCol w:w="721"/>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086735" cy="175260"/>
                      <wp:effectExtent l="0" t="0" r="0" b="0"/>
                      <wp:wrapNone/>
                      <wp:docPr id="211" name="Frame211"/>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29260" cy="175260"/>
                      <wp:effectExtent l="0" t="0" r="0" b="0"/>
                      <wp:wrapNone/>
                      <wp:docPr id="214" name="Frame2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29260" cy="175260"/>
                      <wp:effectExtent l="0" t="0" r="0" b="0"/>
                      <wp:wrapNone/>
                      <wp:docPr id="217" name="Frame2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29260" cy="175260"/>
                      <wp:effectExtent l="0" t="0" r="0" b="0"/>
                      <wp:wrapNone/>
                      <wp:docPr id="220" name="Frame2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57835" cy="175260"/>
                      <wp:effectExtent l="0" t="0" r="0" b="0"/>
                      <wp:wrapNone/>
                      <wp:docPr id="223" name="Frame22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left"/>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31"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amounts)</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20,123</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14,298</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 awards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14,778</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1.36</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July 3, 2026, the Company excluded 63,000 common shares subject to outstanding equity awards from the calculation of diluted shares because their impact would have been anti-dilutive. For the six months ended July 3, 2026, and for the three and six months ended July 4, 2025, the Company excluded an immaterial number of shares subject to outstanding equity awards from the calculation of diluted shares because their impact would have been anti-dilutive.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0" w:after="200"/>
        <w:ind w:left="0" w:right="0" w:hanging="0"/>
        <w:jc w:val="left"/>
        <w:rPr>
          <w:rFonts w:ascii="Times New Roman;Times;serif" w:hAnsi="Times New Roman;Times;serif"/>
          <w:b/>
          <w:sz w:val="20"/>
        </w:rPr>
      </w:pPr>
      <w:r>
        <w:rPr>
          <w:rFonts w:ascii="Times New Roman;Times;serif" w:hAnsi="Times New Roman;Times;serif"/>
          <w:b/>
          <w:sz w:val="20"/>
        </w:rPr>
        <w:t>12. BUSINESS COMBINATIONS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Acquisition of Burton Energy Group, LLC.</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On May 4, 2026</w:t>
      </w:r>
      <w:r>
        <w:rPr>
          <w:rFonts w:ascii="Times New Roman;Times;serif" w:hAnsi="Times New Roman;Times;serif"/>
          <w:sz w:val="24"/>
        </w:rPr>
        <w:t> </w:t>
      </w:r>
      <w:r>
        <w:rPr>
          <w:rFonts w:ascii="Times New Roman;Times;serif" w:hAnsi="Times New Roman;Times;serif"/>
          <w:sz w:val="20"/>
        </w:rPr>
        <w:t>(the “Burton Closing Date”), the Company, through its wholly owned subsidiary, WES, acquired all of the equity of Burton Energy Group, LLC. (“Burton”), pursuant to the terms of the Equity Purchase Agreement, dated as of May 4, 2026</w:t>
      </w:r>
      <w:r>
        <w:rPr>
          <w:rFonts w:ascii="Times New Roman;Times;serif" w:hAnsi="Times New Roman;Times;serif"/>
          <w:sz w:val="24"/>
        </w:rPr>
        <w:t xml:space="preserve"> </w:t>
      </w:r>
      <w:r>
        <w:rPr>
          <w:rFonts w:ascii="Times New Roman;Times;serif" w:hAnsi="Times New Roman;Times;serif"/>
          <w:sz w:val="20"/>
        </w:rPr>
        <w:t>(the “Burton Equity Purchase Agreement”), by and among the Company, WES, and each of the shareholders of Burton (the “Burton Shareholders”).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Burton provides comprehensive energy management and energy efficiency consulting for multi-site corporations, helping them reduce energy, water, and waste costs through utility data management and rate optimization, energy procurement and risk management, energy and water conservation/audits, and turnkey HVAC and EMS program management. Burton’s financial information is included</w:t>
      </w:r>
      <w:r>
        <w:rPr>
          <w:rFonts w:ascii="Times New Roman;Times;serif" w:hAnsi="Times New Roman;Times;serif"/>
          <w:sz w:val="24"/>
        </w:rPr>
        <w:t xml:space="preserve"> </w:t>
      </w:r>
      <w:r>
        <w:rPr>
          <w:rFonts w:ascii="Times New Roman;Times;serif" w:hAnsi="Times New Roman;Times;serif"/>
          <w:sz w:val="20"/>
        </w:rPr>
        <w:t xml:space="preserve">within the </w:t>
      </w:r>
      <w:r>
        <w:rPr>
          <w:rFonts w:ascii="Times New Roman;Times;serif" w:hAnsi="Times New Roman;Times;serif"/>
          <w:b w:val="false"/>
          <w:i w:val="false"/>
          <w:caps w:val="false"/>
          <w:smallCaps w:val="false"/>
          <w:sz w:val="20"/>
        </w:rPr>
        <w:t>Energy</w:t>
      </w:r>
      <w:r>
        <w:rPr>
          <w:rFonts w:ascii="Times New Roman;Times;serif" w:hAnsi="Times New Roman;Times;serif"/>
          <w:sz w:val="24"/>
        </w:rPr>
        <w:t xml:space="preserve"> </w:t>
      </w:r>
      <w:r>
        <w:rPr>
          <w:rFonts w:ascii="Times New Roman;Times;serif" w:hAnsi="Times New Roman;Times;serif"/>
          <w:sz w:val="20"/>
        </w:rPr>
        <w:t>segment beginning in the second quarter of fiscal year 2026 and the Company expects to finalize the purchase price allocation related to this transaction by the end of the first quarter of fiscal year 2027.</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Pursuant to the terms of the Burton Equity Purchase Agreement, the Company agreed to pay up to $74.0</w:t>
      </w:r>
      <w:r>
        <w:rPr>
          <w:rFonts w:ascii="Times New Roman;Times;serif" w:hAnsi="Times New Roman;Times;serif"/>
          <w:sz w:val="24"/>
        </w:rPr>
        <w:t> </w:t>
      </w:r>
      <w:r>
        <w:rPr>
          <w:rFonts w:ascii="Times New Roman;Times;serif" w:hAnsi="Times New Roman;Times;serif"/>
          <w:sz w:val="20"/>
        </w:rPr>
        <w:t>million for the purchase of all the equity of Burton, consisting of (i) $52.0</w:t>
      </w:r>
      <w:r>
        <w:rPr>
          <w:rFonts w:ascii="Times New Roman;Times;serif" w:hAnsi="Times New Roman;Times;serif"/>
          <w:sz w:val="24"/>
        </w:rPr>
        <w:t> </w:t>
      </w:r>
      <w:r>
        <w:rPr>
          <w:rFonts w:ascii="Times New Roman;Times;serif" w:hAnsi="Times New Roman;Times;serif"/>
          <w:sz w:val="20"/>
        </w:rPr>
        <w:t>million in cash paid on the Burton Closing Date (subject to holdbacks and adjustments), (ii) $10.0</w:t>
      </w:r>
      <w:r>
        <w:rPr>
          <w:rFonts w:ascii="Times New Roman;Times;serif" w:hAnsi="Times New Roman;Times;serif"/>
          <w:sz w:val="24"/>
        </w:rPr>
        <w:t> </w:t>
      </w:r>
      <w:r>
        <w:rPr>
          <w:rFonts w:ascii="Times New Roman;Times;serif" w:hAnsi="Times New Roman;Times;serif"/>
          <w:sz w:val="20"/>
        </w:rPr>
        <w:t>million in restricted shares of the Company’s common stock, based on the volume weighted average closing price per share of the Company’s common stock for the twenty</w:t>
      </w:r>
      <w:r>
        <w:rPr>
          <w:rFonts w:ascii="Times New Roman;Times;serif" w:hAnsi="Times New Roman;Times;serif"/>
          <w:sz w:val="24"/>
        </w:rPr>
        <w:t> </w:t>
      </w:r>
      <w:r>
        <w:rPr>
          <w:rFonts w:ascii="Times New Roman;Times;serif" w:hAnsi="Times New Roman;Times;serif"/>
          <w:sz w:val="20"/>
        </w:rPr>
        <w:t>trading days immediately preceding the third trading day prior to the Burton Closing Date, and (iii) up to $12.0</w:t>
      </w:r>
      <w:r>
        <w:rPr>
          <w:rFonts w:ascii="Times New Roman;Times;serif" w:hAnsi="Times New Roman;Times;serif"/>
          <w:sz w:val="24"/>
        </w:rPr>
        <w:t> </w:t>
      </w:r>
      <w:r>
        <w:rPr>
          <w:rFonts w:ascii="Times New Roman;Times;serif" w:hAnsi="Times New Roman;Times;serif"/>
          <w:sz w:val="20"/>
        </w:rPr>
        <w:t>million in cash if Burton exceeds certain financial targets during the two years</w:t>
      </w:r>
      <w:r>
        <w:rPr>
          <w:rFonts w:ascii="Times New Roman;Times;serif" w:hAnsi="Times New Roman;Times;serif"/>
          <w:sz w:val="24"/>
        </w:rPr>
        <w:t> </w:t>
      </w:r>
      <w:r>
        <w:rPr>
          <w:rFonts w:ascii="Times New Roman;Times;serif" w:hAnsi="Times New Roman;Times;serif"/>
          <w:sz w:val="20"/>
        </w:rPr>
        <w:t>after the Burton Closing Date, as more fully described below (such potential payments of up to $12.0</w:t>
      </w:r>
      <w:r>
        <w:rPr>
          <w:rFonts w:ascii="Times New Roman;Times;serif" w:hAnsi="Times New Roman;Times;serif"/>
          <w:sz w:val="24"/>
        </w:rPr>
        <w:t> </w:t>
      </w:r>
      <w:r>
        <w:rPr>
          <w:rFonts w:ascii="Times New Roman;Times;serif" w:hAnsi="Times New Roman;Times;serif"/>
          <w:sz w:val="20"/>
        </w:rPr>
        <w:t>million being referred to as “Burton Earnout Payments” and $12.0</w:t>
      </w:r>
      <w:r>
        <w:rPr>
          <w:rFonts w:ascii="Times New Roman;Times;serif" w:hAnsi="Times New Roman;Times;serif"/>
          <w:sz w:val="24"/>
        </w:rPr>
        <w:t> </w:t>
      </w:r>
      <w:r>
        <w:rPr>
          <w:rFonts w:ascii="Times New Roman;Times;serif" w:hAnsi="Times New Roman;Times;serif"/>
          <w:sz w:val="20"/>
        </w:rPr>
        <w:t>million in respect thereof, being referred to as the “Burton Maximum Payout”). The Company issued 131,626</w:t>
      </w:r>
      <w:r>
        <w:rPr>
          <w:rFonts w:ascii="Times New Roman;Times;serif" w:hAnsi="Times New Roman;Times;serif"/>
          <w:sz w:val="24"/>
        </w:rPr>
        <w:t xml:space="preserve"> </w:t>
      </w:r>
      <w:r>
        <w:rPr>
          <w:rFonts w:ascii="Times New Roman;Times;serif" w:hAnsi="Times New Roman;Times;serif"/>
          <w:sz w:val="20"/>
        </w:rPr>
        <w:t>shares of the Company’s common stock and the shares have not been registered under the Securities Act of 1933, as amended (the “Securities Act”), and were issued and sold in reliance upon the exemption from registration contained in Section 4(a)(2) of the Securities Act).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The amount of the Burton Earnout Payments to be paid will be determined based on Burton’s earnings before interest, taxes, depreciation and amortization (“Burton EBITDA”). The Burton Shareholders will receive Burton Earnout Payments in each of the two years</w:t>
      </w:r>
      <w:r>
        <w:rPr>
          <w:rFonts w:ascii="Times New Roman;Times;serif" w:hAnsi="Times New Roman;Times;serif"/>
          <w:sz w:val="24"/>
        </w:rPr>
        <w:t> </w:t>
      </w:r>
      <w:r>
        <w:rPr>
          <w:rFonts w:ascii="Times New Roman;Times;serif" w:hAnsi="Times New Roman;Times;serif"/>
          <w:sz w:val="20"/>
        </w:rPr>
        <w:t>after the Burton Closing Date (the “Burton Earnout Period”) based on the amount by which Burton EBITDA exceeds certain targets. The amounts due to the Burton Shareholders as Burton Earnout Payments will in no event, individually or in the aggregate, exceed the Burton Maximum Payout. Burton Earnout Payments will be made in annual installments for each of the two years</w:t>
      </w:r>
      <w:r>
        <w:rPr>
          <w:rFonts w:ascii="Times New Roman;Times;serif" w:hAnsi="Times New Roman;Times;serif"/>
          <w:sz w:val="24"/>
        </w:rPr>
        <w:t> </w:t>
      </w:r>
      <w:r>
        <w:rPr>
          <w:rFonts w:ascii="Times New Roman;Times;serif" w:hAnsi="Times New Roman;Times;serif"/>
          <w:sz w:val="20"/>
        </w:rPr>
        <w:t>of the Burton Earnout Period. In addition, the Burton Earnout Payments will be subject to certain subordination provisions in favor of the lenders under the Company’s Amended and Restated Credit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Burton Equity Purchase Agreement contains customary representations and warranties regarding the Company, WES, Burton, and the Burton Shareholders, indemnification provisions, and other provisions customary for transactions of this 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borrowed $30.0 million under its revolving credit facility and used cash on hand to fund the initial purchase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Burton’s assembled workforce. The Company estimates that the entire $32.5 million of goodwill resulting from the acquisition of Burton will be tax deductible.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firstLine="720"/>
        <w:jc w:val="left"/>
        <w:rPr>
          <w:rFonts w:ascii="Times New Roman;Times;serif" w:hAnsi="Times New Roman;Times;serif"/>
          <w:sz w:val="20"/>
        </w:rPr>
      </w:pPr>
      <w:bookmarkStart w:id="1589" w:name="Tc_z2zTq6pyc0-SLWsK9trsfA_12_2"/>
      <w:bookmarkStart w:id="1590" w:name="Tc_mBkiuN1Gk0OpB9IxTWSbvg_12_0"/>
      <w:bookmarkStart w:id="1591" w:name="Tc_xZpSZ6Numk-IqTNM1ipnGw_11_0"/>
      <w:bookmarkStart w:id="1592" w:name="Tc_9QWTh4QHek-_0j9O1akyVA_10_0"/>
      <w:bookmarkStart w:id="1593" w:name="Tc_xIM6poupd0--9rAm9EPAtQ_9_0"/>
      <w:bookmarkStart w:id="1594" w:name="Tc_n-TNmwzkNEmmgPcdo3fxhg_8_0"/>
      <w:bookmarkStart w:id="1595" w:name="Tc_EJM1QyHSEEGAW20N1_P0Gw_7_0"/>
      <w:bookmarkStart w:id="1596" w:name="Tc_tTLIr0rOt0KryQc4Hf8Irg_6_0"/>
      <w:bookmarkStart w:id="1597" w:name="Tc_MEK7RyEcVEypcr8_R86g9A_5_0"/>
      <w:bookmarkStart w:id="1598" w:name="Tc_LGWgJsgnAkGeQwA8GHsCzg_4_0"/>
      <w:bookmarkStart w:id="1599" w:name="Tc_An4vbRtRzkCBJlgJ_I2W4w_3_2"/>
      <w:bookmarkStart w:id="1600" w:name="Tc_4GHNkS98o0iaJ4v5g7tmrA_3_0"/>
      <w:bookmarkStart w:id="1601" w:name="Tc_fN8Z9-ohFka2xRanzimYQg_2_2"/>
      <w:bookmarkStart w:id="1602" w:name="Tc_mv6Y2wl-IEeARHlRQwYknQ_1_2"/>
      <w:bookmarkStart w:id="1603" w:name="_c07b70c4_b43a_444e_9490_6836fa68eacc"/>
      <w:bookmarkStart w:id="1604" w:name="Tc_WcFyw7tuv0OesaFK0veVXw_7_2"/>
      <w:bookmarkStart w:id="1605" w:name="Tc_v4Qiwf6BgU-lNukFUYP4QQ_7_0"/>
      <w:bookmarkStart w:id="1606" w:name="Tc_Fj_R2gLQ_ka1Y9MtuqVqrA_6_0"/>
      <w:bookmarkStart w:id="1607" w:name="Tc_rkehqoRjgU6ulfxLqnszBw_5_0"/>
      <w:bookmarkStart w:id="1608" w:name="Tc_PahT7rbXBkO5hi_XSxauVg_4_0"/>
      <w:bookmarkStart w:id="1609" w:name="Tc_pos9HmrU5k2N4HMPNxwV0w_3_2"/>
      <w:bookmarkStart w:id="1610" w:name="Tc_0SavafQsMEm5kqh4mvqY6w_3_0"/>
      <w:bookmarkStart w:id="1611" w:name="Tc_1ls_gfG3TEaZMn2IFdHF1w_2_2"/>
      <w:bookmarkStart w:id="1612" w:name="Tc_iFVcc_zxbUOzU2I8rAOrfA_1_2"/>
      <w:bookmarkStart w:id="1613" w:name="_f3823bcd_0c7d_4ea9_8e00_433b5f83d2ad"/>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r>
        <w:rPr>
          <w:rFonts w:ascii="Times New Roman;Times;serif" w:hAnsi="Times New Roman;Times;serif"/>
          <w:sz w:val="20"/>
        </w:rPr>
        <w:t>As of July 3, 2026, the purchase price allocation is preliminary and subject to change within the measurement period (not to exceed twelve months following the Burton Closing Date). The areas of the purchase price allocation that are not yet finalized relate primarily to contingent consideration valuation, intangible assets, and 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preliminary fair value of the contingent consideration liability was estimated by discounting to present value the contingent payments expected to be made and utilizing a probability-weighted discounted cash flow rate. The preliminary estimate of the fair values for intangible assets were calculated utilizing a weighted average allocation derived from previous valuation studies performed by a third-party valuation firm for the Company’s historical acquisitions with similar characteristics.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expects to continue to obtain information for the purpose of determining the fair value of the assets acquired on the Burton Closing Date throughout the remainder of the measurement period. Accordingly, adjustments may be made as additional information is obtained about the facts and circumstances that existed as of the valuation date. Any adjustments will be recorded in the period in which they are identified. In addition, the Company engaged a third-party independent valuation specialist to assist in management’s determination of fair values of tangible and intangible assets acquired and liabilities assumed, including the determination of the fair value of the contingent consideration liability.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Preliminary consideration for the acquisition of Burton includes the following:</w:t>
      </w:r>
    </w:p>
    <w:p>
      <w:pPr>
        <w:pStyle w:val="TextBody"/>
        <w:bidi w:val="0"/>
        <w:spacing w:before="0" w:after="0"/>
        <w:ind w:left="0" w:right="0" w:hanging="0"/>
        <w:jc w:val="left"/>
        <w:rPr/>
      </w:pPr>
      <w:r>
        <w:rPr/>
        <w:t>​</w:t>
      </w:r>
    </w:p>
    <w:tbl>
      <w:tblPr>
        <w:tblW w:w="5642" w:type="dxa"/>
        <w:jc w:val="left"/>
        <w:tblInd w:w="0" w:type="dxa"/>
        <w:tblLayout w:type="fixed"/>
        <w:tblCellMar>
          <w:top w:w="0" w:type="dxa"/>
          <w:left w:w="0" w:type="dxa"/>
          <w:bottom w:w="0" w:type="dxa"/>
          <w:right w:w="0" w:type="dxa"/>
        </w:tblCellMar>
      </w:tblPr>
      <w:tblGrid>
        <w:gridCol w:w="4141"/>
        <w:gridCol w:w="346"/>
        <w:gridCol w:w="245"/>
        <w:gridCol w:w="910"/>
      </w:tblGrid>
      <w:tr>
        <w:trPr/>
        <w:tc>
          <w:tcPr>
            <w:tcW w:w="414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895"/>
                      <wp:effectExtent l="0" t="0" r="0" b="0"/>
                      <wp:wrapNone/>
                      <wp:docPr id="224" name="Frame22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55575" cy="175895"/>
                      <wp:effectExtent l="0" t="0" r="0" b="0"/>
                      <wp:wrapNone/>
                      <wp:docPr id="225" name="Frame225"/>
                      <a:graphic xmlns:a="http://schemas.openxmlformats.org/drawingml/2006/main">
                        <a:graphicData uri="http://schemas.microsoft.com/office/word/2010/wordprocessingShape">
                          <wps:wsp>
                            <wps:cNvSpPr txBox="1"/>
                            <wps:spPr>
                              <a:xfrm>
                                <a:off x="0" y="0"/>
                                <a:ext cx="1555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77850" cy="175895"/>
                      <wp:effectExtent l="0" t="0" r="0" b="0"/>
                      <wp:wrapNone/>
                      <wp:docPr id="226" name="Frame226"/>
                      <a:graphic xmlns:a="http://schemas.openxmlformats.org/drawingml/2006/main">
                        <a:graphicData uri="http://schemas.microsoft.com/office/word/2010/wordprocessingShape">
                          <wps:wsp>
                            <wps:cNvSpPr txBox="1"/>
                            <wps:spPr>
                              <a:xfrm>
                                <a:off x="0" y="0"/>
                                <a:ext cx="5778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Burton</w:t>
            </w:r>
          </w:p>
        </w:tc>
      </w:tr>
      <w:tr>
        <w:trPr/>
        <w:tc>
          <w:tcPr>
            <w:tcW w:w="414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1155" w:type="dxa"/>
            <w:gridSpan w:val="2"/>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1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Cash consideration</w:t>
            </w:r>
          </w:p>
        </w:tc>
        <w:tc>
          <w:tcPr>
            <w:tcW w:w="346" w:type="dxa"/>
            <w:tcBorders/>
            <w:shd w:fill="CCEEFF" w:val="clear"/>
            <w:vAlign w:val="center"/>
          </w:tcPr>
          <w:p>
            <w:pPr>
              <w:pStyle w:val="TableContents"/>
              <w:bidi w:val="0"/>
              <w:spacing w:before="1" w:after="1"/>
              <w:ind w:left="0" w:right="0" w:hanging="0"/>
              <w:jc w:val="left"/>
              <w:rPr/>
            </w:pPr>
            <w:r>
              <w:rPr/>
              <w:t>​</w:t>
            </w:r>
          </w:p>
        </w:tc>
        <w:tc>
          <w:tcPr>
            <w:tcW w:w="24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52,000</w:t>
            </w:r>
          </w:p>
        </w:tc>
      </w:tr>
      <w:tr>
        <w:trPr/>
        <w:tc>
          <w:tcPr>
            <w:tcW w:w="41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working capital adjustments and holdbacks</w:t>
            </w:r>
          </w:p>
        </w:tc>
        <w:tc>
          <w:tcPr>
            <w:tcW w:w="346" w:type="dxa"/>
            <w:tcBorders/>
            <w:vAlign w:val="center"/>
          </w:tcPr>
          <w:p>
            <w:pPr>
              <w:pStyle w:val="TableContents"/>
              <w:bidi w:val="0"/>
              <w:spacing w:before="1" w:after="1"/>
              <w:ind w:left="0" w:right="0" w:hanging="0"/>
              <w:jc w:val="left"/>
              <w:rPr/>
            </w:pPr>
            <w:r>
              <w:rPr/>
              <w:t>​</w:t>
            </w:r>
          </w:p>
        </w:tc>
        <w:tc>
          <w:tcPr>
            <w:tcW w:w="245" w:type="dxa"/>
            <w:tcBorders/>
            <w:vAlign w:val="center"/>
          </w:tcPr>
          <w:p>
            <w:pPr>
              <w:pStyle w:val="TableContents"/>
              <w:bidi w:val="0"/>
              <w:spacing w:before="1" w:after="1"/>
              <w:ind w:left="0" w:right="0" w:hanging="0"/>
              <w:jc w:val="left"/>
              <w:rPr/>
            </w:pPr>
            <w:r>
              <w:rPr/>
              <w:t>​</w:t>
            </w:r>
          </w:p>
        </w:tc>
        <w:tc>
          <w:tcPr>
            <w:tcW w:w="91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1,228</w:t>
            </w:r>
          </w:p>
        </w:tc>
      </w:tr>
      <w:tr>
        <w:trPr/>
        <w:tc>
          <w:tcPr>
            <w:tcW w:w="41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1" w:after="1"/>
              <w:ind w:left="0" w:right="0" w:hanging="0"/>
              <w:jc w:val="left"/>
              <w:rPr/>
            </w:pPr>
            <w:r>
              <w:rPr/>
              <w:t>​</w:t>
            </w:r>
          </w:p>
        </w:tc>
        <w:tc>
          <w:tcPr>
            <w:tcW w:w="245" w:type="dxa"/>
            <w:tcBorders/>
            <w:shd w:fill="CCEEFF" w:val="clear"/>
            <w:vAlign w:val="center"/>
          </w:tcPr>
          <w:p>
            <w:pPr>
              <w:pStyle w:val="TableContents"/>
              <w:bidi w:val="0"/>
              <w:spacing w:before="1" w:after="1"/>
              <w:ind w:left="0" w:right="0" w:hanging="0"/>
              <w:jc w:val="left"/>
              <w:rPr/>
            </w:pPr>
            <w:r>
              <w:rPr/>
              <w:t>​</w:t>
            </w:r>
          </w:p>
        </w:tc>
        <w:tc>
          <w:tcPr>
            <w:tcW w:w="91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9,572</w:t>
            </w:r>
          </w:p>
        </w:tc>
      </w:tr>
      <w:tr>
        <w:trPr/>
        <w:tc>
          <w:tcPr>
            <w:tcW w:w="414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46" w:type="dxa"/>
            <w:tcBorders/>
            <w:vAlign w:val="center"/>
          </w:tcPr>
          <w:p>
            <w:pPr>
              <w:pStyle w:val="TableContents"/>
              <w:bidi w:val="0"/>
              <w:spacing w:before="1"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9,394</w:t>
            </w:r>
          </w:p>
        </w:tc>
      </w:tr>
      <w:tr>
        <w:trPr/>
        <w:tc>
          <w:tcPr>
            <w:tcW w:w="414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346" w:type="dxa"/>
            <w:tcBorders/>
            <w:shd w:fill="CCEEFF" w:val="clear"/>
            <w:vAlign w:val="center"/>
          </w:tcPr>
          <w:p>
            <w:pPr>
              <w:pStyle w:val="TableContents"/>
              <w:bidi w:val="0"/>
              <w:spacing w:before="1"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72,194</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amounts for the acquired assets recorded at their estimated fair value as of the acquisition date:</w:t>
      </w:r>
    </w:p>
    <w:p>
      <w:pPr>
        <w:pStyle w:val="TextBody"/>
        <w:bidi w:val="0"/>
        <w:spacing w:before="0" w:after="0"/>
        <w:ind w:left="0" w:right="0" w:hanging="0"/>
        <w:jc w:val="left"/>
        <w:rPr/>
      </w:pPr>
      <w:r>
        <w:rPr/>
        <w:t>​</w:t>
      </w:r>
    </w:p>
    <w:tbl>
      <w:tblPr>
        <w:tblW w:w="3497" w:type="dxa"/>
        <w:jc w:val="left"/>
        <w:tblInd w:w="0" w:type="dxa"/>
        <w:tblLayout w:type="fixed"/>
        <w:tblCellMar>
          <w:top w:w="0" w:type="dxa"/>
          <w:left w:w="0" w:type="dxa"/>
          <w:bottom w:w="0" w:type="dxa"/>
          <w:right w:w="0" w:type="dxa"/>
        </w:tblCellMar>
      </w:tblPr>
      <w:tblGrid>
        <w:gridCol w:w="1996"/>
        <w:gridCol w:w="346"/>
        <w:gridCol w:w="231"/>
        <w:gridCol w:w="924"/>
      </w:tblGrid>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46685" cy="175260"/>
                      <wp:effectExtent l="0" t="0" r="0" b="0"/>
                      <wp:wrapNone/>
                      <wp:docPr id="228" name="Frame22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86740" cy="175260"/>
                      <wp:effectExtent l="0" t="0" r="0" b="0"/>
                      <wp:wrapNone/>
                      <wp:docPr id="229" name="Frame229"/>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Burton</w:t>
            </w:r>
          </w:p>
        </w:tc>
      </w:tr>
      <w:tr>
        <w:trPr/>
        <w:tc>
          <w:tcPr>
            <w:tcW w:w="1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19,418</w:t>
            </w:r>
          </w:p>
        </w:tc>
      </w:tr>
      <w:tr>
        <w:trPr/>
        <w:tc>
          <w:tcPr>
            <w:tcW w:w="19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Non-current assets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(19,170)</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3,618</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28,948</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3,619</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3,618</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32,566</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acquired</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72,194</w:t>
            </w:r>
          </w:p>
        </w:tc>
      </w:tr>
    </w:tbl>
    <w:p>
      <w:pPr>
        <w:pStyle w:val="TextBody"/>
        <w:bidi w:val="0"/>
        <w:spacing w:before="0" w:after="0"/>
        <w:ind w:left="0" w:right="0" w:firstLine="720"/>
        <w:jc w:val="left"/>
        <w:rPr/>
      </w:pPr>
      <w:r>
        <w:rPr/>
        <w:t>​</w:t>
      </w:r>
    </w:p>
    <w:tbl>
      <w:tblPr>
        <w:tblW w:w="8451" w:type="dxa"/>
        <w:jc w:val="left"/>
        <w:tblInd w:w="0" w:type="dxa"/>
        <w:tblLayout w:type="fixed"/>
        <w:tblCellMar>
          <w:top w:w="28" w:type="dxa"/>
          <w:left w:w="28" w:type="dxa"/>
          <w:bottom w:w="28" w:type="dxa"/>
          <w:right w:w="28" w:type="dxa"/>
        </w:tblCellMar>
      </w:tblPr>
      <w:tblGrid>
        <w:gridCol w:w="124"/>
        <w:gridCol w:w="271"/>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8"/>
              </w:rPr>
            </w:pPr>
            <w:r>
              <w:rPr>
                <w:rFonts w:ascii="Times New Roman;Times;serif" w:hAnsi="Times New Roman;Times;serif"/>
                <w:b w:val="false"/>
                <w:i/>
                <w:sz w:val="18"/>
              </w:rPr>
              <w:t>Excluded from non-current assets are backlog, customer relationships, tradename, non-compete and goodwill.</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six months ended July 3, 2026, the Company did not make any adjustments to the consideration paid for Burton, and as a result, there were no adjustments to the purchase price allocation for the three months ended July 3, 2026.</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and six months ended July 3, 2026, there were $0.2 million in acquisition related costs associated with Burton included in other general and administrative expenses in the condensed consolidated statements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sz w:val="20"/>
        </w:rPr>
      </w:pPr>
      <w:bookmarkStart w:id="1614" w:name="Tc_BGR-RXOEQEu-N57HOKfUOA_17_0"/>
      <w:bookmarkStart w:id="1615" w:name="Tc_SUkZmXsmmUSf0buceZVGHw_16_0"/>
      <w:bookmarkStart w:id="1616" w:name="Tc_c-V4CPCuaEaECI70Zp4jVQ_15_0"/>
      <w:bookmarkStart w:id="1617" w:name="Tc_8nlfWrVi8U2FKWErGaKAyQ_13_11"/>
      <w:bookmarkStart w:id="1618" w:name="Tc_PfFntckZ_kqfMFrdfaHciQ_13_8"/>
      <w:bookmarkStart w:id="1619" w:name="Tc_5fKljZkFhUWsat3VT8qD5w_13_5"/>
      <w:bookmarkStart w:id="1620" w:name="Tc_znd9RTGwKkeLnCSV3938ww_13_2"/>
      <w:bookmarkStart w:id="1621" w:name="Tc_vVllLf-JlkGIVG3qa_NwBw_13_0"/>
      <w:bookmarkStart w:id="1622" w:name="Tc_JnU1t6BDJkefN249Z4DArA_12_11"/>
      <w:bookmarkStart w:id="1623" w:name="Tc_WVYxXdJCPkCfmYsTK8WDcg_12_8"/>
      <w:bookmarkStart w:id="1624" w:name="Tc_xpw4YzZErUy4TtWBN7DE8w_12_5"/>
      <w:bookmarkStart w:id="1625" w:name="Tc_A8tCzQvGLUq37eK8r88hmA_12_2"/>
      <w:bookmarkStart w:id="1626" w:name="Tc_P51A3q1XDk-EfZWOkokH1g_12_0"/>
      <w:bookmarkStart w:id="1627" w:name="Tc_usaVDtTx8E2jUWjPmSGgWg_11_0"/>
      <w:bookmarkStart w:id="1628" w:name="Tc_lFXQtqKgUUGR6WflYILoHw_9_11"/>
      <w:bookmarkStart w:id="1629" w:name="Tc_OIVvVoFviUSMpuNoGDOC6w_9_8"/>
      <w:bookmarkStart w:id="1630" w:name="Tc_Me804bD0qkOsrue9f7FnPw_9_5"/>
      <w:bookmarkStart w:id="1631" w:name="Tc_T-uFoCOILEynxUXxU7VcvA_9_2"/>
      <w:bookmarkStart w:id="1632" w:name="Tc_6W1_GsSU10ee1VXMOq0poA_9_0"/>
      <w:bookmarkStart w:id="1633" w:name="Tc_02PF0lkR6UaQyvz_hP0uYQ_8_11"/>
      <w:bookmarkStart w:id="1634" w:name="Tc_Ja3CB7VFa0aJbnpvQnfANg_8_8"/>
      <w:bookmarkStart w:id="1635" w:name="Tc_sYgWlpoDOke1KQJsikM1ig_8_5"/>
      <w:bookmarkStart w:id="1636" w:name="Tc_Q6MGOUPsDE-1tvcXC3U1Ow_8_2"/>
      <w:bookmarkStart w:id="1637" w:name="Tc_oYyETaCSGUuM5VweT50Z7Q_8_0"/>
      <w:bookmarkStart w:id="1638" w:name="Tc_Vk7gb78ETEmAKv3EAmpfuw_6_11"/>
      <w:bookmarkStart w:id="1639" w:name="Tc_j8jeS0sAL0a021WJU67lzw_6_8"/>
      <w:bookmarkStart w:id="1640" w:name="Tc_ISXAwmEaa0WjB8YZvrmpkg_6_5"/>
      <w:bookmarkStart w:id="1641" w:name="Tc_PshIb6-O10m8JHNFKTvs4g_6_2"/>
      <w:bookmarkStart w:id="1642" w:name="Tc_OyRGnXPcZ0OSbYJYTdhiAg_6_0"/>
      <w:bookmarkStart w:id="1643" w:name="Tc_8Pgm503z0ke2oaFwUhAoqw_5_2"/>
      <w:bookmarkStart w:id="1644" w:name="Tc_3I9zM-am80yzsBd0krZDMg_4_2"/>
      <w:bookmarkStart w:id="1645" w:name="Tc_IWLndA9iNkegFP230-x3AA_3_11"/>
      <w:bookmarkStart w:id="1646" w:name="Tc_FgWqAI70K06-7CUB7NR47A_3_8"/>
      <w:bookmarkStart w:id="1647" w:name="Tc_yyPBNtd-Q02TUjtqk3bGUw_3_5"/>
      <w:bookmarkStart w:id="1648" w:name="Tc_8iG3oS4MnEam9nohQYmhvw_3_2"/>
      <w:bookmarkStart w:id="1649" w:name="Tc_dfkKnr482ka-xYt-CGhTXw_2_11"/>
      <w:bookmarkStart w:id="1650" w:name="Tc_5eN2OGcqYUmRucfqJMPFJQ_2_8"/>
      <w:bookmarkStart w:id="1651" w:name="Tc_PCVzfNdXo0OehMMpHToMrA_2_5"/>
      <w:bookmarkStart w:id="1652" w:name="Tc_Krv4hvpnokaNO-QRQ04vpw_2_2"/>
      <w:bookmarkStart w:id="1653" w:name="Tc_yVnhxpqC-0CzxdYhoP9-iA_1_8"/>
      <w:bookmarkStart w:id="1654" w:name="Tc_3trPOBlKD0q7z6M4wjt-Bw_1_2"/>
      <w:bookmarkStart w:id="1655" w:name="_4a169f2f_474a_4994_9461_3b83a20b8e66"/>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r>
        <w:rPr>
          <w:rFonts w:ascii="Times New Roman;Times;serif" w:hAnsi="Times New Roman;Times;serif"/>
          <w:sz w:val="20"/>
        </w:rPr>
        <w:t>comprehensive income. During the three and six months ended July 3, 2026, the acquisition of Burton contributed $27.9 million in revenue and contributed $2.6 million in income from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unaudited pro forma financial information for the three and six months ended July 3, 2026 and July 4, 2025 assumes that the acquisition of Burton occurred on the first day of the year prior to the year of acquisition:</w:t>
      </w:r>
    </w:p>
    <w:p>
      <w:pPr>
        <w:pStyle w:val="TextBody"/>
        <w:bidi w:val="0"/>
        <w:spacing w:before="0" w:after="0"/>
        <w:ind w:left="0" w:right="0" w:hanging="0"/>
        <w:jc w:val="left"/>
        <w:rPr/>
      </w:pPr>
      <w:r>
        <w:rPr/>
        <w:t>​</w:t>
      </w:r>
    </w:p>
    <w:tbl>
      <w:tblPr>
        <w:tblW w:w="8788" w:type="dxa"/>
        <w:jc w:val="left"/>
        <w:tblInd w:w="0" w:type="dxa"/>
        <w:tblLayout w:type="fixed"/>
        <w:tblCellMar>
          <w:top w:w="0" w:type="dxa"/>
          <w:left w:w="0" w:type="dxa"/>
          <w:bottom w:w="0" w:type="dxa"/>
          <w:right w:w="0" w:type="dxa"/>
        </w:tblCellMar>
      </w:tblPr>
      <w:tblGrid>
        <w:gridCol w:w="3391"/>
        <w:gridCol w:w="346"/>
        <w:gridCol w:w="211"/>
        <w:gridCol w:w="781"/>
        <w:gridCol w:w="346"/>
        <w:gridCol w:w="211"/>
        <w:gridCol w:w="781"/>
        <w:gridCol w:w="346"/>
        <w:gridCol w:w="211"/>
        <w:gridCol w:w="781"/>
        <w:gridCol w:w="346"/>
        <w:gridCol w:w="211"/>
        <w:gridCol w:w="82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53285" cy="175260"/>
                      <wp:effectExtent l="0" t="0" r="0" b="0"/>
                      <wp:wrapNone/>
                      <wp:docPr id="230" name="Frame230"/>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95935" cy="175260"/>
                      <wp:effectExtent l="0" t="0" r="0" b="0"/>
                      <wp:wrapNone/>
                      <wp:docPr id="233" name="Frame2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95935" cy="175260"/>
                      <wp:effectExtent l="0" t="0" r="0" b="0"/>
                      <wp:wrapNone/>
                      <wp:docPr id="236" name="Frame2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95935" cy="175260"/>
                      <wp:effectExtent l="0" t="0" r="0" b="0"/>
                      <wp:wrapNone/>
                      <wp:docPr id="239" name="Frame2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24510" cy="175260"/>
                      <wp:effectExtent l="0" t="0" r="0" b="0"/>
                      <wp:wrapNone/>
                      <wp:docPr id="242" name="Frame24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51"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data)</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51"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(Unaudited)</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 forma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377,395</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 forma income (loss) from operations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22,628</w:t>
            </w:r>
          </w:p>
        </w:tc>
      </w:tr>
      <w:tr>
        <w:trPr/>
        <w:tc>
          <w:tcPr>
            <w:tcW w:w="33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Pro forma net income (loss)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13,235</w:t>
            </w:r>
          </w:p>
        </w:tc>
      </w:tr>
      <w:tr>
        <w:trPr/>
        <w:tc>
          <w:tcPr>
            <w:tcW w:w="33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0.93</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0.90</w:t>
            </w:r>
          </w:p>
        </w:tc>
      </w:tr>
      <w:tr>
        <w:trPr/>
        <w:tc>
          <w:tcPr>
            <w:tcW w:w="33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14,298</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14,778</w:t>
            </w:r>
          </w:p>
        </w:tc>
      </w:tr>
    </w:tbl>
    <w:p>
      <w:pPr>
        <w:pStyle w:val="TextBody"/>
        <w:bidi w:val="0"/>
        <w:spacing w:before="0" w:after="0"/>
        <w:ind w:left="0" w:right="0" w:firstLine="720"/>
        <w:jc w:val="left"/>
        <w:rPr/>
      </w:pPr>
      <w:r>
        <w:rPr/>
        <w:t>​</w:t>
      </w:r>
    </w:p>
    <w:tbl>
      <w:tblPr>
        <w:tblW w:w="8121" w:type="dxa"/>
        <w:jc w:val="left"/>
        <w:tblInd w:w="0" w:type="dxa"/>
        <w:tblLayout w:type="fixed"/>
        <w:tblCellMar>
          <w:top w:w="28" w:type="dxa"/>
          <w:left w:w="28" w:type="dxa"/>
          <w:bottom w:w="28" w:type="dxa"/>
          <w:right w:w="28" w:type="dxa"/>
        </w:tblCellMar>
      </w:tblPr>
      <w:tblGrid>
        <w:gridCol w:w="124"/>
        <w:gridCol w:w="271"/>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8"/>
              </w:rPr>
            </w:pPr>
            <w:r>
              <w:rPr>
                <w:rFonts w:ascii="Times New Roman;Times;serif" w:hAnsi="Times New Roman;Times;serif"/>
                <w:b w:val="false"/>
                <w:i/>
                <w:sz w:val="18"/>
              </w:rPr>
              <w:t>Adjustments to pro forma net income included income from operations, amortization and interest expense.</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pro forma supplemental information does not purport to be indicative of what the Company’s operating results would have been had this acquisition occurred on the first day of the year prior to the year of acquisition and may not be indicative of future operating results.</w:t>
      </w:r>
    </w:p>
    <w:p>
      <w:pPr>
        <w:pStyle w:val="TextBody"/>
        <w:bidi w:val="0"/>
        <w:spacing w:before="0" w:after="200"/>
        <w:ind w:left="0" w:right="0" w:firstLine="720"/>
        <w:jc w:val="left"/>
        <w:rPr>
          <w:rFonts w:ascii="Times New Roman;Times;serif" w:hAnsi="Times New Roman;Times;serif"/>
          <w:b/>
          <w:i/>
          <w:sz w:val="20"/>
        </w:rPr>
      </w:pPr>
      <w:r>
        <w:rPr>
          <w:rFonts w:ascii="Times New Roman;Times;serif" w:hAnsi="Times New Roman;Times;serif"/>
          <w:b/>
          <w:i/>
          <w:sz w:val="20"/>
        </w:rPr>
        <w:t>Acquisition of Compass Municipal Advisors, LLC.</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On January 2, 2026, (the “Compass Closing Date”), the Company acquired all the equity of Compass Municipal Advisors, LLC. (“Compass”). Compass is a full service municipal advisory firm providing a broad range of financial services to municipalities across the Southeast. Compass’ financial information is included</w:t>
      </w:r>
      <w:r>
        <w:rPr>
          <w:rFonts w:ascii="Times New Roman;Times;serif" w:hAnsi="Times New Roman;Times;serif"/>
          <w:sz w:val="24"/>
        </w:rPr>
        <w:t xml:space="preserve"> </w:t>
      </w:r>
      <w:r>
        <w:rPr>
          <w:rFonts w:ascii="Times New Roman;Times;serif" w:hAnsi="Times New Roman;Times;serif"/>
          <w:sz w:val="20"/>
        </w:rPr>
        <w:t xml:space="preserve">within the Company’s </w:t>
      </w:r>
      <w:r>
        <w:rPr>
          <w:rFonts w:ascii="Times New Roman;Times;serif" w:hAnsi="Times New Roman;Times;serif"/>
          <w:b w:val="false"/>
          <w:i w:val="false"/>
          <w:caps w:val="false"/>
          <w:smallCaps w:val="false"/>
          <w:sz w:val="20"/>
        </w:rPr>
        <w:t>Engineering and Consulting</w:t>
      </w:r>
      <w:r>
        <w:rPr>
          <w:rFonts w:ascii="Times New Roman;Times;serif" w:hAnsi="Times New Roman;Times;serif"/>
          <w:sz w:val="24"/>
        </w:rPr>
        <w:t xml:space="preserve"> </w:t>
      </w:r>
      <w:r>
        <w:rPr>
          <w:rFonts w:ascii="Times New Roman;Times;serif" w:hAnsi="Times New Roman;Times;serif"/>
          <w:sz w:val="20"/>
        </w:rPr>
        <w:t>segment beginning in the last day of the Company’s fourth quarter of fiscal year 2025.</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The Company agreed to pay (i) $3.5</w:t>
      </w:r>
      <w:r>
        <w:rPr>
          <w:rFonts w:ascii="Times New Roman;Times;serif" w:hAnsi="Times New Roman;Times;serif"/>
          <w:sz w:val="24"/>
        </w:rPr>
        <w:t> </w:t>
      </w:r>
      <w:r>
        <w:rPr>
          <w:rFonts w:ascii="Times New Roman;Times;serif" w:hAnsi="Times New Roman;Times;serif"/>
          <w:sz w:val="20"/>
        </w:rPr>
        <w:t>million in cash on the Compass Closing Date (subject to holdbacks and adjustments) and (ii) up to $1.0</w:t>
      </w:r>
      <w:r>
        <w:rPr>
          <w:rFonts w:ascii="Times New Roman;Times;serif" w:hAnsi="Times New Roman;Times;serif"/>
          <w:sz w:val="24"/>
        </w:rPr>
        <w:t> </w:t>
      </w:r>
      <w:r>
        <w:rPr>
          <w:rFonts w:ascii="Times New Roman;Times;serif" w:hAnsi="Times New Roman;Times;serif"/>
          <w:sz w:val="20"/>
        </w:rPr>
        <w:t>million in cash if Compass exceeds certain financial targets during the one year</w:t>
      </w:r>
      <w:r>
        <w:rPr>
          <w:rFonts w:ascii="Times New Roman;Times;serif" w:hAnsi="Times New Roman;Times;serif"/>
          <w:sz w:val="24"/>
        </w:rPr>
        <w:t> </w:t>
      </w:r>
      <w:r>
        <w:rPr>
          <w:rFonts w:ascii="Times New Roman;Times;serif" w:hAnsi="Times New Roman;Times;serif"/>
          <w:sz w:val="20"/>
        </w:rPr>
        <w:t>after the Compass Closing Date; for a potential maximum purchase price of $4.5</w:t>
      </w:r>
      <w:r>
        <w:rPr>
          <w:rFonts w:ascii="Times New Roman;Times;serif" w:hAnsi="Times New Roman;Times;serif"/>
          <w:sz w:val="24"/>
        </w:rPr>
        <w:t> </w:t>
      </w:r>
      <w:r>
        <w:rPr>
          <w:rFonts w:ascii="Times New Roman;Times;serif" w:hAnsi="Times New Roman;Times;serif"/>
          <w:sz w:val="20"/>
        </w:rPr>
        <w:t>million. The Company used cash on hand to fund the initial purchase price on the Compass Closing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Compass’ assembled workforce. The Company estimates that the entire goodwill balance resulting from the acquisition will be tax deductible.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July 3, 2026, the purchase price allocation is preliminary and subject to change within the measurement period (not to exceed twelve months following the Compass Closing Date) and is primarily comprised of $2.0 million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customer relationships, and $2.0 million in goodwill. The areas of the purchase price allocation that are not yet finalized relate primarily to contingent consideration valuation, intangible assets, and 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July 3, 2026, Compass’ contribution to revenue and net income were not material to the Company’s consolidated financial statements. In addition, the proforma financial information has not been presented because the impact of the acquisition was not material to the condensed financial statements.</w:t>
      </w:r>
    </w:p>
    <w:p>
      <w:pPr>
        <w:pStyle w:val="TextBody"/>
        <w:bidi w:val="0"/>
        <w:spacing w:before="100" w:after="10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bidi w:val="0"/>
        <w:spacing w:lineRule="atLeast" w:line="220" w:before="280" w:after="240"/>
        <w:ind w:left="0" w:right="0" w:hanging="0"/>
        <w:jc w:val="left"/>
        <w:rPr>
          <w:rFonts w:ascii="Times New Roman;Times;serif" w:hAnsi="Times New Roman;Times;serif"/>
          <w:b/>
          <w:sz w:val="20"/>
        </w:rPr>
      </w:pPr>
      <w:r>
        <w:rPr>
          <w:rFonts w:ascii="Times New Roman;Times;serif" w:hAnsi="Times New Roman;Times;serif"/>
          <w:b/>
          <w:sz w:val="20"/>
        </w:rPr>
        <w:t>13. CONTINGENCIES</w:t>
      </w:r>
    </w:p>
    <w:p>
      <w:pPr>
        <w:pStyle w:val="TextBody"/>
        <w:pBdr/>
        <w:bidi w:val="0"/>
        <w:spacing w:lineRule="atLeast" w:line="220" w:before="0" w:after="240"/>
        <w:ind w:left="720" w:right="0" w:hanging="360"/>
        <w:jc w:val="left"/>
        <w:rPr>
          <w:rFonts w:ascii="Times New Roman;Times;serif" w:hAnsi="Times New Roman;Times;serif"/>
          <w:b/>
          <w:i/>
          <w:sz w:val="20"/>
        </w:rPr>
      </w:pPr>
      <w:r>
        <w:rPr>
          <w:rFonts w:ascii="Times New Roman;Times;serif" w:hAnsi="Times New Roman;Times;serif"/>
          <w:b/>
          <w:i/>
          <w:sz w:val="20"/>
        </w:rPr>
        <w:t>Claims and Lawsuits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The Company is subject to claims and lawsuits from time to time, including those alleging professional errors or omissions that arise in the ordinary course of business against firms that operate in the engineering and consulting professions. The Company carries professional liability insurance, subject to certain deductibles and policy limits, for such claims as they arise and may from time to time establish reserves for litigation that is considered probable of a loss.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the Company accrues an undiscounted liability for those contingencies where the incurrence of a loss is probable and the amount can be reasonably estimated, and discloses the amount accrued and an estimate of any reasonably possible loss in excess of the amount accrued, if such disclosure is necessary for the Company’s financial statements not to be misleading. The Company does not accrue liabilities when the likelihood that the liability has been incurred is probable but the amount cannot be reasonably estimated, or when the liability is believed to be only reasonably possible or remote.</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Because litigation outcomes are inherently unpredictable, the Company’s evaluation of legal proceedings often involves a series of complex assessments by management about future events and can rely heavily on estimates and assumptions. If the assessments indicate that loss contingencies that could be material to any one of the Company’s financial statements are not probable, but are reasonably possible, or are probable, but cannot be estimated, then the Company will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the Company’s earnings in any given reporting period. However, in the opinion of the Company’s management, after consulting with legal counsel, and taking into account insurance coverage, the ultimate liability related to current outstanding claims and lawsuits is not expected to have a material adverse effect on the Company’s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WILLDAN GROUP, INC. AND SUBSIDIARIES</w:t>
        <w:br/>
        <w:t>NOTES TO CONDENSED CONSOLIDATED FINANCIAL STATEMENTS – (Continued)</w:t>
        <w:br/>
        <w:t>(Unaudited)</w:t>
      </w:r>
    </w:p>
    <w:p>
      <w:pPr>
        <w:pStyle w:val="TextBody"/>
        <w:pBdr/>
        <w:bidi w:val="0"/>
        <w:spacing w:lineRule="atLeast" w:line="220" w:before="0" w:after="0"/>
        <w:ind w:left="0" w:right="0" w:hanging="0"/>
        <w:jc w:val="left"/>
        <w:rPr>
          <w:rFonts w:ascii="Times New Roman;Times;serif" w:hAnsi="Times New Roman;Times;serif"/>
          <w:b/>
          <w:sz w:val="20"/>
        </w:rPr>
      </w:pPr>
      <w:r>
        <w:rPr>
          <w:rFonts w:ascii="Times New Roman;Times;serif" w:hAnsi="Times New Roman;Times;serif"/>
          <w:b/>
          <w:sz w:val="20"/>
        </w:rPr>
        <w:t>14. SUBSEQUENT EVENTS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ASC Topic 855, Subsequent Events, the Company evaluates subsequent events up until the date the Condensed Consolidated Financial Statements are issued. As of August 6, 2026, there were no subsequent events required to be reported.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60"/>
        <w:ind w:left="72" w:right="0" w:hanging="828"/>
        <w:jc w:val="left"/>
        <w:rPr>
          <w:rFonts w:ascii="Times New Roman;Times;serif" w:hAnsi="Times New Roman;Times;serif"/>
          <w:sz w:val="20"/>
        </w:rPr>
      </w:pPr>
      <w:bookmarkStart w:id="1656" w:name="ITEM7MANAGEMENTSDISCUSSION_533905"/>
      <w:bookmarkStart w:id="1657" w:name="_4d9ef72b_2c70_4f44_9130_da0feb61bc1e"/>
      <w:bookmarkEnd w:id="1656"/>
      <w:bookmarkEnd w:id="1657"/>
      <w:r>
        <w:rPr>
          <w:rFonts w:ascii="Times New Roman;Times;serif" w:hAnsi="Times New Roman;Times;serif"/>
          <w:b/>
          <w:sz w:val="20"/>
        </w:rPr>
        <w:t>ITEM 2.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a technical services company focused on energy and infrastructure solutions. Our solutions include energy planning and analytics, consulting, software, public finance, engineering, and program implementation. We serve utilities, state and local governments, and commercial customers in the United States and Canada.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broad portfolio of services operates within two financial reporting segments: (1) Energy and (2) Engineering and Consulting. The interfaces and synergies between these segments are important elements of our strategy to design and deliver trusted, comprehensive, innovative, and proven solutions and services for our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Energy segment addresses power grid resiliency, efficiency, and reliability. Services include in-depth energy planning studies, economic analysis, modeling and forecasting software, decarbonization, program design and implementation, energy efficiency, turnkey energy and infrastructure projects, grid modernization, and utility-scale electrical engineering and construction management. Clients in this segment are investor-owned and municipal utilities, commercial clients including retailers, pharmaceuticals, industrial concerns and hyperscalers, and state and local governments, school districts and government agencies.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Engineering &amp; Consulting segment addresses sustainability and growth in civil infrastructure. We often serve as a municipality’s engineering department. Services include municipal and civil engineering, building and safety, code enforcement, fire plan and inspection, city engineering, construction management, design engineering, planning, and financial and municipal advisory services. Clients in this segment are state and local governments, school districts, and utility districts.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were founded in 1964 and are headquartered in Anaheim, California.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60"/>
        <w:ind w:left="0" w:right="0" w:firstLine="180"/>
        <w:jc w:val="left"/>
        <w:rPr>
          <w:rFonts w:ascii="Times New Roman;Times;serif" w:hAnsi="Times New Roman;Times;serif"/>
          <w:i/>
          <w:sz w:val="20"/>
        </w:rPr>
      </w:pPr>
      <w:r>
        <w:rPr>
          <w:rFonts w:ascii="Times New Roman;Times;serif" w:hAnsi="Times New Roman;Times;serif"/>
          <w:i/>
          <w:sz w:val="20"/>
        </w:rPr>
        <w:t>Second Quarter Overview</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for the periods indicated, certain information derived from our condensed consolidated statements of comprehensive income</w:t>
      </w:r>
      <w:r>
        <w:rPr>
          <w:rFonts w:ascii="Times New Roman;Times;serif" w:hAnsi="Times New Roman;Times;serif"/>
          <w:sz w:val="15"/>
        </w:rPr>
        <w:t>(1)</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2304"/>
        <w:gridCol w:w="406"/>
        <w:gridCol w:w="196"/>
        <w:gridCol w:w="691"/>
        <w:gridCol w:w="406"/>
        <w:gridCol w:w="529"/>
        <w:gridCol w:w="241"/>
        <w:gridCol w:w="406"/>
        <w:gridCol w:w="196"/>
        <w:gridCol w:w="691"/>
        <w:gridCol w:w="406"/>
        <w:gridCol w:w="529"/>
        <w:gridCol w:w="241"/>
        <w:gridCol w:w="406"/>
        <w:gridCol w:w="196"/>
        <w:gridCol w:w="796"/>
        <w:gridCol w:w="406"/>
        <w:gridCol w:w="871"/>
        <w:gridCol w:w="288"/>
      </w:tblGrid>
      <w:tr>
        <w:trPr/>
        <w:tc>
          <w:tcPr>
            <w:tcW w:w="2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463040" cy="175260"/>
                      <wp:effectExtent l="0" t="0" r="0" b="0"/>
                      <wp:wrapNone/>
                      <wp:docPr id="243" name="Frame243"/>
                      <a:graphic xmlns:a="http://schemas.openxmlformats.org/drawingml/2006/main">
                        <a:graphicData uri="http://schemas.microsoft.com/office/word/2010/wordprocessingShape">
                          <wps:wsp>
                            <wps:cNvSpPr txBox="1"/>
                            <wps:spPr>
                              <a:xfrm>
                                <a:off x="0" y="0"/>
                                <a:ext cx="146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57810" cy="175260"/>
                      <wp:effectExtent l="0" t="0" r="0" b="0"/>
                      <wp:wrapNone/>
                      <wp:docPr id="244" name="Frame24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24460" cy="175260"/>
                      <wp:effectExtent l="0" t="0" r="0" b="0"/>
                      <wp:wrapNone/>
                      <wp:docPr id="245" name="Frame2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38785" cy="175260"/>
                      <wp:effectExtent l="0" t="0" r="0" b="0"/>
                      <wp:wrapNone/>
                      <wp:docPr id="246" name="Frame2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57810" cy="175260"/>
                      <wp:effectExtent l="0" t="0" r="0" b="0"/>
                      <wp:wrapNone/>
                      <wp:docPr id="247" name="Frame24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35915" cy="175260"/>
                      <wp:effectExtent l="0" t="0" r="0" b="0"/>
                      <wp:wrapNone/>
                      <wp:docPr id="248" name="Frame248"/>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53035" cy="175260"/>
                      <wp:effectExtent l="0" t="0" r="0" b="0"/>
                      <wp:wrapNone/>
                      <wp:docPr id="249" name="Frame24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57810" cy="175260"/>
                      <wp:effectExtent l="0" t="0" r="0" b="0"/>
                      <wp:wrapNone/>
                      <wp:docPr id="250" name="Frame25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24460" cy="175260"/>
                      <wp:effectExtent l="0" t="0" r="0" b="0"/>
                      <wp:wrapNone/>
                      <wp:docPr id="251" name="Frame2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38785" cy="175260"/>
                      <wp:effectExtent l="0" t="0" r="0" b="0"/>
                      <wp:wrapNone/>
                      <wp:docPr id="252" name="Frame2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57810" cy="175260"/>
                      <wp:effectExtent l="0" t="0" r="0" b="0"/>
                      <wp:wrapNone/>
                      <wp:docPr id="253" name="Frame25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35915" cy="175260"/>
                      <wp:effectExtent l="0" t="0" r="0" b="0"/>
                      <wp:wrapNone/>
                      <wp:docPr id="254" name="Frame254"/>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53035" cy="175260"/>
                      <wp:effectExtent l="0" t="0" r="0" b="0"/>
                      <wp:wrapNone/>
                      <wp:docPr id="255" name="Frame25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57810" cy="175260"/>
                      <wp:effectExtent l="0" t="0" r="0" b="0"/>
                      <wp:wrapNone/>
                      <wp:docPr id="256" name="Frame25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24460" cy="175260"/>
                      <wp:effectExtent l="0" t="0" r="0" b="0"/>
                      <wp:wrapNone/>
                      <wp:docPr id="257" name="Frame2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05460" cy="175260"/>
                      <wp:effectExtent l="0" t="0" r="0" b="0"/>
                      <wp:wrapNone/>
                      <wp:docPr id="258" name="Frame25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57810" cy="175260"/>
                      <wp:effectExtent l="0" t="0" r="0" b="0"/>
                      <wp:wrapNone/>
                      <wp:docPr id="259" name="Frame25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553085" cy="175260"/>
                      <wp:effectExtent l="0" t="0" r="0" b="0"/>
                      <wp:wrapNone/>
                      <wp:docPr id="260" name="Frame26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82880" cy="175260"/>
                      <wp:effectExtent l="0" t="0" r="0" b="0"/>
                      <wp:wrapNone/>
                      <wp:docPr id="261" name="Frame261"/>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207"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88" w:type="dxa"/>
            <w:tcBorders/>
            <w:vAlign w:val="center"/>
          </w:tcPr>
          <w:p>
            <w:pPr>
              <w:pStyle w:val="TableContents"/>
              <w:bidi w:val="0"/>
              <w:spacing w:before="0" w:after="0"/>
              <w:ind w:left="0" w:right="0" w:hanging="0"/>
              <w:jc w:val="center"/>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406" w:type="dxa"/>
            <w:tcBorders/>
            <w:vAlign w:val="center"/>
          </w:tcPr>
          <w:p>
            <w:pPr>
              <w:pStyle w:val="TableContents"/>
              <w:bidi w:val="0"/>
              <w:spacing w:before="0" w:after="0"/>
              <w:ind w:left="0" w:right="0" w:hanging="0"/>
              <w:jc w:val="center"/>
              <w:rPr/>
            </w:pPr>
            <w:r>
              <w:rPr/>
              <w:t>​</w:t>
            </w:r>
          </w:p>
        </w:tc>
        <w:tc>
          <w:tcPr>
            <w:tcW w:w="20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4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 ​ ​ ​</w:t>
            </w:r>
          </w:p>
        </w:tc>
        <w:tc>
          <w:tcPr>
            <w:tcW w:w="20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6" w:type="dxa"/>
            <w:tcBorders/>
            <w:vAlign w:val="center"/>
          </w:tcPr>
          <w:p>
            <w:pPr>
              <w:pStyle w:val="TableContents"/>
              <w:bidi w:val="0"/>
              <w:spacing w:before="0" w:after="0"/>
              <w:ind w:left="0" w:right="0" w:hanging="0"/>
              <w:jc w:val="center"/>
              <w:rPr/>
            </w:pPr>
            <w:r>
              <w:rPr/>
              <w:t>​</w:t>
            </w:r>
          </w:p>
        </w:tc>
        <w:tc>
          <w:tcPr>
            <w:tcW w:w="20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40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8" w:type="dxa"/>
            <w:tcBorders/>
            <w:vAlign w:val="center"/>
          </w:tcPr>
          <w:p>
            <w:pPr>
              <w:pStyle w:val="TableContents"/>
              <w:bidi w:val="0"/>
              <w:spacing w:before="0" w:after="0"/>
              <w:ind w:left="0" w:right="0" w:hanging="0"/>
              <w:jc w:val="center"/>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207"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c>
          <w:tcPr>
            <w:tcW w:w="288" w:type="dxa"/>
            <w:tcBorders/>
            <w:vAlign w:val="center"/>
          </w:tcPr>
          <w:p>
            <w:pPr>
              <w:pStyle w:val="TableContents"/>
              <w:bidi w:val="0"/>
              <w:spacing w:before="0" w:after="0"/>
              <w:ind w:left="0" w:right="0" w:hanging="0"/>
              <w:jc w:val="center"/>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529"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529"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231,028</w:t>
            </w:r>
          </w:p>
        </w:tc>
        <w:tc>
          <w:tcPr>
            <w:tcW w:w="406" w:type="dxa"/>
            <w:tcBorders/>
            <w:shd w:fill="CCEEFF" w:val="clear"/>
            <w:vAlign w:val="center"/>
          </w:tcPr>
          <w:p>
            <w:pPr>
              <w:pStyle w:val="TableContents"/>
              <w:bidi w:val="0"/>
              <w:spacing w:before="0" w:after="0"/>
              <w:ind w:left="0" w:right="0" w:hanging="0"/>
              <w:jc w:val="right"/>
              <w:rPr/>
            </w:pPr>
            <w:r>
              <w:rPr/>
              <w:t>  ​ ​ ​ ​</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6" w:type="dxa"/>
            <w:tcBorders/>
            <w:shd w:fill="CCEEFF" w:val="clear"/>
            <w:vAlign w:val="center"/>
          </w:tcPr>
          <w:p>
            <w:pPr>
              <w:pStyle w:val="TableContents"/>
              <w:bidi w:val="0"/>
              <w:spacing w:before="0" w:after="0"/>
              <w:ind w:left="0" w:right="0" w:hanging="0"/>
              <w:jc w:val="right"/>
              <w:rPr/>
            </w:pPr>
            <w:r>
              <w:rPr/>
              <w:t>  ​ ​ ​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c>
          <w:tcPr>
            <w:tcW w:w="406" w:type="dxa"/>
            <w:tcBorders/>
            <w:shd w:fill="CCEEFF" w:val="clear"/>
            <w:vAlign w:val="center"/>
          </w:tcPr>
          <w:p>
            <w:pPr>
              <w:pStyle w:val="TableContents"/>
              <w:bidi w:val="0"/>
              <w:spacing w:before="0" w:after="0"/>
              <w:ind w:left="0" w:right="0" w:hanging="0"/>
              <w:jc w:val="right"/>
              <w:rPr/>
            </w:pPr>
            <w:r>
              <w:rPr/>
              <w:t>  ​ ​ ​ ​</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06" w:type="dxa"/>
            <w:tcBorders/>
            <w:shd w:fill="CCEEFF" w:val="clear"/>
            <w:vAlign w:val="center"/>
          </w:tcPr>
          <w:p>
            <w:pPr>
              <w:pStyle w:val="TableContents"/>
              <w:bidi w:val="0"/>
              <w:spacing w:before="0" w:after="0"/>
              <w:ind w:left="0" w:right="0" w:hanging="0"/>
              <w:jc w:val="right"/>
              <w:rPr/>
            </w:pPr>
            <w:r>
              <w:rPr/>
              <w:t>  ​ ​ ​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57,555</w:t>
            </w:r>
          </w:p>
        </w:tc>
        <w:tc>
          <w:tcPr>
            <w:tcW w:w="406" w:type="dxa"/>
            <w:tcBorders/>
            <w:shd w:fill="CCEEFF" w:val="clear"/>
            <w:vAlign w:val="center"/>
          </w:tcPr>
          <w:p>
            <w:pPr>
              <w:pStyle w:val="TableContents"/>
              <w:bidi w:val="0"/>
              <w:spacing w:before="0" w:after="0"/>
              <w:ind w:left="0" w:right="0" w:hanging="0"/>
              <w:jc w:val="right"/>
              <w:rPr/>
            </w:pPr>
            <w:r>
              <w:rPr/>
              <w:t>  ​ ​ ​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33.2 </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29,788</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12.9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26,643</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15.4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3,145</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11.8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113,786</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49.3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78,505</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45.3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35,281</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44.9 </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143,574</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62.1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105,148</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60.6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38,426</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36.5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87,454</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37.9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68,325</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39.4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19,129</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28.0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40,467</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17.5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32,576</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18.8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7,891</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24.2 </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facility related</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2,535</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1.1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2,369</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7.0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4,811</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3,182</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1,629</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51.2 </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6,971</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5,504</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26.7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12,936</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5.6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12,878</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7.4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0.5 </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67,720</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29.3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56,509</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32.6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11,211</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19.8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19,734</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8.5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11,816</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6.8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7,918</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(1,086)</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(2,186)</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1,100</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(50.3)</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439</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0.3 </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(1,635)</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988</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19,087</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8.3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10,181</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5.9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8,906</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87.5</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(5,258)</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(5,255)</w:t>
            </w:r>
          </w:p>
        </w:tc>
        <w:tc>
          <w:tcPr>
            <w:tcW w:w="406" w:type="dxa"/>
            <w:tcBorders/>
            <w:shd w:fill="CCEEFF" w:val="cle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241"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0.1 </w:t>
            </w:r>
          </w:p>
        </w:tc>
        <w:tc>
          <w:tcPr>
            <w:tcW w:w="288" w:type="dxa"/>
            <w:tcBorders/>
            <w:shd w:fill="CCEEFF" w:val="clear"/>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24,345</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10.5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15,436</w:t>
            </w:r>
          </w:p>
        </w:tc>
        <w:tc>
          <w:tcPr>
            <w:tcW w:w="406" w:type="dxa"/>
            <w:tcBorders/>
            <w:vAlign w:val="center"/>
          </w:tcPr>
          <w:p>
            <w:pPr>
              <w:pStyle w:val="TableContents"/>
              <w:bidi w:val="0"/>
              <w:spacing w:before="0" w:after="0"/>
              <w:ind w:left="0" w:right="0" w:hanging="0"/>
              <w:jc w:val="left"/>
              <w:rPr/>
            </w:pPr>
            <w:r>
              <w:rPr/>
              <w:t>​</w:t>
            </w:r>
          </w:p>
        </w:tc>
        <w:tc>
          <w:tcPr>
            <w:tcW w:w="5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8.9 </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8,909</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w:t>
            </w:r>
          </w:p>
        </w:tc>
        <w:tc>
          <w:tcPr>
            <w:tcW w:w="288" w:type="dxa"/>
            <w:tcBorders/>
            <w:vAlign w:val="center"/>
          </w:tcPr>
          <w:p>
            <w:pPr>
              <w:pStyle w:val="TableContents"/>
              <w:bidi w:val="0"/>
              <w:spacing w:before="0" w:after="0"/>
              <w:ind w:left="0" w:right="0" w:hanging="0"/>
              <w:jc w:val="left"/>
              <w:rPr/>
            </w:pPr>
            <w:r>
              <w:rPr/>
              <w:t>​</w:t>
            </w:r>
          </w:p>
        </w:tc>
      </w:tr>
      <w:tr>
        <w:trPr/>
        <w:tc>
          <w:tcPr>
            <w:tcW w:w="230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r>
    </w:tbl>
    <w:tbl>
      <w:tblPr>
        <w:tblW w:w="7262" w:type="dxa"/>
        <w:jc w:val="left"/>
        <w:tblInd w:w="0" w:type="dxa"/>
        <w:tblLayout w:type="fixed"/>
        <w:tblCellMar>
          <w:top w:w="0" w:type="dxa"/>
          <w:left w:w="0" w:type="dxa"/>
          <w:bottom w:w="0" w:type="dxa"/>
          <w:right w:w="0" w:type="dxa"/>
        </w:tblCellMar>
      </w:tblPr>
      <w:tblGrid>
        <w:gridCol w:w="286"/>
        <w:gridCol w:w="697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976" w:type="dxa"/>
            <w:tcBorders/>
            <w:vAlign w:val="center"/>
          </w:tcPr>
          <w:p>
            <w:pPr>
              <w:pStyle w:val="TableContents"/>
              <w:bidi w:val="0"/>
              <w:spacing w:before="0" w:after="283"/>
              <w:jc w:val="left"/>
              <w:rPr/>
            </w:pPr>
            <w:r>
              <w:rPr>
                <w:rFonts w:ascii="Times New Roman;Times;serif" w:hAnsi="Times New Roman;Times;serif"/>
                <w:b w:val="false"/>
                <w:i/>
                <w:sz w:val="16"/>
              </w:rPr>
              <w:t>Percentages are expressed as a percentage of contract revenue and may not total due to rounding</w:t>
            </w:r>
            <w:r>
              <w:rPr>
                <w:rFonts w:ascii="Times New Roman;Times;serif" w:hAnsi="Times New Roman;Times;serif"/>
                <w:b w:val="false"/>
                <w:i/>
                <w:sz w:val="18"/>
              </w:rPr>
              <w:t>.</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537"/>
        <w:gridCol w:w="346"/>
        <w:gridCol w:w="196"/>
        <w:gridCol w:w="691"/>
        <w:gridCol w:w="346"/>
        <w:gridCol w:w="533"/>
        <w:gridCol w:w="241"/>
        <w:gridCol w:w="346"/>
        <w:gridCol w:w="196"/>
        <w:gridCol w:w="691"/>
        <w:gridCol w:w="406"/>
        <w:gridCol w:w="533"/>
        <w:gridCol w:w="241"/>
        <w:gridCol w:w="346"/>
        <w:gridCol w:w="196"/>
        <w:gridCol w:w="796"/>
        <w:gridCol w:w="406"/>
        <w:gridCol w:w="871"/>
        <w:gridCol w:w="287"/>
      </w:tblGrid>
      <w:tr>
        <w:trPr/>
        <w:tc>
          <w:tcPr>
            <w:tcW w:w="2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610995" cy="175260"/>
                      <wp:effectExtent l="0" t="0" r="0" b="0"/>
                      <wp:wrapNone/>
                      <wp:docPr id="262" name="Frame262"/>
                      <a:graphic xmlns:a="http://schemas.openxmlformats.org/drawingml/2006/main">
                        <a:graphicData uri="http://schemas.microsoft.com/office/word/2010/wordprocessingShape">
                          <wps:wsp>
                            <wps:cNvSpPr txBox="1"/>
                            <wps:spPr>
                              <a:xfrm>
                                <a:off x="0" y="0"/>
                                <a:ext cx="161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24460" cy="175260"/>
                      <wp:effectExtent l="0" t="0" r="0" b="0"/>
                      <wp:wrapNone/>
                      <wp:docPr id="264" name="Frame2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38785" cy="175260"/>
                      <wp:effectExtent l="0" t="0" r="0" b="0"/>
                      <wp:wrapNone/>
                      <wp:docPr id="265" name="Frame2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38455" cy="175260"/>
                      <wp:effectExtent l="0" t="0" r="0" b="0"/>
                      <wp:wrapNone/>
                      <wp:docPr id="267" name="Frame267"/>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53035" cy="175260"/>
                      <wp:effectExtent l="0" t="0" r="0" b="0"/>
                      <wp:wrapNone/>
                      <wp:docPr id="268" name="Frame26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24460" cy="175260"/>
                      <wp:effectExtent l="0" t="0" r="0" b="0"/>
                      <wp:wrapNone/>
                      <wp:docPr id="270" name="Frame2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38785" cy="175260"/>
                      <wp:effectExtent l="0" t="0" r="0" b="0"/>
                      <wp:wrapNone/>
                      <wp:docPr id="271" name="Frame2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57810" cy="175260"/>
                      <wp:effectExtent l="0" t="0" r="0" b="0"/>
                      <wp:wrapNone/>
                      <wp:docPr id="272" name="Frame27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38455" cy="175260"/>
                      <wp:effectExtent l="0" t="0" r="0" b="0"/>
                      <wp:wrapNone/>
                      <wp:docPr id="273" name="Frame273"/>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53035" cy="175260"/>
                      <wp:effectExtent l="0" t="0" r="0" b="0"/>
                      <wp:wrapNone/>
                      <wp:docPr id="274" name="Frame27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4460" cy="175260"/>
                      <wp:effectExtent l="0" t="0" r="0" b="0"/>
                      <wp:wrapNone/>
                      <wp:docPr id="276" name="Frame2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05460" cy="175260"/>
                      <wp:effectExtent l="0" t="0" r="0" b="0"/>
                      <wp:wrapNone/>
                      <wp:docPr id="277" name="Frame2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57810" cy="175260"/>
                      <wp:effectExtent l="0" t="0" r="0" b="0"/>
                      <wp:wrapNone/>
                      <wp:docPr id="278" name="Frame27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53085" cy="175260"/>
                      <wp:effectExtent l="0" t="0" r="0" b="0"/>
                      <wp:wrapNone/>
                      <wp:docPr id="279" name="Frame27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82245" cy="175260"/>
                      <wp:effectExtent l="0" t="0" r="0" b="0"/>
                      <wp:wrapNone/>
                      <wp:docPr id="280" name="Frame280"/>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35"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287" w:type="dxa"/>
            <w:tcBorders/>
            <w:vAlign w:val="center"/>
          </w:tcPr>
          <w:p>
            <w:pPr>
              <w:pStyle w:val="TableContents"/>
              <w:bidi w:val="0"/>
              <w:spacing w:before="0" w:after="0"/>
              <w:ind w:left="0" w:right="0" w:hanging="0"/>
              <w:jc w:val="center"/>
              <w:rPr/>
            </w:pPr>
            <w:r>
              <w:rPr/>
              <w:t>​</w:t>
            </w:r>
          </w:p>
        </w:tc>
      </w:tr>
      <w:tr>
        <w:trPr/>
        <w:tc>
          <w:tcPr>
            <w:tcW w:w="2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center"/>
              <w:rPr/>
            </w:pPr>
            <w:r>
              <w:rPr/>
              <w:t>​</w:t>
            </w:r>
          </w:p>
        </w:tc>
        <w:tc>
          <w:tcPr>
            <w:tcW w:w="206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r>
      <w:tr>
        <w:trPr/>
        <w:tc>
          <w:tcPr>
            <w:tcW w:w="2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20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40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87" w:type="dxa"/>
            <w:tcBorders/>
            <w:vAlign w:val="center"/>
          </w:tcPr>
          <w:p>
            <w:pPr>
              <w:pStyle w:val="TableContents"/>
              <w:bidi w:val="0"/>
              <w:spacing w:before="0" w:after="0"/>
              <w:ind w:left="0" w:right="0" w:hanging="0"/>
              <w:jc w:val="center"/>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35" w:type="dxa"/>
            <w:gridSpan w:val="16"/>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c>
          <w:tcPr>
            <w:tcW w:w="287" w:type="dxa"/>
            <w:tcBorders/>
            <w:vAlign w:val="center"/>
          </w:tcPr>
          <w:p>
            <w:pPr>
              <w:pStyle w:val="TableContents"/>
              <w:bidi w:val="0"/>
              <w:spacing w:before="0" w:after="0"/>
              <w:ind w:left="0" w:right="0" w:hanging="0"/>
              <w:jc w:val="center"/>
              <w:rPr/>
            </w:pPr>
            <w:r>
              <w:rPr/>
              <w:t>​</w:t>
            </w:r>
          </w:p>
        </w:tc>
      </w:tr>
      <w:tr>
        <w:trPr/>
        <w:tc>
          <w:tcPr>
            <w:tcW w:w="2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33"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533"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287" w:type="dxa"/>
            <w:tcBorders/>
            <w:vAlign w:val="center"/>
          </w:tcPr>
          <w:p>
            <w:pPr>
              <w:pStyle w:val="TableContents"/>
              <w:bidi w:val="0"/>
              <w:spacing w:before="0" w:after="0"/>
              <w:ind w:left="0" w:right="0" w:hanging="0"/>
              <w:jc w:val="center"/>
              <w:rPr/>
            </w:pPr>
            <w:r>
              <w:rPr/>
              <w:t>​</w:t>
            </w:r>
          </w:p>
        </w:tc>
      </w:tr>
      <w:tr>
        <w:trP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386,142</w:t>
            </w:r>
          </w:p>
        </w:tc>
        <w:tc>
          <w:tcPr>
            <w:tcW w:w="346" w:type="dxa"/>
            <w:tcBorders/>
            <w:shd w:fill="CCEEFF" w:val="clear"/>
            <w:vAlign w:val="center"/>
          </w:tcPr>
          <w:p>
            <w:pPr>
              <w:pStyle w:val="TableContents"/>
              <w:bidi w:val="0"/>
              <w:spacing w:before="0" w:after="0"/>
              <w:ind w:left="0" w:right="0" w:hanging="0"/>
              <w:jc w:val="right"/>
              <w:rPr/>
            </w:pPr>
            <w:r>
              <w:rPr/>
              <w:t>  ​ ​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c>
          <w:tcPr>
            <w:tcW w:w="406" w:type="dxa"/>
            <w:tcBorders/>
            <w:shd w:fill="CCEEFF" w:val="clear"/>
            <w:vAlign w:val="center"/>
          </w:tcPr>
          <w:p>
            <w:pPr>
              <w:pStyle w:val="TableContents"/>
              <w:bidi w:val="0"/>
              <w:spacing w:before="0" w:after="0"/>
              <w:ind w:left="0" w:right="0" w:hanging="0"/>
              <w:jc w:val="left"/>
              <w:rPr/>
            </w:pPr>
            <w:r>
              <w:rPr/>
              <w:t>  ​ ​ ​ ​</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60,283</w:t>
            </w:r>
          </w:p>
        </w:tc>
        <w:tc>
          <w:tcPr>
            <w:tcW w:w="406" w:type="dxa"/>
            <w:tcBorders/>
            <w:shd w:fill="CCEEFF" w:val="clear"/>
            <w:vAlign w:val="center"/>
          </w:tcPr>
          <w:p>
            <w:pPr>
              <w:pStyle w:val="TableContents"/>
              <w:bidi w:val="0"/>
              <w:spacing w:before="0" w:after="0"/>
              <w:ind w:left="0" w:right="0" w:hanging="0"/>
              <w:jc w:val="left"/>
              <w:rPr/>
            </w:pPr>
            <w:r>
              <w:rPr/>
              <w:t>  ​ ​ ​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18.5 </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33"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59,064</w:t>
            </w:r>
          </w:p>
        </w:tc>
        <w:tc>
          <w:tcPr>
            <w:tcW w:w="346" w:type="dxa"/>
            <w:tcBorders/>
            <w:shd w:fill="CCEEFF" w:val="clear"/>
            <w:vAlign w:val="center"/>
          </w:tcPr>
          <w:p>
            <w:pPr>
              <w:pStyle w:val="TableContents"/>
              <w:bidi w:val="0"/>
              <w:spacing w:before="0" w:after="0"/>
              <w:ind w:left="0" w:right="0" w:hanging="0"/>
              <w:jc w:val="righ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15.3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54,320</w:t>
            </w:r>
          </w:p>
        </w:tc>
        <w:tc>
          <w:tcPr>
            <w:tcW w:w="406"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16.7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4,744</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8.7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176,468</w:t>
            </w:r>
          </w:p>
        </w:tc>
        <w:tc>
          <w:tcPr>
            <w:tcW w:w="346" w:type="dxa"/>
            <w:tcBorders/>
            <w:vAlign w:val="center"/>
          </w:tcPr>
          <w:p>
            <w:pPr>
              <w:pStyle w:val="TableContents"/>
              <w:bidi w:val="0"/>
              <w:spacing w:before="0" w:after="0"/>
              <w:ind w:left="0" w:right="0" w:hanging="0"/>
              <w:jc w:val="righ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45.7 </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145,553</w:t>
            </w:r>
          </w:p>
        </w:tc>
        <w:tc>
          <w:tcPr>
            <w:tcW w:w="406" w:type="dxa"/>
            <w:tcBorders/>
            <w:vAlign w:val="center"/>
          </w:tcPr>
          <w:p>
            <w:pPr>
              <w:pStyle w:val="TableContents"/>
              <w:bidi w:val="0"/>
              <w:spacing w:before="0" w:after="0"/>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44.7 </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30,915</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21.2 </w:t>
            </w:r>
          </w:p>
        </w:tc>
        <w:tc>
          <w:tcPr>
            <w:tcW w:w="287" w:type="dxa"/>
            <w:tcBorders/>
            <w:vAlign w:val="center"/>
          </w:tcPr>
          <w:p>
            <w:pPr>
              <w:pStyle w:val="TableContents"/>
              <w:bidi w:val="0"/>
              <w:spacing w:before="0" w:after="0"/>
              <w:ind w:left="0" w:right="0" w:hanging="0"/>
              <w:jc w:val="left"/>
              <w:rPr/>
            </w:pPr>
            <w:r>
              <w:rPr/>
              <w:t>​</w:t>
            </w:r>
          </w:p>
        </w:tc>
      </w:tr>
      <w:tr>
        <w:trP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235,532</w:t>
            </w:r>
          </w:p>
        </w:tc>
        <w:tc>
          <w:tcPr>
            <w:tcW w:w="346" w:type="dxa"/>
            <w:tcBorders/>
            <w:shd w:fill="CCEEFF" w:val="clear"/>
            <w:vAlign w:val="center"/>
          </w:tcPr>
          <w:p>
            <w:pPr>
              <w:pStyle w:val="TableContents"/>
              <w:bidi w:val="0"/>
              <w:spacing w:before="0" w:after="0"/>
              <w:ind w:left="0" w:right="0" w:hanging="0"/>
              <w:jc w:val="righ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61.0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199,873</w:t>
            </w:r>
          </w:p>
        </w:tc>
        <w:tc>
          <w:tcPr>
            <w:tcW w:w="406"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61.3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35,659</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17.8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150,610</w:t>
            </w:r>
          </w:p>
        </w:tc>
        <w:tc>
          <w:tcPr>
            <w:tcW w:w="346" w:type="dxa"/>
            <w:tcBorders/>
            <w:shd w:fill="CCEEFF" w:val="clear"/>
            <w:vAlign w:val="center"/>
          </w:tcPr>
          <w:p>
            <w:pPr>
              <w:pStyle w:val="TableContents"/>
              <w:bidi w:val="0"/>
              <w:spacing w:before="0" w:after="0"/>
              <w:ind w:left="0" w:right="0" w:hanging="0"/>
              <w:jc w:val="righ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39.0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125,986</w:t>
            </w:r>
          </w:p>
        </w:tc>
        <w:tc>
          <w:tcPr>
            <w:tcW w:w="406" w:type="dxa"/>
            <w:tcBorders/>
            <w:shd w:fill="CCEEFF" w:val="cle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38.7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24,624</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19.5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33"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73,468</w:t>
            </w:r>
          </w:p>
        </w:tc>
        <w:tc>
          <w:tcPr>
            <w:tcW w:w="346" w:type="dxa"/>
            <w:tcBorders/>
            <w:vAlign w:val="center"/>
          </w:tcPr>
          <w:p>
            <w:pPr>
              <w:pStyle w:val="TableContents"/>
              <w:bidi w:val="0"/>
              <w:spacing w:before="0" w:after="0"/>
              <w:ind w:left="0" w:right="0" w:hanging="0"/>
              <w:jc w:val="righ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19.0 </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63,684</w:t>
            </w:r>
          </w:p>
        </w:tc>
        <w:tc>
          <w:tcPr>
            <w:tcW w:w="406"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19.5 </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9,784</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15.4 </w:t>
            </w:r>
          </w:p>
        </w:tc>
        <w:tc>
          <w:tcPr>
            <w:tcW w:w="287" w:type="dxa"/>
            <w:tcBorders/>
            <w:vAlign w:val="center"/>
          </w:tcPr>
          <w:p>
            <w:pPr>
              <w:pStyle w:val="TableContents"/>
              <w:bidi w:val="0"/>
              <w:spacing w:before="0" w:after="0"/>
              <w:ind w:left="0" w:right="0" w:hanging="0"/>
              <w:jc w:val="left"/>
              <w:rPr/>
            </w:pPr>
            <w:r>
              <w:rPr/>
              <w:t>​</w:t>
            </w:r>
          </w:p>
        </w:tc>
      </w:tr>
      <w:tr>
        <w:trP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facility related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4,893</w:t>
            </w:r>
          </w:p>
        </w:tc>
        <w:tc>
          <w:tcPr>
            <w:tcW w:w="346" w:type="dxa"/>
            <w:tcBorders/>
            <w:shd w:fill="CCEEFF" w:val="clear"/>
            <w:vAlign w:val="center"/>
          </w:tcPr>
          <w:p>
            <w:pPr>
              <w:pStyle w:val="TableContents"/>
              <w:bidi w:val="0"/>
              <w:spacing w:before="0" w:after="0"/>
              <w:ind w:left="0" w:right="0" w:hanging="0"/>
              <w:jc w:val="righ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4,993</w:t>
            </w:r>
          </w:p>
        </w:tc>
        <w:tc>
          <w:tcPr>
            <w:tcW w:w="406"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8,503</w:t>
            </w:r>
          </w:p>
        </w:tc>
        <w:tc>
          <w:tcPr>
            <w:tcW w:w="346" w:type="dxa"/>
            <w:tcBorders/>
            <w:vAlign w:val="center"/>
          </w:tcPr>
          <w:p>
            <w:pPr>
              <w:pStyle w:val="TableContents"/>
              <w:bidi w:val="0"/>
              <w:spacing w:before="0" w:after="0"/>
              <w:ind w:left="0" w:right="0" w:hanging="0"/>
              <w:jc w:val="righ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 </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5,608</w:t>
            </w:r>
          </w:p>
        </w:tc>
        <w:tc>
          <w:tcPr>
            <w:tcW w:w="406"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2,895</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51.6 </w:t>
            </w:r>
          </w:p>
        </w:tc>
        <w:tc>
          <w:tcPr>
            <w:tcW w:w="287" w:type="dxa"/>
            <w:tcBorders/>
            <w:vAlign w:val="center"/>
          </w:tcPr>
          <w:p>
            <w:pPr>
              <w:pStyle w:val="TableContents"/>
              <w:bidi w:val="0"/>
              <w:spacing w:before="0" w:after="0"/>
              <w:ind w:left="0" w:right="0" w:hanging="0"/>
              <w:jc w:val="left"/>
              <w:rPr/>
            </w:pPr>
            <w:r>
              <w:rPr/>
              <w:t>​</w:t>
            </w:r>
          </w:p>
        </w:tc>
      </w:tr>
      <w:tr>
        <w:trP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12,417</w:t>
            </w:r>
          </w:p>
        </w:tc>
        <w:tc>
          <w:tcPr>
            <w:tcW w:w="346" w:type="dxa"/>
            <w:tcBorders/>
            <w:shd w:fill="CCEEFF" w:val="clear"/>
            <w:vAlign w:val="center"/>
          </w:tcPr>
          <w:p>
            <w:pPr>
              <w:pStyle w:val="TableContents"/>
              <w:bidi w:val="0"/>
              <w:spacing w:before="0" w:after="0"/>
              <w:ind w:left="0" w:right="0" w:hanging="0"/>
              <w:jc w:val="righ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9,944</w:t>
            </w:r>
          </w:p>
        </w:tc>
        <w:tc>
          <w:tcPr>
            <w:tcW w:w="406"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2,473</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24.9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24,303</w:t>
            </w:r>
          </w:p>
        </w:tc>
        <w:tc>
          <w:tcPr>
            <w:tcW w:w="346" w:type="dxa"/>
            <w:tcBorders/>
            <w:vAlign w:val="center"/>
          </w:tcPr>
          <w:p>
            <w:pPr>
              <w:pStyle w:val="TableContents"/>
              <w:bidi w:val="0"/>
              <w:spacing w:before="0" w:after="0"/>
              <w:ind w:left="0" w:right="0" w:hanging="0"/>
              <w:jc w:val="righ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 </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22,905</w:t>
            </w:r>
          </w:p>
        </w:tc>
        <w:tc>
          <w:tcPr>
            <w:tcW w:w="406" w:type="dxa"/>
            <w:tcBorders/>
            <w:vAlign w:val="center"/>
          </w:tcPr>
          <w:p>
            <w:pPr>
              <w:pStyle w:val="TableContents"/>
              <w:bidi w:val="0"/>
              <w:spacing w:before="0" w:after="0"/>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7.0 </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1,398</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 </w:t>
            </w:r>
          </w:p>
        </w:tc>
        <w:tc>
          <w:tcPr>
            <w:tcW w:w="287" w:type="dxa"/>
            <w:tcBorders/>
            <w:vAlign w:val="center"/>
          </w:tcPr>
          <w:p>
            <w:pPr>
              <w:pStyle w:val="TableContents"/>
              <w:bidi w:val="0"/>
              <w:spacing w:before="0" w:after="0"/>
              <w:ind w:left="0" w:right="0" w:hanging="0"/>
              <w:jc w:val="left"/>
              <w:rPr/>
            </w:pPr>
            <w:r>
              <w:rPr/>
              <w:t>​</w:t>
            </w:r>
          </w:p>
        </w:tc>
      </w:tr>
      <w:tr>
        <w:trP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123,584</w:t>
            </w:r>
          </w:p>
        </w:tc>
        <w:tc>
          <w:tcPr>
            <w:tcW w:w="346" w:type="dxa"/>
            <w:tcBorders/>
            <w:shd w:fill="CCEEFF" w:val="clear"/>
            <w:vAlign w:val="center"/>
          </w:tcPr>
          <w:p>
            <w:pPr>
              <w:pStyle w:val="TableContents"/>
              <w:bidi w:val="0"/>
              <w:spacing w:before="0" w:after="0"/>
              <w:ind w:left="0" w:right="0" w:hanging="0"/>
              <w:jc w:val="righ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32.0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107,134</w:t>
            </w:r>
          </w:p>
        </w:tc>
        <w:tc>
          <w:tcPr>
            <w:tcW w:w="406"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32.9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16,450</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15.4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27,026</w:t>
            </w:r>
          </w:p>
        </w:tc>
        <w:tc>
          <w:tcPr>
            <w:tcW w:w="346" w:type="dxa"/>
            <w:tcBorders/>
            <w:shd w:fill="CCEEFF" w:val="clear"/>
            <w:vAlign w:val="center"/>
          </w:tcPr>
          <w:p>
            <w:pPr>
              <w:pStyle w:val="TableContents"/>
              <w:bidi w:val="0"/>
              <w:spacing w:before="0" w:after="0"/>
              <w:ind w:left="0" w:right="0" w:hanging="0"/>
              <w:jc w:val="righ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7.0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18,852</w:t>
            </w:r>
          </w:p>
        </w:tc>
        <w:tc>
          <w:tcPr>
            <w:tcW w:w="406" w:type="dxa"/>
            <w:tcBorders/>
            <w:shd w:fill="CCEEFF" w:val="cle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8,174</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43.4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33"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r>
      <w:tr>
        <w:trP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(1,921)</w:t>
            </w:r>
          </w:p>
        </w:tc>
        <w:tc>
          <w:tcPr>
            <w:tcW w:w="346" w:type="dxa"/>
            <w:tcBorders/>
            <w:vAlign w:val="center"/>
          </w:tcPr>
          <w:p>
            <w:pPr>
              <w:pStyle w:val="TableContents"/>
              <w:bidi w:val="0"/>
              <w:spacing w:before="0" w:after="0"/>
              <w:ind w:left="0" w:right="0" w:hanging="0"/>
              <w:jc w:val="righ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(3,988)</w:t>
            </w:r>
          </w:p>
        </w:tc>
        <w:tc>
          <w:tcPr>
            <w:tcW w:w="406"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2,067</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w:t>
            </w:r>
          </w:p>
        </w:tc>
        <w:tc>
          <w:tcPr>
            <w:tcW w:w="287" w:type="dxa"/>
            <w:tcBorders/>
            <w:vAlign w:val="center"/>
          </w:tcPr>
          <w:p>
            <w:pPr>
              <w:pStyle w:val="TableContents"/>
              <w:bidi w:val="0"/>
              <w:spacing w:before="0" w:after="0"/>
              <w:ind w:left="0" w:right="0" w:hanging="0"/>
              <w:jc w:val="left"/>
              <w:rPr/>
            </w:pPr>
            <w:r>
              <w:rPr/>
              <w:t>​</w:t>
            </w:r>
          </w:p>
        </w:tc>
      </w:tr>
      <w:tr>
        <w:trP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1,234</w:t>
            </w:r>
          </w:p>
        </w:tc>
        <w:tc>
          <w:tcPr>
            <w:tcW w:w="346" w:type="dxa"/>
            <w:tcBorders/>
            <w:shd w:fill="CCEEFF" w:val="clear"/>
            <w:vAlign w:val="center"/>
          </w:tcPr>
          <w:p>
            <w:pPr>
              <w:pStyle w:val="TableContents"/>
              <w:bidi w:val="0"/>
              <w:spacing w:before="0" w:after="0"/>
              <w:ind w:left="0" w:right="0" w:hanging="0"/>
              <w:jc w:val="righ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0.3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w:t>
            </w:r>
          </w:p>
        </w:tc>
        <w:tc>
          <w:tcPr>
            <w:tcW w:w="406" w:type="dxa"/>
            <w:tcBorders/>
            <w:shd w:fill="CCEEFF" w:val="cle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 </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142.0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w:t>
            </w:r>
          </w:p>
        </w:tc>
        <w:tc>
          <w:tcPr>
            <w:tcW w:w="346" w:type="dxa"/>
            <w:tcBorders/>
            <w:vAlign w:val="center"/>
          </w:tcPr>
          <w:p>
            <w:pPr>
              <w:pStyle w:val="TableContents"/>
              <w:bidi w:val="0"/>
              <w:spacing w:before="0" w:after="0"/>
              <w:ind w:left="0" w:right="0" w:hanging="0"/>
              <w:jc w:val="righ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(3,478)</w:t>
            </w:r>
          </w:p>
        </w:tc>
        <w:tc>
          <w:tcPr>
            <w:tcW w:w="406"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2,791</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w:t>
            </w:r>
          </w:p>
        </w:tc>
        <w:tc>
          <w:tcPr>
            <w:tcW w:w="287" w:type="dxa"/>
            <w:tcBorders/>
            <w:vAlign w:val="center"/>
          </w:tcPr>
          <w:p>
            <w:pPr>
              <w:pStyle w:val="TableContents"/>
              <w:bidi w:val="0"/>
              <w:spacing w:before="0" w:after="0"/>
              <w:ind w:left="0" w:right="0" w:hanging="0"/>
              <w:jc w:val="left"/>
              <w:rPr/>
            </w:pPr>
            <w:r>
              <w:rPr/>
              <w:t>​</w:t>
            </w:r>
          </w:p>
        </w:tc>
      </w:tr>
      <w:tr>
        <w:trPr/>
        <w:tc>
          <w:tcPr>
            <w:tcW w:w="25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533" w:type="dxa"/>
            <w:tcBorders/>
            <w:shd w:fill="CCEEFF" w:val="clear"/>
            <w:vAlign w:val="center"/>
          </w:tcPr>
          <w:p>
            <w:pPr>
              <w:pStyle w:val="TableContents"/>
              <w:bidi w:val="0"/>
              <w:spacing w:before="0" w:after="0"/>
              <w:ind w:left="0" w:right="0" w:hanging="0"/>
              <w:jc w:val="righ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26,339</w:t>
            </w:r>
          </w:p>
        </w:tc>
        <w:tc>
          <w:tcPr>
            <w:tcW w:w="346" w:type="dxa"/>
            <w:tcBorders/>
            <w:vAlign w:val="center"/>
          </w:tcPr>
          <w:p>
            <w:pPr>
              <w:pStyle w:val="TableContents"/>
              <w:bidi w:val="0"/>
              <w:spacing w:before="0" w:after="0"/>
              <w:ind w:left="0" w:right="0" w:hanging="0"/>
              <w:jc w:val="righ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6.8 </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15,374</w:t>
            </w:r>
          </w:p>
        </w:tc>
        <w:tc>
          <w:tcPr>
            <w:tcW w:w="406"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 </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10,965</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71.3 </w:t>
            </w:r>
          </w:p>
        </w:tc>
        <w:tc>
          <w:tcPr>
            <w:tcW w:w="287" w:type="dxa"/>
            <w:tcBorders/>
            <w:vAlign w:val="center"/>
          </w:tcPr>
          <w:p>
            <w:pPr>
              <w:pStyle w:val="TableContents"/>
              <w:bidi w:val="0"/>
              <w:spacing w:before="0" w:after="0"/>
              <w:ind w:left="0" w:right="0" w:hanging="0"/>
              <w:jc w:val="left"/>
              <w:rPr/>
            </w:pPr>
            <w:r>
              <w:rPr/>
              <w:t>​</w:t>
            </w:r>
          </w:p>
        </w:tc>
      </w:tr>
      <w:tr>
        <w:trPr/>
        <w:tc>
          <w:tcPr>
            <w:tcW w:w="25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(6,536)</w:t>
            </w:r>
          </w:p>
        </w:tc>
        <w:tc>
          <w:tcPr>
            <w:tcW w:w="346" w:type="dxa"/>
            <w:tcBorders/>
            <w:shd w:fill="CCEEFF" w:val="clear"/>
            <w:vAlign w:val="center"/>
          </w:tcPr>
          <w:p>
            <w:pPr>
              <w:pStyle w:val="TableContents"/>
              <w:bidi w:val="0"/>
              <w:spacing w:before="0" w:after="0"/>
              <w:ind w:left="0" w:right="0" w:hanging="0"/>
              <w:jc w:val="righ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(4,749)</w:t>
            </w:r>
          </w:p>
        </w:tc>
        <w:tc>
          <w:tcPr>
            <w:tcW w:w="406" w:type="dxa"/>
            <w:tcBorders/>
            <w:shd w:fill="CCEEFF" w:val="clear"/>
            <w:vAlign w:val="center"/>
          </w:tcPr>
          <w:p>
            <w:pPr>
              <w:pStyle w:val="TableContents"/>
              <w:bidi w:val="0"/>
              <w:spacing w:before="0" w:after="0"/>
              <w:ind w:left="0" w:right="0" w:hanging="0"/>
              <w:jc w:val="left"/>
              <w:rPr/>
            </w:pPr>
            <w:r>
              <w:rPr/>
              <w:t>​</w:t>
            </w:r>
          </w:p>
        </w:tc>
        <w:tc>
          <w:tcPr>
            <w:tcW w:w="5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2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(1,787)</w:t>
            </w:r>
          </w:p>
        </w:tc>
        <w:tc>
          <w:tcPr>
            <w:tcW w:w="40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37.6 </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5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32,875</w:t>
            </w:r>
          </w:p>
        </w:tc>
        <w:tc>
          <w:tcPr>
            <w:tcW w:w="346" w:type="dxa"/>
            <w:tcBorders/>
            <w:vAlign w:val="center"/>
          </w:tcPr>
          <w:p>
            <w:pPr>
              <w:pStyle w:val="TableContents"/>
              <w:bidi w:val="0"/>
              <w:spacing w:before="0" w:after="0"/>
              <w:ind w:left="0" w:right="0" w:hanging="0"/>
              <w:jc w:val="right"/>
              <w:rPr/>
            </w:pPr>
            <w:r>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8.5 </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20,123</w:t>
            </w:r>
          </w:p>
        </w:tc>
        <w:tc>
          <w:tcPr>
            <w:tcW w:w="406" w:type="dxa"/>
            <w:tcBorders/>
            <w:vAlign w:val="center"/>
          </w:tcPr>
          <w:p>
            <w:pPr>
              <w:pStyle w:val="TableContents"/>
              <w:bidi w:val="0"/>
              <w:spacing w:before="0" w:after="0"/>
              <w:ind w:left="0" w:right="0" w:hanging="0"/>
              <w:jc w:val="left"/>
              <w:rPr/>
            </w:pPr>
            <w:r>
              <w:rPr/>
              <w:t>​</w:t>
            </w:r>
          </w:p>
        </w:tc>
        <w:tc>
          <w:tcPr>
            <w:tcW w:w="5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6.2 </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12,752</w:t>
            </w:r>
          </w:p>
        </w:tc>
        <w:tc>
          <w:tcPr>
            <w:tcW w:w="40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63.4 </w:t>
            </w:r>
          </w:p>
        </w:tc>
        <w:tc>
          <w:tcPr>
            <w:tcW w:w="287" w:type="dxa"/>
            <w:tcBorders/>
            <w:vAlign w:val="center"/>
          </w:tcPr>
          <w:p>
            <w:pPr>
              <w:pStyle w:val="TableContents"/>
              <w:bidi w:val="0"/>
              <w:spacing w:before="0" w:after="0"/>
              <w:ind w:left="0" w:right="0" w:hanging="0"/>
              <w:jc w:val="left"/>
              <w:rPr/>
            </w:pPr>
            <w:r>
              <w:rPr/>
              <w:t>​</w:t>
            </w:r>
          </w:p>
        </w:tc>
      </w:tr>
      <w:tr>
        <w:trPr/>
        <w:tc>
          <w:tcPr>
            <w:tcW w:w="2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33"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360" w:right="0" w:hanging="0"/>
        <w:jc w:val="left"/>
        <w:rPr>
          <w:rFonts w:ascii="Times New Roman;Times;serif" w:hAnsi="Times New Roman;Times;serif"/>
          <w:i/>
          <w:sz w:val="2"/>
        </w:rPr>
      </w:pPr>
      <w:r>
        <w:rPr>
          <w:rFonts w:ascii="Times New Roman;Times;serif" w:hAnsi="Times New Roman;Times;serif"/>
          <w:i/>
          <w:sz w:val="2"/>
        </w:rPr>
        <w:t>11</w:t>
      </w:r>
    </w:p>
    <w:tbl>
      <w:tblPr>
        <w:tblW w:w="7262" w:type="dxa"/>
        <w:jc w:val="left"/>
        <w:tblInd w:w="0" w:type="dxa"/>
        <w:tblLayout w:type="fixed"/>
        <w:tblCellMar>
          <w:top w:w="0" w:type="dxa"/>
          <w:left w:w="0" w:type="dxa"/>
          <w:bottom w:w="0" w:type="dxa"/>
          <w:right w:w="0" w:type="dxa"/>
        </w:tblCellMar>
      </w:tblPr>
      <w:tblGrid>
        <w:gridCol w:w="286"/>
        <w:gridCol w:w="697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6976" w:type="dxa"/>
            <w:tcBorders/>
            <w:vAlign w:val="center"/>
          </w:tcPr>
          <w:p>
            <w:pPr>
              <w:pStyle w:val="TableContents"/>
              <w:bidi w:val="0"/>
              <w:spacing w:before="0" w:after="283"/>
              <w:jc w:val="left"/>
              <w:rPr/>
            </w:pPr>
            <w:r>
              <w:rPr>
                <w:rFonts w:ascii="Times New Roman;Times;serif" w:hAnsi="Times New Roman;Times;serif"/>
                <w:b w:val="false"/>
                <w:i/>
                <w:sz w:val="16"/>
              </w:rPr>
              <w:t>Percentages are expressed as a percentage of contract revenue and may not total due to rounding</w:t>
            </w:r>
            <w:r>
              <w:rPr>
                <w:rFonts w:ascii="Times New Roman;Times;serif" w:hAnsi="Times New Roman;Times;serif"/>
                <w:b w:val="false"/>
                <w:i/>
                <w:sz w:val="18"/>
              </w:rPr>
              <w:t>.</w:t>
            </w:r>
          </w:p>
        </w:tc>
      </w:tr>
    </w:tbl>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tables provide information about disaggregated revenue of our two segments, Energy and Engineering and Consulting, by contract type, client type and geographical region:</w:t>
      </w:r>
    </w:p>
    <w:tbl>
      <w:tblPr>
        <w:tblW w:w="567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934085" cy="175260"/>
                      <wp:effectExtent l="0" t="0" r="0" b="0"/>
                      <wp:wrapNone/>
                      <wp:docPr id="281" name="Frame28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24460" cy="175260"/>
                      <wp:effectExtent l="0" t="0" r="0" b="0"/>
                      <wp:wrapNone/>
                      <wp:docPr id="283" name="Frame2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38785" cy="175260"/>
                      <wp:effectExtent l="0" t="0" r="0" b="0"/>
                      <wp:wrapNone/>
                      <wp:docPr id="284" name="Frame2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1295" cy="175260"/>
                      <wp:effectExtent l="0" t="0" r="0" b="0"/>
                      <wp:wrapNone/>
                      <wp:docPr id="286" name="Frame28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18490" cy="175260"/>
                      <wp:effectExtent l="0" t="0" r="0" b="0"/>
                      <wp:wrapNone/>
                      <wp:docPr id="287" name="Frame287"/>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24460" cy="175260"/>
                      <wp:effectExtent l="0" t="0" r="0" b="0"/>
                      <wp:wrapNone/>
                      <wp:docPr id="289" name="Frame2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05460" cy="175260"/>
                      <wp:effectExtent l="0" t="0" r="0" b="0"/>
                      <wp:wrapNone/>
                      <wp:docPr id="290" name="Frame29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July 3, 2026</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6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14,541</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33,188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61,714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69,946</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126,334</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127,894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202,589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231,028</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58,849</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60,820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69,834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96,231</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73,906</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73,977</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202,589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231,028</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202,589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28,439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231,028</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July 3, 2026</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6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27,241</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36,847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64,088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111,331</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126,616</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191,985</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195,438</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330,557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386,142</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78,238</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82,055</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113,680</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165,267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138,639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138,820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330,557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386,142</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330,557</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55,585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386,142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61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3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934085" cy="175260"/>
                      <wp:effectExtent l="0" t="0" r="0" b="0"/>
                      <wp:wrapNone/>
                      <wp:docPr id="291" name="Frame29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24460" cy="175260"/>
                      <wp:effectExtent l="0" t="0" r="0" b="0"/>
                      <wp:wrapNone/>
                      <wp:docPr id="293" name="Frame2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38785" cy="175260"/>
                      <wp:effectExtent l="0" t="0" r="0" b="0"/>
                      <wp:wrapNone/>
                      <wp:docPr id="294" name="Frame2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1295" cy="175260"/>
                      <wp:effectExtent l="0" t="0" r="0" b="0"/>
                      <wp:wrapNone/>
                      <wp:docPr id="296" name="Frame29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18490" cy="175260"/>
                      <wp:effectExtent l="0" t="0" r="0" b="0"/>
                      <wp:wrapNone/>
                      <wp:docPr id="297" name="Frame297"/>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24460" cy="175260"/>
                      <wp:effectExtent l="0" t="0" r="0" b="0"/>
                      <wp:wrapNone/>
                      <wp:docPr id="299" name="Frame2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67360" cy="175260"/>
                      <wp:effectExtent l="0" t="0" r="0" b="0"/>
                      <wp:wrapNone/>
                      <wp:docPr id="300" name="Frame30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July 4, 2025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0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11,733</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30,632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58,250</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64,737</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76,766</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78,104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18,093</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19,848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55,839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80,763</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72,817</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72,862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146,749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173,473</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0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July 4, 2025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0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23,335</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36,959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60,294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105,957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118,699</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143,705</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146,866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31,608</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35,174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104,163</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153,359</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137,226</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137,326</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272,997</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52,862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325,859</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360" w:right="0" w:hanging="0"/>
        <w:jc w:val="left"/>
        <w:rPr/>
      </w:pPr>
      <w:r>
        <w:rPr/>
        <w:t>​</w:t>
      </w:r>
    </w:p>
    <w:tbl>
      <w:tblPr>
        <w:tblW w:w="4022" w:type="dxa"/>
        <w:jc w:val="left"/>
        <w:tblInd w:w="0" w:type="dxa"/>
        <w:tblLayout w:type="fixed"/>
        <w:tblCellMar>
          <w:top w:w="0" w:type="dxa"/>
          <w:left w:w="0" w:type="dxa"/>
          <w:bottom w:w="0" w:type="dxa"/>
          <w:right w:w="0" w:type="dxa"/>
        </w:tblCellMar>
      </w:tblPr>
      <w:tblGrid>
        <w:gridCol w:w="286"/>
        <w:gridCol w:w="373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3736"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Amounts may not add to the totals due to rounding.</w:t>
            </w:r>
          </w:p>
        </w:tc>
      </w:tr>
    </w:tbl>
    <w:tbl>
      <w:tblPr>
        <w:tblW w:w="7187" w:type="dxa"/>
        <w:jc w:val="left"/>
        <w:tblInd w:w="0" w:type="dxa"/>
        <w:tblLayout w:type="fixed"/>
        <w:tblCellMar>
          <w:top w:w="0" w:type="dxa"/>
          <w:left w:w="0" w:type="dxa"/>
          <w:bottom w:w="0" w:type="dxa"/>
          <w:right w:w="0" w:type="dxa"/>
        </w:tblCellMar>
      </w:tblPr>
      <w:tblGrid>
        <w:gridCol w:w="286"/>
        <w:gridCol w:w="6901"/>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(2)</w:t>
            </w:r>
          </w:p>
        </w:tc>
        <w:tc>
          <w:tcPr>
            <w:tcW w:w="6901"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Includes the portion of revenue related to small business programs paid by the end user/customer.</w:t>
            </w:r>
          </w:p>
        </w:tc>
      </w:tr>
    </w:tbl>
    <w:tbl>
      <w:tblPr>
        <w:tblW w:w="8792" w:type="dxa"/>
        <w:jc w:val="left"/>
        <w:tblInd w:w="0" w:type="dxa"/>
        <w:tblLayout w:type="fixed"/>
        <w:tblCellMar>
          <w:top w:w="0" w:type="dxa"/>
          <w:left w:w="0" w:type="dxa"/>
          <w:bottom w:w="0" w:type="dxa"/>
          <w:right w:w="0" w:type="dxa"/>
        </w:tblCellMar>
      </w:tblPr>
      <w:tblGrid>
        <w:gridCol w:w="286"/>
        <w:gridCol w:w="8506"/>
      </w:tblGrid>
      <w:tr>
        <w:trPr/>
        <w:tc>
          <w:tcPr>
            <w:tcW w:w="286"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(3)</w:t>
            </w:r>
          </w:p>
        </w:tc>
        <w:tc>
          <w:tcPr>
            <w:tcW w:w="8506" w:type="dxa"/>
            <w:tcBorders/>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Revenue from our foreign operations was not material for the three and six months ended July 3, 2026 and July 4, 2025.</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Three Months Ended July 3, 2026 Compared to Three Months Ended July 4,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$57.6 million, or 33.2%,</w:t>
      </w:r>
      <w:r>
        <w:rPr>
          <w:rFonts w:ascii="Times New Roman;Times;serif" w:hAnsi="Times New Roman;Times;serif"/>
          <w:color w:val="EE0000"/>
          <w:sz w:val="20"/>
        </w:rPr>
        <w:t xml:space="preserve"> </w:t>
      </w:r>
      <w:r>
        <w:rPr>
          <w:rFonts w:ascii="Times New Roman;Times;serif" w:hAnsi="Times New Roman;Times;serif"/>
          <w:sz w:val="20"/>
        </w:rPr>
        <w:t xml:space="preserve">in the three months ended July 3, 2026, compared to the three months ended July 4, 2025, as a result of increased demand for our services in both our Energy segment and our Engineering and Consulting segment.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Contract revenue in our Energy segment increased $55.9 million, or 38.1%, in the three months ended July 3, 2026, compared to the three months ended July 4, 2025, primarily as a result of </w:t>
      </w:r>
      <w:r>
        <w:rPr>
          <w:rFonts w:ascii="Times New Roman;Times;serif" w:hAnsi="Times New Roman;Times;serif"/>
          <w:sz w:val="20"/>
          <w:shd w:fill="FFFFFF" w:val="clear"/>
        </w:rPr>
        <w:t>higher revenues across all of our service offerings</w:t>
      </w:r>
      <w:r>
        <w:rPr>
          <w:rFonts w:ascii="Times New Roman;Times;serif" w:hAnsi="Times New Roman;Times;serif"/>
          <w:color w:val="212529"/>
          <w:sz w:val="20"/>
          <w:shd w:fill="FFFFFF" w:val="clear"/>
        </w:rPr>
        <w:t>,</w:t>
      </w:r>
      <w:r>
        <w:rPr>
          <w:rFonts w:ascii="Times New Roman;Times;serif" w:hAnsi="Times New Roman;Times;serif"/>
          <w:sz w:val="20"/>
        </w:rPr>
        <w:t xml:space="preserve"> combined with incremental revenues from our acquisition of Burton Energy Group, LLC. (“Burton”) in May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revenue in our Engineering and Consulting segment increased $1.7 million, or 6.4%, in the three months ended July 3, 2026, compared to the three months ended July 4, 2025, primarily due to increased demand for services provided to our clients, combined with the incremental revenues from our acquisition Compass Municipal Advisors, LLC. (“Compass”) in January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w:t>
      </w:r>
      <w:r>
        <w:rPr>
          <w:rFonts w:ascii="Times New Roman;Times;serif" w:hAnsi="Times New Roman;Times;serif"/>
          <w:sz w:val="20"/>
          <w:shd w:fill="FFFFFF" w:val="clear"/>
        </w:rPr>
        <w:t>Direct costs of consolidated contract revenue increased $38.4 million, or 36.5%, for the three months ended July 3, 2026, compared to the three months ended</w:t>
      </w:r>
      <w:r>
        <w:rPr>
          <w:rFonts w:ascii="Times New Roman;Times;serif" w:hAnsi="Times New Roman;Times;serif"/>
          <w:sz w:val="20"/>
        </w:rPr>
        <w:t xml:space="preserve"> July 4, 2025, primarily as a result of the increased volume in contract revenues as described above. As a percentage of contract revenue, subcontractor services and other direct costs increased to 49.3% in the three months ended July 3, 2026 from 45.3% in the three months ended July 4, 2025, primarily due to the higher mix of construction management revenues in the current period. Direct salaries and wages increased $3.1 million, or 11.8%, to support the increased volume of projects in the three months ended July 3, 2026, compared to the three months ended July 4, 2025 and declined, as a percentage of contract revenues, to 12.9% in the three months ended July 3, 2026, from 15.4% in the three months ended July 4, 2025, reflecting the increased construction management revenues in the current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in our Energy segment increased $37.3 million, or 40.2%, for the three months ended July 3, 2026, compared to the three months ended July 4, 2025.</w:t>
      </w:r>
      <w:r>
        <w:rPr>
          <w:rFonts w:ascii="Times New Roman;Times;serif" w:hAnsi="Times New Roman;Times;serif"/>
          <w:sz w:val="20"/>
          <w:shd w:fill="FFFFFF" w:val="clear"/>
        </w:rPr>
        <w:t xml:space="preserve"> </w:t>
      </w:r>
      <w:r>
        <w:rPr>
          <w:rFonts w:ascii="Times New Roman;Times;serif" w:hAnsi="Times New Roman;Times;serif"/>
          <w:sz w:val="20"/>
        </w:rPr>
        <w:t>Direct costs of contract revenue for the Engineering and Consulting segment increased $1.1 million, or 8.7%, in the three months ended July 3, 2026, compared to the three months ended July 4,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28% to $87.5 million, or 37.9% gross margin, for the three months ended July 3, 2026, compared to gross profit of $68.3 million, or 39.4% gross margin, for the three months ended July 4, 2025. The decrease in our gross margin was primarily driven by the changes in the mix of revenues as described above, including the addition of Burton.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(“G&amp;A”) expenses increased $11.2 million, or 19.8%, to $67.7 million in the three months ended July 3, 2026, compared to $56.5 million for the three months ended July 4, 2025. As a percentage of contract revenues, G&amp;A decreased to 29.3% in the three months ended July 3, 2026 from 32.6% in the three months ended July 4, 2025. G&amp;A expenses consisted of an increase of $10.3 million, or 25.3%, in the Energy segment combined with an increase of $2.3 million, or 23.1%, in the Engineering and Consulting segment, and the remaining decrease in unallocated corporate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overall increase in G&amp;A expenses consisted of an increase of $7.9 million in salaries and wages, payroll taxes and employee benefits, an increase of $1.6 million in stock-based compensation, and an increase of $1.5 million in depreciation and amortization. The increase in salaries and wages, payroll taxes and employee benefits was primarily due to increased staffing from acquisitions, an increase in incentive compensation consistent with the increase in operating profit, and higher fringe benefit costs consistent with the growth in direct and indirect labor costs. </w:t>
      </w:r>
      <w:r>
        <w:rPr>
          <w:rFonts w:ascii="Times New Roman;Times;serif" w:hAnsi="Times New Roman;Times;serif"/>
          <w:sz w:val="20"/>
          <w:shd w:fill="FFFFFF" w:val="clear"/>
        </w:rPr>
        <w:t>The increase in stock-based compensation expenses was primarily related to new stock grants to current employees, executives, and Board of directors at a higher stock price. The increase in depreciation and amortization was primarily related to higher amortization of intangible assets from recent acquisitions.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increased 67.0% to $19.7 million for the three months ended July 3, 2026, compared to an operating income of $11.8 million for the three months ended July 4, 2025, as a result of the factors noted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decreased $1.0 million, or 60.4%, for the three months ended July 3, 2026, compared to the three months ended July 4, 2025, primarily due to the lower interest expense resulting from the reduced interest rate spread derived from lower debt leverage levels under our credit facilities, combined with the absence of a one-time charge for unamortized debt issuance costs related to our prior credit facilities that we had in the second quarter of fiscal year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benefit of $5.3 million for the three months ended July 3, 2026, an effective tax benefit rate of 27.5% on income before income tax expense, compared to an income tax benefit of $5.3 million for the three months ended July 4, 2025, an effective tax benefit rate of 51.6% on income before tax expense. The decrease in the effective tax benefit rate resulted from the increase in income before income tax, partially offset by the increases in discrete items related to stock compensation deductions and additional energy-efficiency building deductions.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rPr>
        <w:t xml:space="preserve"> Our net income increased 57.7% to $24.3 million for the three months ended July 3, 2026, as compared to a net income of $15.4 million for the three months ended July 4, 2025. The increase in net income was primarily attributable to the increase in income from operations combined with a reduction in Total other expense, net.</w:t>
      </w:r>
    </w:p>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Six Months Ended July 3, 2026 Compared to Six Months Ended July 4,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$60.3 million, or 18.5%, in the six months ended July 3, 2026, compared to the six months ended July 4, 2025, as a result of increased demand for our services in both our Energy segment and our Engineering and Consulting segment. The rate of growth was impacted by the effect of having one fewer week in the first half of fiscal year 2026 when compared to our first fiscal half of fiscal year 2025. When removing the impact of the additional week in the first half of fiscal year 2025, contract revenue increased 23.1% in the six months ended July 3, 2026, compared to the adjusted six months ended July 4,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Contract revenue in our Energy segment increased $57.6 million, or 21.1%, in the six months ended July 3, 2026, compared to the six months ended July 4, 2025, primarily as a result of </w:t>
      </w:r>
      <w:r>
        <w:rPr>
          <w:rFonts w:ascii="Times New Roman;Times;serif" w:hAnsi="Times New Roman;Times;serif"/>
          <w:sz w:val="20"/>
          <w:shd w:fill="FFFFFF" w:val="clear"/>
        </w:rPr>
        <w:t>higher revenues across all of our service offerings</w:t>
      </w:r>
      <w:r>
        <w:rPr>
          <w:rFonts w:ascii="Times New Roman;Times;serif" w:hAnsi="Times New Roman;Times;serif"/>
          <w:color w:val="212529"/>
          <w:sz w:val="20"/>
          <w:shd w:fill="FFFFFF" w:val="clear"/>
        </w:rPr>
        <w:t>,</w:t>
      </w:r>
      <w:r>
        <w:rPr>
          <w:rFonts w:ascii="Times New Roman;Times;serif" w:hAnsi="Times New Roman;Times;serif"/>
          <w:sz w:val="20"/>
        </w:rPr>
        <w:t xml:space="preserve"> combined with incremental revenues from our acquisition of Burton.</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Contract revenue in our Engineering and Consulting segment increased $2.7 million, or 5.2%, in the six months ended July 3, 2026, compared to the six months ended July 4, 2025, primarily due to increased demand for services provided to our clients, combined with the incremental revenues from our acquisition of Compass.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Direct costs of consolidated contract revenue increased $35.7 million, or 17.8%, for the six months ended July 3, 2026, compared to the six months ended July 4, 2025, primarily as a result of the increased volume of contract revenues as described above. As a percentage of contract revenue, subcontractor services and other direct costs increased to 45.7% in the six months ended July 3, 2026 from 44.7% in the six months ended July 4, 2025, reflecting the higher mix of construction management revenues. Direct salaries and wages increased $4.7 million, or 8.7%, to support the increased volume of projects in the six months ended July 3, 2026, compared to the six months ended July 4, 2025, and declined, as a percentage of contract revenue, to 15.3% in the six months ended July 3, 2026, from 16.7% in the six months ended July 4, 2025.</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Direct costs of contract revenue in our Energy segment increased $33.9 million, or 19.3%, for the six months ended July 3, 2026, compared to the six months ended July 4, 2025. Direct costs of contract revenue for the Engineering and Consulting segment increased $1.8 million, or 7.5%, in the six months ended July 3, 2026, compared to the six months ended July 4, 2025.</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19.5% to $150.6 million, or 39.0% gross margin, for the six months ended July 3, 2026, compared to gross profit of $126.0 million, or 38.7% gross margin, for the six months ended July 4, 2025. The increase in our gross margin was primarily driven by the changes in the mix of revenues.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G&amp;A expenses increased $16.5 million, or 15.4%, to $123.6 million in the six months ended July 3, 2026, compared to $107.1 million for the six months ended July 4, 2025. As a percentage of contract revenue, G&amp;A expenses were 32.0% of contract revenues in the six months ended July 3, 2026 compared to 32.9% for the six months ended July 4, 2025. G&amp;A expenses consisted of an increase of $13.3 million, or 16.7%, in the Energy segment combined with an increase of $2.7 million, or 12.9%, in the Engineering and Consulting segment, and the remaining increase in unallocated corporate expenses.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overall increase in G&amp;A expenses consisted of an increase of $9.8 million in salaries and wages, payroll taxes and employee benefits, an increase of $2.9 million in stock-based compensation, an increase of $2.5 million in depreciation and amortization, and an increase of $1.4 million in other general and administrative expenses. The increase in salaries and wages, payroll taxes and employee benefits was primarily due to increased staffing from acquisitions, an increase in incentive compensation, consistent with the improvement in operating profit, and higher fringe benefit costs consistent with the growth in direct and indirect labor costs. The increase in stock-based compensation expenses was primarily related to new stock grants to current employees, executives and Board of directors at a higher stock price. The increase in depreciation and amortization was primarily related to higher amortization of intangible assets from recent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 The increase in other general and administrative expenses was primarily due to increased professional service fees and computer-related expenses.</w:t>
      </w:r>
    </w:p>
    <w:p>
      <w:pPr>
        <w:pStyle w:val="TextBody"/>
        <w:shd w:fill="FFFFFF" w:val="clear"/>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 xml:space="preserve">Income (loss) from operations. </w:t>
      </w:r>
      <w:r>
        <w:rPr>
          <w:rFonts w:ascii="Times New Roman;Times;serif" w:hAnsi="Times New Roman;Times;serif"/>
          <w:sz w:val="20"/>
        </w:rPr>
        <w:t>Operating income increased 43.4% to $27.0 million for the six months ended July 3, 2026, compared to an operating income of $18.9 million for the six months ended July 4, 2025, as a result of the factors noted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Total other expense, net.</w:t>
      </w:r>
      <w:r>
        <w:rPr>
          <w:rFonts w:ascii="Times New Roman;Times;serif" w:hAnsi="Times New Roman;Times;serif"/>
          <w:sz w:val="20"/>
        </w:rPr>
        <w:t xml:space="preserve"> Total other expense, net, decreased $2.8 million, or 80.2%, for the six months ended July 3, 2026, compared to the six months ended July 4, 2025, primarily due to the reduced interest rate spread derived from lower debt leverage levels under our credit facilities, combined with the absence of a </w:t>
      </w:r>
      <w:r>
        <w:rPr>
          <w:rFonts w:ascii="Times New Roman;Times;serif" w:hAnsi="Times New Roman;Times;serif"/>
          <w:sz w:val="20"/>
          <w:shd w:fill="FFFFFF" w:val="clear"/>
        </w:rPr>
        <w:t xml:space="preserve">one-time charge for unamortized debt issuance costs related to our prior credit facilities that we had in the second quarter of fiscal 2025 and the absence of </w:t>
      </w:r>
      <w:r>
        <w:rPr>
          <w:rFonts w:ascii="Times New Roman;Times;serif" w:hAnsi="Times New Roman;Times;serif"/>
          <w:sz w:val="20"/>
        </w:rPr>
        <w:t>a one-time charge related to a facility lease modification</w:t>
      </w:r>
      <w:r>
        <w:rPr>
          <w:rFonts w:ascii="Times New Roman;Times;serif" w:hAnsi="Times New Roman;Times;serif"/>
          <w:sz w:val="20"/>
          <w:shd w:fill="FFFFFF" w:val="clear"/>
        </w:rPr>
        <w:t xml:space="preserve"> </w:t>
      </w:r>
      <w:r>
        <w:rPr>
          <w:rFonts w:ascii="Times New Roman;Times;serif" w:hAnsi="Times New Roman;Times;serif"/>
          <w:sz w:val="20"/>
        </w:rPr>
        <w:t xml:space="preserve">that we had in the </w:t>
      </w:r>
      <w:r>
        <w:rPr>
          <w:rFonts w:ascii="Times New Roman;Times;serif" w:hAnsi="Times New Roman;Times;serif"/>
          <w:sz w:val="20"/>
          <w:shd w:fill="FFFFFF" w:val="clear"/>
        </w:rPr>
        <w:t>first fiscal quarter of fiscal 2025</w:t>
      </w:r>
      <w:r>
        <w:rPr>
          <w:rFonts w:ascii="Times New Roman;Times;serif" w:hAnsi="Times New Roman;Times;serif"/>
          <w:sz w:val="20"/>
        </w:rPr>
        <w: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benefit of $6.5 million for the six months ended July 3, 2026, an effective tax benefit rate of 24.8% on income before income tax expense, compared to an income tax benefit of $4.7 million for the six months ended July 4, 2025, an effective tax rate of 30.9% on income before tax expense. The increase in the effective tax rate resulted from the increase in income before income tax, partially offset by the increases in discrete items related to stock compensation deductions and additional energy-efficiency building deductions. </w:t>
      </w:r>
    </w:p>
    <w:p>
      <w:pPr>
        <w:pStyle w:val="TextBody"/>
        <w:shd w:fill="FFFFFF" w:val="clear"/>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rPr>
        <w:t xml:space="preserve"> Our net income was $32.9 million for the six months ended July 3, 2026, as compared to a net income of $20.1 million for the six months ended July 4, 2025. The increase in net income was primarily attributable to the increase in income from operations combined with a reduction in Total other expense, net.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tbl>
      <w:tblPr>
        <w:tblW w:w="7072" w:type="dxa"/>
        <w:jc w:val="left"/>
        <w:tblInd w:w="0" w:type="dxa"/>
        <w:tblLayout w:type="fixed"/>
        <w:tblCellMar>
          <w:top w:w="0" w:type="dxa"/>
          <w:left w:w="0" w:type="dxa"/>
          <w:bottom w:w="0" w:type="dxa"/>
          <w:right w:w="0" w:type="dxa"/>
        </w:tblCellMar>
      </w:tblPr>
      <w:tblGrid>
        <w:gridCol w:w="4321"/>
        <w:gridCol w:w="346"/>
        <w:gridCol w:w="211"/>
        <w:gridCol w:w="796"/>
        <w:gridCol w:w="346"/>
        <w:gridCol w:w="211"/>
        <w:gridCol w:w="841"/>
      </w:tblGrid>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05460" cy="175260"/>
                      <wp:effectExtent l="0" t="0" r="0" b="0"/>
                      <wp:wrapNone/>
                      <wp:docPr id="302" name="Frame30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34035" cy="175260"/>
                      <wp:effectExtent l="0" t="0" r="0" b="0"/>
                      <wp:wrapNone/>
                      <wp:docPr id="305" name="Frame30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3,</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4,</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19,515</w:t>
            </w:r>
          </w:p>
        </w:tc>
        <w:tc>
          <w:tcPr>
            <w:tcW w:w="346" w:type="dxa"/>
            <w:tcBorders/>
            <w:vAlign w:val="center"/>
          </w:tcPr>
          <w:p>
            <w:pPr>
              <w:pStyle w:val="TableContents"/>
              <w:bidi w:val="0"/>
              <w:spacing w:before="0" w:after="0"/>
              <w:ind w:left="0" w:right="0" w:hanging="0"/>
              <w:jc w:val="righ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(54,087)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(39,629)</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(30,905)</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(41,810)</w:t>
            </w:r>
          </w:p>
        </w:tc>
      </w:tr>
    </w:tbl>
    <w:p>
      <w:pPr>
        <w:pStyle w:val="TextBody"/>
        <w:bidi w:val="0"/>
        <w:spacing w:before="240" w:after="240"/>
        <w:ind w:left="0" w:right="0" w:firstLine="360"/>
        <w:jc w:val="left"/>
        <w:rPr>
          <w:rFonts w:ascii="Times New Roman;Times;serif" w:hAnsi="Times New Roman;Times;serif"/>
          <w:i/>
          <w:sz w:val="20"/>
        </w:rPr>
      </w:pPr>
      <w:r>
        <w:rPr>
          <w:rFonts w:ascii="Times New Roman;Times;serif" w:hAnsi="Times New Roman;Times;serif"/>
          <w:i/>
          <w:sz w:val="20"/>
        </w:rPr>
        <w:t>Sources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primary sources of liquidity for the next 12 months and beyond are cash generated from operations, cash and cash equivalents, and </w:t>
      </w:r>
      <w:r>
        <w:rPr>
          <w:rFonts w:ascii="Times New Roman;Times;serif" w:hAnsi="Times New Roman;Times;serif"/>
          <w:sz w:val="20"/>
          <w:shd w:fill="FFFFFF" w:val="clear"/>
        </w:rPr>
        <w:t xml:space="preserve">available borrowings under our Revolving Credit Facility and Delayed Draw Term Loan under the Amended and Restated Credit Agreement (the “Credit Facilities”, such agreement, the “Amended and Restated Credit Agreement”). We believe that these sources will be sufficient to finance our operating activities for at least the next 12 months.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As of July 3, 2026</w:t>
      </w:r>
      <w:r>
        <w:rPr>
          <w:rFonts w:ascii="Times New Roman;Times;serif" w:hAnsi="Times New Roman;Times;serif"/>
          <w:sz w:val="20"/>
        </w:rPr>
        <w:t xml:space="preserve">, </w:t>
      </w:r>
      <w:r>
        <w:rPr>
          <w:rFonts w:ascii="Times New Roman;Times;serif" w:hAnsi="Times New Roman;Times;serif"/>
          <w:sz w:val="20"/>
          <w:shd w:fill="FFFFFF" w:val="clear"/>
        </w:rPr>
        <w:t>we had a fully drawn $50.0 million term loan with $47.5 million outstanding, a $100 million Revolving Credit Facility with $20.0 million outstanding</w:t>
      </w:r>
      <w:r>
        <w:rPr>
          <w:rFonts w:ascii="Times New Roman;Times;serif" w:hAnsi="Times New Roman;Times;serif"/>
          <w:color w:val="212529"/>
          <w:sz w:val="20"/>
          <w:shd w:fill="FFFFFF" w:val="clear"/>
        </w:rPr>
        <w:t xml:space="preserve"> </w:t>
      </w:r>
      <w:r>
        <w:rPr>
          <w:rFonts w:ascii="Times New Roman;Times;serif" w:hAnsi="Times New Roman;Times;serif"/>
          <w:sz w:val="20"/>
          <w:shd w:fill="FFFFFF" w:val="clear"/>
        </w:rPr>
        <w:t>and $1.6 million in letters of credit issued. We also had an undrawn $50.0 million Delayed Draw Term Loan. The Delayed Draw Term Loan must be drawn before May 2027. The Credit Facilities are each scheduled to mature on May 5, 2030. In addition to the Credit Facilities, we had $34.9 million of unrestricted cash and cash equivalents as of July 3, 2026. Unhedged borrowings under our Credit Facilities, exclusive of the effects of upfront fees, undrawn fees and issuance cost amortization, bore interest at an annual rate of 5.3% as of July 3, 2026.</w:t>
      </w:r>
      <w:r>
        <w:rPr>
          <w:rFonts w:ascii="Times New Roman;Times;serif" w:hAnsi="Times New Roman;Times;serif"/>
          <w:sz w:val="20"/>
        </w:rPr>
        <w:t xml:space="preserve"> </w:t>
      </w:r>
      <w:r>
        <w:rPr>
          <w:rFonts w:ascii="Times New Roman;Times;serif" w:hAnsi="Times New Roman;Times;serif"/>
          <w:sz w:val="20"/>
          <w:shd w:fill="FFFFFF" w:val="clear"/>
        </w:rPr>
        <w:t xml:space="preserve">See Part I, Item 1, Note 6, “Debt Obligations”, of the Notes to Condensed Consolidated Financial Statements included in this Quarterly Report on Form 10-Q, and Part II, Item 8, Note 5, “Debt Obligations”, of the Notes to Consolidated Financial Statements included in our Annual Report on Form 10-K </w:t>
      </w:r>
      <w:r>
        <w:rPr>
          <w:rFonts w:ascii="Times New Roman;Times;serif" w:hAnsi="Times New Roman;Times;serif"/>
          <w:sz w:val="20"/>
        </w:rPr>
        <w:t>for the fiscal year ended January 2, 2026</w:t>
      </w:r>
      <w:r>
        <w:rPr>
          <w:rFonts w:ascii="Times New Roman;Times;serif" w:hAnsi="Times New Roman;Times;serif"/>
          <w:sz w:val="20"/>
          <w:shd w:fill="FFFFFF" w:val="clear"/>
        </w:rPr>
        <w:t xml:space="preserve">, for information regarding our indebtedness, including information about the Amended and Restated Credit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Agreement and repayments, principal repayment terms, interest rates, covenants, and other key terms of our outstanding indebtedness.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Cash flows provided by operating activities were $19.5 million for the six months ended July 3, 2026, as compared to cash flows provided by operating activities of $28.7 million for the six months ended July 4, 2025. Cash flows from operating activities primarily consists of net income, adjusted for non-cash charges, such as depreciation and amortization and stock-based compensation, plus or minus changes in current operating assets and liabilities. Cash flows provided by operating activities for the six months ended July 3, 2026, resulted primarily from higher working capital requirements to support the growth in revenues, partially offset by the higher income from operations. Cash flows provided by operating activities for the six months ended July 4, 2025, resulted primarily from the increase in earnings and lower working capital requirements. </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w:t>
      </w:r>
      <w:r>
        <w:rPr>
          <w:rFonts w:ascii="Times New Roman;Times;serif" w:hAnsi="Times New Roman;Times;serif"/>
          <w:sz w:val="20"/>
          <w:shd w:fill="FFFFFF" w:val="clear"/>
        </w:rPr>
        <w:t>sh flows used in investing activities were $54.1 million for the six months ended July 3, 2026, as compared to cash flows used in investing activities of $39.6 million for the six months ended July 4, 2025. Cash flows used in investing activities for the six months ended July 3, 2026 and for the six months ended July 4, 2025 were primarily due to cash paid for acquisitions, combined with cash paid for the development of proprietary software and the purchase of computers and equipment.</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provided by financing activities were $7.9 million for the </w:t>
      </w:r>
      <w:r>
        <w:rPr>
          <w:rFonts w:ascii="Times New Roman;Times;serif" w:hAnsi="Times New Roman;Times;serif"/>
          <w:sz w:val="20"/>
          <w:shd w:fill="FFFFFF" w:val="clear"/>
        </w:rPr>
        <w:t>six months ended July 3, 2026</w:t>
      </w:r>
      <w:r>
        <w:rPr>
          <w:rFonts w:ascii="Times New Roman;Times;serif" w:hAnsi="Times New Roman;Times;serif"/>
          <w:sz w:val="20"/>
        </w:rPr>
        <w:t xml:space="preserve">, as compared to cash flows used in financing activities of $30.9 million for </w:t>
      </w:r>
      <w:r>
        <w:rPr>
          <w:rFonts w:ascii="Times New Roman;Times;serif" w:hAnsi="Times New Roman;Times;serif"/>
          <w:sz w:val="20"/>
          <w:shd w:fill="FFFFFF" w:val="clear"/>
        </w:rPr>
        <w:t>the six months ended July 4, 2025</w:t>
      </w:r>
      <w:r>
        <w:rPr>
          <w:rFonts w:ascii="Times New Roman;Times;serif" w:hAnsi="Times New Roman;Times;serif"/>
          <w:sz w:val="20"/>
        </w:rPr>
        <w:t xml:space="preserve">. </w:t>
      </w:r>
    </w:p>
    <w:p>
      <w:pPr>
        <w:pStyle w:val="TextBody"/>
        <w:bidi w:val="0"/>
        <w:spacing w:before="180" w:after="180"/>
        <w:ind w:left="0" w:right="0" w:firstLine="720"/>
        <w:jc w:val="left"/>
        <w:rPr>
          <w:rFonts w:ascii="Times New Roman;Times;serif" w:hAnsi="Times New Roman;Times;serif"/>
          <w:sz w:val="20"/>
        </w:rPr>
      </w:pPr>
      <w:r>
        <w:rPr>
          <w:rFonts w:ascii="Times New Roman;Times;serif" w:hAnsi="Times New Roman;Times;serif"/>
          <w:sz w:val="20"/>
        </w:rPr>
        <w:t>For the six months ended July 3, 2026, cash flows provided by financing activities were primarily attributable to b</w:t>
      </w:r>
      <w:r>
        <w:rPr>
          <w:rFonts w:ascii="Times New Roman;Times;serif" w:hAnsi="Times New Roman;Times;serif"/>
          <w:sz w:val="20"/>
          <w:shd w:fill="FFFFFF" w:val="clear"/>
        </w:rPr>
        <w:t xml:space="preserve">orrowings, and repayments, of $30.0 million and $10.0 million, respectively, related to the </w:t>
      </w:r>
      <w:r>
        <w:rPr>
          <w:rFonts w:ascii="Times New Roman;Times;serif" w:hAnsi="Times New Roman;Times;serif"/>
          <w:sz w:val="20"/>
        </w:rPr>
        <w:t>Revolving Credit Facility</w:t>
      </w:r>
      <w:r>
        <w:rPr>
          <w:rFonts w:ascii="Times New Roman;Times;serif" w:hAnsi="Times New Roman;Times;serif"/>
          <w:sz w:val="20"/>
          <w:shd w:fill="FFFFFF" w:val="clear"/>
        </w:rPr>
        <w:t xml:space="preserve"> </w:t>
      </w:r>
      <w:r>
        <w:rPr>
          <w:rFonts w:ascii="Times New Roman;Times;serif" w:hAnsi="Times New Roman;Times;serif"/>
          <w:sz w:val="20"/>
        </w:rPr>
        <w:t xml:space="preserve">combined with the receipt, and disbursement, of $7.2 million and $2.9 million, respectively, related to utility rebates, $1.9 million of proceeds from sales of common stock under the employee stock purchase plan, and $1.5 million of proceeds from stock option exercises. Cash flows provided by financing activities were partially offset by $9.0 million cash used to fund withholding taxes on vesting stock grants, $8.8 million in payments for contingent consideration, </w:t>
      </w:r>
      <w:r>
        <w:rPr>
          <w:rFonts w:ascii="Times New Roman;Times;serif" w:hAnsi="Times New Roman;Times;serif"/>
          <w:sz w:val="20"/>
          <w:shd w:fill="FFFFFF" w:val="clear"/>
        </w:rPr>
        <w:t xml:space="preserve">and $1.3 million cash used to pay down our Term Loan. </w:t>
      </w:r>
      <w:r>
        <w:rPr>
          <w:rFonts w:ascii="Times New Roman;Times;serif" w:hAnsi="Times New Roman;Times;serif"/>
          <w:sz w:val="20"/>
        </w:rPr>
        <w:t>For the six months ended July 4, 2025, cash flows used in financing activities were primarily attributable to the $28.4 million cash used to pay down our Revolving Credit Facility, $3.1 million cash used to fund withholding taxes on vesting stock grants, combined with repayments, and borrowings, of $90.0 million and $88.4 million, respectively, related to our Amended and Restated Credit Agreement. Cash flows used in financing activities were partially offset by $1.9 million in proceeds from stock option exercise, and $1.5 million of proceeds from sales of common stock under the employee stock purchase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certain utility contracts, we periodically receive cash deposits to be held in trust for the payment of energy incentive rebates to be sent directly to the utility’s end-customer on behalf of the utility. We act solely as the utility’s agent to distribute these funds to the end-customer and, accordingly, we classify these contractually restricted funds as restricted cash. Because these funds are held in trust for pass through to the utility’s customers and have no impact on our working capital or operating cash flows, these cash receipts are presented in the condensed consolidated statement of cash flows as financing cash inflows, “Receipt of restricted cash”, with the subsequent payments classified as financing cash outflows, “Payment of restricted cash.”</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Off-Balance Sheet Arrangements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do not have any off-balance sheet financing arrangements or liabilities. </w:t>
      </w:r>
      <w:r>
        <w:rPr>
          <w:rFonts w:ascii="Times New Roman;Times;serif" w:hAnsi="Times New Roman;Times;serif"/>
          <w:sz w:val="20"/>
          <w:shd w:fill="FFFFFF" w:val="clear"/>
        </w:rPr>
        <w:t>In addition, our policy is not to enter into futures or forward contracts. </w:t>
      </w:r>
      <w:r>
        <w:rPr>
          <w:rFonts w:ascii="Times New Roman;Times;serif" w:hAnsi="Times New Roman;Times;serif"/>
          <w:sz w:val="20"/>
        </w:rPr>
        <w:t xml:space="preserve">Finally, we do not have any majority-owned subsidiaries or any interests in, or relationships with, any special-purpose entities that are not included in the consolidated financial statements. We have, however, an administrative services agreement with Genesys in which we provide Genesys with ongoing administrative,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operational and other non-professional support services. We manage Genesys and have the power to direct the activities that most significantly impact Genesys’ performance, in addition to being obligated to absorb expected losses from Genesys. Accordingly, we are the primary beneficiary of Genesys and consolidate Genesys as a variable interest entity.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Short and Long-term Uses of Cash</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Our principal uses of cash are to fund operating expenses, support working capital requirements, finance capital expenditures, and pay down outstanding debt. From time to time, we also use cash to help fund business acquisitions. </w:t>
      </w:r>
      <w:r>
        <w:rPr>
          <w:rFonts w:ascii="Times New Roman;Times;serif" w:hAnsi="Times New Roman;Times;serif"/>
          <w:sz w:val="20"/>
          <w:shd w:fill="FFFFFF" w:val="clear"/>
        </w:rPr>
        <w:t>Our cash and cash equivalents are impacted by the timing of when we invoice and are paid by our customers for services rendered and when we pay expenses as reflected in the change in our outstanding accounts payable and accrued expenses.</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Contractual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known contractual obligations as of July 3, 2026:</w:t>
      </w:r>
    </w:p>
    <w:tbl>
      <w:tblPr>
        <w:tblW w:w="10205" w:type="dxa"/>
        <w:jc w:val="left"/>
        <w:tblInd w:w="0" w:type="dxa"/>
        <w:tblLayout w:type="fixed"/>
        <w:tblCellMar>
          <w:top w:w="0" w:type="dxa"/>
          <w:left w:w="0" w:type="dxa"/>
          <w:bottom w:w="0" w:type="dxa"/>
          <w:right w:w="0" w:type="dxa"/>
        </w:tblCellMar>
      </w:tblPr>
      <w:tblGrid>
        <w:gridCol w:w="3397"/>
        <w:gridCol w:w="346"/>
        <w:gridCol w:w="211"/>
        <w:gridCol w:w="781"/>
        <w:gridCol w:w="346"/>
        <w:gridCol w:w="214"/>
        <w:gridCol w:w="687"/>
        <w:gridCol w:w="346"/>
        <w:gridCol w:w="238"/>
        <w:gridCol w:w="763"/>
        <w:gridCol w:w="346"/>
        <w:gridCol w:w="238"/>
        <w:gridCol w:w="763"/>
        <w:gridCol w:w="346"/>
        <w:gridCol w:w="267"/>
        <w:gridCol w:w="724"/>
        <w:gridCol w:w="192"/>
      </w:tblGrid>
      <w:tr>
        <w:trPr/>
        <w:tc>
          <w:tcPr>
            <w:tcW w:w="3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57095" cy="175260"/>
                      <wp:effectExtent l="0" t="0" r="0" b="0"/>
                      <wp:wrapNone/>
                      <wp:docPr id="306" name="Frame306"/>
                      <a:graphic xmlns:a="http://schemas.openxmlformats.org/drawingml/2006/main">
                        <a:graphicData uri="http://schemas.microsoft.com/office/word/2010/wordprocessingShape">
                          <wps:wsp>
                            <wps:cNvSpPr txBox="1"/>
                            <wps:spPr>
                              <a:xfrm>
                                <a:off x="0" y="0"/>
                                <a:ext cx="2157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95935" cy="175260"/>
                      <wp:effectExtent l="0" t="0" r="0" b="0"/>
                      <wp:wrapNone/>
                      <wp:docPr id="309" name="Frame3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5890" cy="175260"/>
                      <wp:effectExtent l="0" t="0" r="0" b="0"/>
                      <wp:wrapNone/>
                      <wp:docPr id="311" name="Frame31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36245" cy="175260"/>
                      <wp:effectExtent l="0" t="0" r="0" b="0"/>
                      <wp:wrapNone/>
                      <wp:docPr id="312" name="Frame312"/>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51130" cy="175260"/>
                      <wp:effectExtent l="0" t="0" r="0" b="0"/>
                      <wp:wrapNone/>
                      <wp:docPr id="314" name="Frame31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84505" cy="175260"/>
                      <wp:effectExtent l="0" t="0" r="0" b="0"/>
                      <wp:wrapNone/>
                      <wp:docPr id="315" name="Frame315"/>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51130" cy="175260"/>
                      <wp:effectExtent l="0" t="0" r="0" b="0"/>
                      <wp:wrapNone/>
                      <wp:docPr id="317" name="Frame31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84505" cy="175260"/>
                      <wp:effectExtent l="0" t="0" r="0" b="0"/>
                      <wp:wrapNone/>
                      <wp:docPr id="318" name="Frame318"/>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69545" cy="175260"/>
                      <wp:effectExtent l="0" t="0" r="0" b="0"/>
                      <wp:wrapNone/>
                      <wp:docPr id="320" name="Frame32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59740" cy="175260"/>
                      <wp:effectExtent l="0" t="0" r="0" b="0"/>
                      <wp:wrapNone/>
                      <wp:docPr id="321" name="Frame321"/>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21920" cy="175260"/>
                      <wp:effectExtent l="0" t="0" r="0" b="0"/>
                      <wp:wrapNone/>
                      <wp:docPr id="322" name="Frame322"/>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Less than</w:t>
            </w:r>
          </w:p>
        </w:tc>
        <w:tc>
          <w:tcPr>
            <w:tcW w:w="346" w:type="dxa"/>
            <w:tcBorders/>
            <w:vAlign w:val="center"/>
          </w:tcPr>
          <w:p>
            <w:pPr>
              <w:pStyle w:val="TableContents"/>
              <w:bidi w:val="0"/>
              <w:spacing w:before="0" w:after="0"/>
              <w:ind w:left="0" w:right="0" w:hanging="0"/>
              <w:jc w:val="center"/>
              <w:rPr/>
            </w:pPr>
            <w:r>
              <w:rPr/>
              <w:t>  ​ ​ ​</w:t>
            </w:r>
          </w:p>
        </w:tc>
        <w:tc>
          <w:tcPr>
            <w:tcW w:w="238" w:type="dxa"/>
            <w:tcBorders/>
            <w:vAlign w:val="center"/>
          </w:tcPr>
          <w:p>
            <w:pPr>
              <w:pStyle w:val="TableContents"/>
              <w:bidi w:val="0"/>
              <w:spacing w:before="0" w:after="0"/>
              <w:ind w:left="0" w:right="0" w:hanging="0"/>
              <w:jc w:val="center"/>
              <w:rPr/>
            </w:pPr>
            <w:r>
              <w:rPr/>
              <w:t>​</w:t>
            </w:r>
          </w:p>
        </w:tc>
        <w:tc>
          <w:tcPr>
            <w:tcW w:w="76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8" w:type="dxa"/>
            <w:tcBorders/>
            <w:vAlign w:val="center"/>
          </w:tcPr>
          <w:p>
            <w:pPr>
              <w:pStyle w:val="TableContents"/>
              <w:bidi w:val="0"/>
              <w:spacing w:before="0" w:after="0"/>
              <w:ind w:left="0" w:right="0" w:hanging="0"/>
              <w:jc w:val="center"/>
              <w:rPr/>
            </w:pPr>
            <w:r>
              <w:rPr/>
              <w:t>​</w:t>
            </w:r>
          </w:p>
        </w:tc>
        <w:tc>
          <w:tcPr>
            <w:tcW w:w="76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More than</w:t>
            </w:r>
          </w:p>
        </w:tc>
        <w:tc>
          <w:tcPr>
            <w:tcW w:w="192" w:type="dxa"/>
            <w:tcBorders/>
            <w:vAlign w:val="center"/>
          </w:tcPr>
          <w:p>
            <w:pPr>
              <w:pStyle w:val="TableContents"/>
              <w:bidi w:val="0"/>
              <w:spacing w:before="0" w:after="0"/>
              <w:ind w:left="0" w:right="0" w:hanging="0"/>
              <w:jc w:val="center"/>
              <w:rPr/>
            </w:pPr>
            <w:r>
              <w:rPr/>
              <w:t> </w:t>
            </w:r>
          </w:p>
        </w:tc>
      </w:tr>
      <w:tr>
        <w:trPr/>
        <w:tc>
          <w:tcPr>
            <w:tcW w:w="33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Year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1 - 3 Years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3 - 5 Years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 Years</w:t>
            </w:r>
          </w:p>
        </w:tc>
        <w:tc>
          <w:tcPr>
            <w:tcW w:w="192" w:type="dxa"/>
            <w:tcBorders/>
            <w:vAlign w:val="center"/>
          </w:tcPr>
          <w:p>
            <w:pPr>
              <w:pStyle w:val="TableContents"/>
              <w:bidi w:val="0"/>
              <w:spacing w:before="0" w:after="0"/>
              <w:ind w:left="0" w:right="0" w:hanging="0"/>
              <w:jc w:val="center"/>
              <w:rPr/>
            </w:pPr>
            <w:r>
              <w:rPr/>
              <w:t> </w:t>
            </w:r>
          </w:p>
        </w:tc>
      </w:tr>
      <w:tr>
        <w:trPr/>
        <w:tc>
          <w:tcPr>
            <w:tcW w:w="33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270" w:type="dxa"/>
            <w:gridSpan w:val="14"/>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tc>
        <w:tc>
          <w:tcPr>
            <w:tcW w:w="192" w:type="dxa"/>
            <w:tcBorders/>
            <w:vAlign w:val="center"/>
          </w:tcPr>
          <w:p>
            <w:pPr>
              <w:pStyle w:val="TableContents"/>
              <w:bidi w:val="0"/>
              <w:spacing w:before="0" w:after="0"/>
              <w:ind w:left="0" w:right="0" w:hanging="0"/>
              <w:jc w:val="center"/>
              <w:rPr/>
            </w:pPr>
            <w:r>
              <w:rPr/>
              <w:t>​</w:t>
            </w:r>
          </w:p>
        </w:tc>
      </w:tr>
      <w:tr>
        <w:trPr/>
        <w:tc>
          <w:tcPr>
            <w:tcW w:w="339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Debt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67,245</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4,872</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59,873</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39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payments on debt outstanding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13,372</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6,686</w:t>
            </w:r>
          </w:p>
        </w:tc>
        <w:tc>
          <w:tcPr>
            <w:tcW w:w="34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33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19,909</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righ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7,724</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righ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3,056</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33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4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33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contractual cash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102,563</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12,055</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20,187</w:t>
            </w:r>
          </w:p>
        </w:tc>
        <w:tc>
          <w:tcPr>
            <w:tcW w:w="34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66,119</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4,202</w:t>
            </w:r>
          </w:p>
        </w:tc>
        <w:tc>
          <w:tcPr>
            <w:tcW w:w="192"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shd w:fill="FFFFFF" w:val="clear"/>
              </w:rPr>
              <w:t xml:space="preserve">Debt includes $47.2 million outstanding on our Term Loan A (“TLA”), net of issuance costs, </w:t>
            </w:r>
            <w:r>
              <w:rPr>
                <w:rFonts w:ascii="Times New Roman;Times;serif" w:hAnsi="Times New Roman;Times;serif"/>
                <w:b w:val="false"/>
                <w:i w:val="false"/>
                <w:caps w:val="false"/>
                <w:smallCaps w:val="false"/>
                <w:sz w:val="18"/>
              </w:rPr>
              <w:t>$20.0 million outstanding on our Revolving Credit Facility</w:t>
            </w:r>
            <w:r>
              <w:rPr>
                <w:rFonts w:ascii="Times New Roman;Times;serif" w:hAnsi="Times New Roman;Times;serif"/>
                <w:b w:val="false"/>
                <w:i w:val="false"/>
                <w:caps w:val="false"/>
                <w:smallCaps w:val="false"/>
                <w:sz w:val="18"/>
                <w:shd w:fill="FFFFFF" w:val="clear"/>
              </w:rPr>
              <w:t xml:space="preserve">, and no borrowed amounts outstanding on our Delayed Draw Term Loan as of July 3, 2026. </w:t>
            </w:r>
            <w:r>
              <w:rPr>
                <w:rFonts w:ascii="Times New Roman;Times;serif" w:hAnsi="Times New Roman;Times;serif"/>
                <w:b w:val="false"/>
                <w:i w:val="false"/>
                <w:caps w:val="false"/>
                <w:smallCaps w:val="false"/>
                <w:sz w:val="18"/>
              </w:rPr>
              <w:t>We have assumed no future borrowings or repayments after July 3, 2026 (other than at maturity) for purposes of this table. Our TLA and Revolving Credit Facility are scheduled to mature on May 5, 2030.</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Borrowings under our TLA and Revolving Credit Facility bear interest at a variable rate. Future interest payments on our Credit Facility are estimated using floating rates in effect as of July 3, 2026.</w:t>
            </w:r>
          </w:p>
        </w:tc>
      </w:tr>
    </w:tbl>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contingent obligations to make earnout payments in connection with our acquisitions of Enica, APG, </w:t>
      </w:r>
      <w:r>
        <w:rPr>
          <w:rFonts w:ascii="Times New Roman;Times;serif" w:hAnsi="Times New Roman;Times;serif"/>
          <w:sz w:val="20"/>
          <w:shd w:fill="FFFFFF" w:val="clear"/>
        </w:rPr>
        <w:t xml:space="preserve">Compass, and Burton </w:t>
      </w:r>
      <w:r>
        <w:rPr>
          <w:rFonts w:ascii="Times New Roman;Times;serif" w:hAnsi="Times New Roman;Times;serif"/>
          <w:sz w:val="20"/>
        </w:rPr>
        <w:t xml:space="preserve">subject to their future financial performance. We are contingently obligated to pay up to $6.0 million in cash if Enica exceeds certain financial targets during the two years after the Enica closing date of October 23, 2024. We are contingently obligated to pay up to $18.0 million in cash if APG exceeds certain financial targets during the three years after the APG closing date of March 3, 2025. We are contingently obligated to pay up to $1.0 million in cash if Compass exceeds certain financial targets during the one year after the Compass closing date of January 2, 2026. We are contingently obligated to pay up to $12.0 million in cash if Burton exceeds certain financial targets during the two years after the Burton closing date of May 4, 2026.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July 3, 2026, we had contingent consideration payable of $22.8 million related to the acquisitions of Enica, APG, Compass, and Burton. Through the six months ended July 3, 2026, our statement of operations includes $1.8 million of interest accretion (excluding fair value adjustments) related to the contingent consideration.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Outstanding Indebtedness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Part I, Item 1, Note 6, “</w:t>
      </w:r>
      <w:r>
        <w:rPr>
          <w:rFonts w:ascii="Times New Roman;Times;serif" w:hAnsi="Times New Roman;Times;serif"/>
          <w:i/>
          <w:sz w:val="20"/>
        </w:rPr>
        <w:t>Debt Obligations</w:t>
      </w:r>
      <w:r>
        <w:rPr>
          <w:rFonts w:ascii="Times New Roman;Times;serif" w:hAnsi="Times New Roman;Times;serif"/>
          <w:sz w:val="20"/>
        </w:rPr>
        <w:t>”, of the Notes to Condensed Consolidated Financial Statements included in this Quarterly Report on Form 10-Q, and Part II, Item 8, Note 5, “</w:t>
      </w:r>
      <w:r>
        <w:rPr>
          <w:rFonts w:ascii="Times New Roman;Times;serif" w:hAnsi="Times New Roman;Times;serif"/>
          <w:i/>
          <w:sz w:val="20"/>
        </w:rPr>
        <w:t>Debt Obligations</w:t>
      </w:r>
      <w:r>
        <w:rPr>
          <w:rFonts w:ascii="Times New Roman;Times;serif" w:hAnsi="Times New Roman;Times;serif"/>
          <w:sz w:val="20"/>
        </w:rPr>
        <w:t xml:space="preserve">”, of the Notes to Consolidated Financial Statements included in our Annual Report on Form 10-K for the fiscal year ended January 2, 2026, for information regarding our indebtedness, including information about new borrowings and repayments, principal repayment terms, interest rates, covenants, and other key terms of our outstanding indebtedness.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Interest Rate Swap</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enter into interest rate swap agreements to moderate our exposure to fluctuations in interest rates underlying our variable rate debt. For more information, see Part I, Item 3, “</w:t>
      </w:r>
      <w:r>
        <w:rPr>
          <w:rFonts w:ascii="Times New Roman;Times;serif" w:hAnsi="Times New Roman;Times;serif"/>
          <w:i/>
          <w:sz w:val="20"/>
        </w:rPr>
        <w:t>Quantitative and Qualitative Disclosures About Market Risk</w:t>
      </w:r>
      <w:r>
        <w:rPr>
          <w:rFonts w:ascii="Times New Roman;Times;serif" w:hAnsi="Times New Roman;Times;serif"/>
          <w:sz w:val="20"/>
        </w:rPr>
        <w:t>”, and Note 5, “</w:t>
      </w:r>
      <w:r>
        <w:rPr>
          <w:rFonts w:ascii="Times New Roman;Times;serif" w:hAnsi="Times New Roman;Times;serif"/>
          <w:i/>
          <w:sz w:val="20"/>
        </w:rPr>
        <w:t>Derivative Financial Instruments</w:t>
      </w:r>
      <w:r>
        <w:rPr>
          <w:rFonts w:ascii="Times New Roman;Times;serif" w:hAnsi="Times New Roman;Times;serif"/>
          <w:sz w:val="20"/>
        </w:rPr>
        <w:t>”, to the Notes to Condensed Consolidated Financial Statements included in this Quarterly Report on Form 10-Q.</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Impact of Inflation</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Due to the average duration of our projects and our ability to negotiate prices as contracts end and new contracts begin, historically, our operations have not been materially impacted by inflation.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While not material to our results of operations and financial condition, we have experienced higher cost of materials and delays in our supply chain for equipment. The prices of finished products from manufacturers are subject to fluctuation and increases. It is difficult to accurately measure the impact of inflation, tariffs, price escalation, raw material costs, and other factors that impact the cost of finished goods due to the imprecise nature of the estimates required.</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often able to mitigate the impact of future price increases by entering into fixed price purchase orders for materials and equipment, and subcontracts on our projects, as well as, when appropriate, including cost escalation factors into our proposals. Despite our best mitigation efforts, significant price increases in equipment and disruptions to our supply chain could materially impact our results of operations and financial condition. In addition, inflationary pressures, including expectations of future inflation, may impact the customers of our utility clients, which may lead to delayed or deferred decisions regarding expenditures to improve energy efficiency, and therefore potentially impact our future revenues.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Impact of Certain Federal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Federal policies related to tariffs and renewable energy incentives have been subject to frequent and significant changes from executive orders issued by the new federal administration. While we have not experienced a material impact to our operating results or our outlook for future business, there can be no assurance that these measures will not impact our ability to procure cost-effective pricing of materials used in our projects at various building sites, or result in a reduction in demand for our services as a result of inflation, lead times, or other impacts that may derive from changes in the current administration’s executive orders.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Revenue and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generally provide our services under contracts, purchase orders or retainer letters. The agreements we enter into with our clients typically incorporate one of three principal types of pricing provisions: time-and-materials, unit-based, and fixed price. Revenue on our time-and-materials and unit-based contracts are recognized as the work is performed in accordance with specific terms of the contract. As of July 3, 2026, 16% of our contracts are time-and-materials contracts, 33% are unit-based contracts, and 51% are fixed price contracts, compared to 19% are time-and-materials contracts, 36% are unit-based contracts, and 45% are fixed price contracts, as of July 4, 2025.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Some of these contracts include maximum contract prices, but contract maximums are often adjusted to reflect the level of effort to achieve client objectives and thus the majority of these contracts are not expected to exceed the maximum. Contract revenue on our fixed price contracts is determined on the percentage of completion method based generally on the ratio of direct costs incurred to date to estimated total direct costs at completion. Many of our fixed price contracts involve a high degree of subcontracted fixed price effort and are relatively short in duration, thereby lowering the risks of not properly estimating the percent complete.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Adjustments to contract cost estimates are made in the periods in which the facts requiring such revisions become known. When the revised estimate indicates a loss, such loss is recognized in the current period in its entirety. Claims and change orders that have not been finalized are evaluated to determine whether or not a change has occurred in the enforceable rights and obligations of the original contract. If these non-finalized changes qualify as a contract modification, a determination is made whether to account for the change in contract value as a modification to the existing contract, or a separate contract and revenue under the claims or change orders is recognized accordingly. Costs related to un-priced change orders are expensed when incurred, and recognition of the related revenue is based on the assessment above of whether or not a contract modification has occurred. Estimated profit for un-priced change orders is recognized only if collection is probable.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contracts come up for renewal periodically and at the time of renewal may be subject to renegotiation, which could impact the profitability of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contracts, the renewal, termination or modification of a contract, in particular contracts with Consolidated Edison, the Dormitory Authority-State of New York, the New York City Housing Authority, and utility programs associated with Los Angeles Department of Water and Power and Southern California Edison, may have a material effect on our consolidated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contracts include certain performance guarantees, such as a guaranteed energy saving quantity. Such guarantees are generally measured upon completion of a project. In the event that the measured performance level is less than the guaranteed level, any resulting financial penalty, including any additional work that may be required to fulfill the guarantee, is estimated and charged to direct expenses in the current period. We have not experienced any significant costs under such guarantees.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Direct Costs of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consist primarily of that portion of salaries and wages that have been incurred in connection with revenue producing projects. Direct costs of contract revenue also include material costs, subcontractor services, equipment and other expenses that are incurred in connection with revenue producing projects. Direct costs of contract revenue exclude that portion of salaries and wages related to marketing efforts, vacations, holidays and other time not spent directly generating revenue under existing contracts. Such costs are included in general and administrative expenses. Additionally, payroll taxes, bonuses and employee benefit costs for all of our personnel are included in general and administrative expenses since no allocation of these costs is made to direct costs of contract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companies may classify as direct costs of contract revenue some of the costs that we classify as general and administrative costs. We expense direct costs of contract revenue when incurred.</w:t>
      </w:r>
    </w:p>
    <w:p>
      <w:pPr>
        <w:pStyle w:val="TextBody"/>
        <w:bidi w:val="0"/>
        <w:spacing w:before="0" w:after="140"/>
        <w:ind w:left="0" w:right="0" w:firstLine="36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G&amp;A expenses include the costs of the marketing and support staff, other marketing expenses, management and administrative personnel costs, payroll taxes, bonuses and employee benefits for all of our employees and the portion of salaries and wages not allocated to direct costs of contract revenue for those employees who provide our services. G&amp;A expenses also include facility costs, depreciation and amortization, professional services, legal and accounting fees and administrative operating costs. Within G&amp;A expenses, “Other” includes expenses such as professional services, legal and accounting, computer costs, travel and entertainment, marketing costs and acquisition costs. We expense general and administrative costs when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prepared the accompanying unaudited Condensed Consolidated Financial Statements in accordance with generally accepted accounting principles in the U.S. (“GAAP”). To prepare these financial statements in conformity with GAAP, we must make estimates and assumptions that affect the reported amounts of assets and liabilities at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date of the financial statements and the reported amount of revenue and expenses in the reporting period. Our actual results may differ from these estimates. We have adopted accounting policies and practices that are generally accepted in the industry in which we operate.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in our critical accounting policies and estimates from those disclosed in our Annual Report on Form 10-K for our fiscal year ended January 2, 2026. Please refer to Part II, Item 7 of our Annual Report on Form 10-K for the fiscal year ended January 2, 2026 for a discussion of our critical accounting policies and estimates.</w:t>
      </w:r>
    </w:p>
    <w:p>
      <w:pPr>
        <w:pStyle w:val="TextBody"/>
        <w:bidi w:val="0"/>
        <w:spacing w:before="1" w:after="0"/>
        <w:ind w:left="0" w:right="0" w:hanging="0"/>
        <w:jc w:val="left"/>
        <w:rPr>
          <w:rFonts w:ascii="Times New Roman;Times;serif" w:hAnsi="Times New Roman;Times;serif"/>
          <w:b/>
          <w:sz w:val="20"/>
        </w:rPr>
      </w:pPr>
      <w:r>
        <w:rPr>
          <w:rFonts w:ascii="Times New Roman;Times;serif" w:hAnsi="Times New Roman;Times;serif"/>
          <w:b/>
          <w:sz w:val="20"/>
        </w:rPr>
        <w:t>Recent Accounting Standards</w:t>
      </w:r>
    </w:p>
    <w:p>
      <w:pPr>
        <w:pStyle w:val="TextBody"/>
        <w:pBdr/>
        <w:bidi w:val="0"/>
        <w:spacing w:before="1" w:after="0"/>
        <w:ind w:left="720" w:right="0" w:hanging="202"/>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 description of recently issued and adopted accounting pronouncements, including adoption dates and expected effects on our results of operations and financial condition, see Part I, Item 1, Note 2, “</w:t>
      </w:r>
      <w:r>
        <w:rPr>
          <w:rFonts w:ascii="Times New Roman;Times;serif" w:hAnsi="Times New Roman;Times;serif"/>
          <w:i/>
          <w:sz w:val="20"/>
        </w:rPr>
        <w:t>Recent Accounting Pronouncements</w:t>
      </w:r>
      <w:r>
        <w:rPr>
          <w:rFonts w:ascii="Times New Roman;Times;serif" w:hAnsi="Times New Roman;Times;serif"/>
          <w:sz w:val="20"/>
        </w:rPr>
        <w:t>”, of the Notes to Condensed Consolidated Financial Statements included in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58" w:name="ITEM7AQUANTITATIVEANDQUALITATIVE_562372"/>
      <w:bookmarkStart w:id="1659" w:name="_8d21c826_6f2c_4219_8235_d0c73f5f9f96"/>
      <w:bookmarkEnd w:id="1658"/>
      <w:bookmarkEnd w:id="1659"/>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 risk is the risk of loss to future earnings, to fair values or to future cash flows that may result from changes in the price of a financial instrument. The value of a financial instrument may change as a result of changes in interest rates, exchange rates, commodity prices, equity prices and other market changes. Market risk is attributed to all market risk sensitive financial instruments, including long-term 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July 3, 2026, we had cash and cash equivalents of $39.2 million, including restricted cash. This amount represents cash on hand in business checking accounts with our banks. We do not engage in trading activities and do not participate in foreign currency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interest rate risk in connection with our Term Loan A (“TLA”) and borrowings, if any, under our Revolving Credit Facility, each of which bears interest at variable rates. As of July 3, 2026, the Company had a fully drawn $50.0 million TLA with $47.5 million outstanding, a $100.0 million Revolving Credit Facility with $20.0 million outstanding, and $1.6 million in letters of credit issued, and a $50.0 million Delayed Draw Term Loan with no borrowed amounts. Each of our TLA, Revolving Credit Facility and Delayed Draw Term Loan mature on May 5, 2030 and are governed by our Amended and Restated Credit Agreement.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Based upon the amount of our outstanding indebtedness as of July 3, 2026, a one percentage point increase in the effective interest rate would change our annual interest expense by approximately $0.7 million in fiscal year 2026. </w:t>
      </w:r>
    </w:p>
    <w:p>
      <w:pPr>
        <w:pStyle w:val="TextBody"/>
        <w:bidi w:val="0"/>
        <w:spacing w:before="100" w:after="100"/>
        <w:ind w:left="0" w:right="0" w:firstLine="720"/>
        <w:jc w:val="left"/>
        <w:rPr/>
      </w:pPr>
      <w:r>
        <w:rPr/>
        <w:t>​</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660" w:name="Item4ControlsandProcedures_72182"/>
      <w:bookmarkStart w:id="1661" w:name="_d4934631_5903_4396_bf46_35370736ab9c"/>
      <w:bookmarkEnd w:id="1660"/>
      <w:bookmarkEnd w:id="1661"/>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maintain disclosure controls and procedures, as defined in Rule 13a-15(e) and Rule 15-d-15(e) under the Securities Exchange Act of 1934, as amended (the “Exchange Act”), as controls and other procedures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Securities Exchange Act is accumulated and communicated to our management, </w:t>
      </w:r>
      <w:r>
        <w:rPr>
          <w:rFonts w:ascii="Times New Roman;Times;serif" w:hAnsi="Times New Roman;Times;serif"/>
          <w:sz w:val="20"/>
          <w:shd w:fill="FFFFFF" w:val="clear"/>
        </w:rPr>
        <w:t>including our President and Chief Executive Officer, Michael A. Bieber, and our Chief Financial Officer and Executive Vice President</w:t>
      </w:r>
      <w:r>
        <w:rPr>
          <w:rFonts w:ascii="Times New Roman;Times;serif" w:hAnsi="Times New Roman;Times;serif"/>
          <w:sz w:val="20"/>
        </w:rPr>
        <w:t>, Creighton K. Early, as appropriate to allow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preparation of this Quarterly Report, an evaluation was performed under the supervision and with the participation of our management, including our principal executive officer and principal financial officer, of the effectiveness of our disclosure controls and procedures as of July 3, 2026. Based on that evaluation, our principal executive officer and principal financial officer concluded that our disclosure controls and procedures were effective, at a reasonable assurance level, as of July 3, 2026. </w:t>
      </w:r>
    </w:p>
    <w:p>
      <w:pPr>
        <w:pStyle w:val="TextBody"/>
        <w:bidi w:val="0"/>
        <w:spacing w:before="0" w:after="0"/>
        <w:ind w:left="0" w:right="0" w:firstLine="720"/>
        <w:jc w:val="left"/>
        <w:rPr/>
      </w:pPr>
      <w:r>
        <w:rPr/>
        <w:t>​</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sz w:val="20"/>
        </w:rPr>
        <w:t>On January 2, 2026 and May 4, 2026, we completed the acquisition of Compass Municipal Advisors, LLC. (“Compass”) and Burton, respectively.</w:t>
      </w:r>
      <w:r>
        <w:rPr>
          <w:rFonts w:ascii="Times New Roman;Times;serif" w:hAnsi="Times New Roman;Times;serif"/>
          <w:sz w:val="20"/>
          <w:shd w:fill="FFFFFF" w:val="clear"/>
        </w:rPr>
        <w:t xml:space="preserve"> </w:t>
      </w:r>
      <w:r>
        <w:rPr>
          <w:rFonts w:ascii="Times New Roman;Times;serif" w:hAnsi="Times New Roman;Times;serif"/>
          <w:sz w:val="20"/>
        </w:rPr>
        <w:t>Prior to the acquisition, Compass and Burton were privately-held companies and were not subject to the Sarbanes-Oxley Act of 2002, the rules and regulations of the SEC, or other corporate governance requirements applicable to public reporting companies. As part of our ongoing integration activities, we are continuing to incorporate our controls and procedures into Compass and Burton, and, if needed, to augment our company-wide controls to reflect the risks that may be inherent in the acquisition of these privately-held companies.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than our integration of Compass and Burton, there have been no changes in our internal control over financial reporting during the quarter ended July 3, 2026, that have materially affected, or are reasonably likely to materially affect, our internal control over financial reporting.</w:t>
      </w:r>
    </w:p>
    <w:p>
      <w:pPr>
        <w:pStyle w:val="TextBody"/>
        <w:bidi w:val="0"/>
        <w:spacing w:before="0" w:after="18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62" w:name="PARTIIOTHERINFORMATION_167293"/>
      <w:bookmarkStart w:id="1663" w:name="_c23d5492_21c1_4960_b00d_5958af5f3333"/>
      <w:bookmarkEnd w:id="1662"/>
      <w:bookmarkEnd w:id="1663"/>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664" w:name="ITEM3LEGALPROCEEDINGS_429119"/>
      <w:bookmarkEnd w:id="1664"/>
      <w:r>
        <w:rPr>
          <w:rFonts w:ascii="Times New Roman;Times;serif" w:hAnsi="Times New Roman;Times;serif"/>
          <w:b/>
          <w:sz w:val="20"/>
        </w:rPr>
        <w:t>ITEM 1.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claims and lawsuits from time to time, including those alleging professional errors or omissions that arise in the ordinary course of business against firms that operate in the engineering and consulting professions. We carry professional liability insurance, subject to certain deductibles and policy limits, for such claims as they arise and may from time to time establish reserves for litigation that is considered probable of a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we accrue an undiscounted liability for those contingencies where the incurrence of a loss is probable and the amount can be reasonably estimated, and we disclose the amount accrued and an estimate of any reasonably possible loss in excess of the amount accrued, if such disclosure is necessary for our financial statements not to be misleading. We do not accrue liabilities when the likelihood that the liability has been incurred is probable but the amount cannot be reasonably estimated, or when the liability is believed to be only reasonably possible or remote.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litigation outcomes are inherently unpredictable, our evaluation of legal proceedings often involves a series of complex assessments by management about future events and can rely heavily on estimates and assumptions. If the assessments indicate that loss contingencies that could be material to any one of our financial statements are not probable, but are reasonably possible, or are probable, but cannot be estimated, then we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our earnings in any given reporting period. However, in the opinion of our management, after consulting with legal counsel, and taking into account insurance coverage, the ultimate liability related to current outstanding claims and lawsuits is not expected to have a material adverse effect on our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65" w:name="_1958f762_d3a4_4513_853c_07621439143c"/>
      <w:bookmarkStart w:id="1666" w:name="ITEM1ARiskFactors"/>
      <w:bookmarkEnd w:id="1665"/>
      <w:bookmarkEnd w:id="1666"/>
      <w:r>
        <w:rPr>
          <w:rFonts w:ascii="Times New Roman;Times;serif" w:hAnsi="Times New Roman;Times;serif"/>
          <w:b/>
          <w:sz w:val="20"/>
        </w:rPr>
        <w:t xml:space="preserve">ITEM 1A. Risk Factors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are no material changes to the risk factors set forth in Part I, Item 1A, </w:t>
      </w:r>
      <w:r>
        <w:rPr>
          <w:rFonts w:ascii="Times New Roman;Times;serif" w:hAnsi="Times New Roman;Times;serif"/>
          <w:i/>
          <w:sz w:val="20"/>
        </w:rPr>
        <w:t>Risk Factors</w:t>
      </w:r>
      <w:r>
        <w:rPr>
          <w:rFonts w:ascii="Times New Roman;Times;serif" w:hAnsi="Times New Roman;Times;serif"/>
          <w:sz w:val="20"/>
        </w:rPr>
        <w:t xml:space="preserve"> in our Annual Report on Form 10-K for the year ended January 2, 2026.</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667" w:name="Item_2"/>
      <w:bookmarkStart w:id="1668" w:name="_877910e2_39a5_43c4_8d56_a127e792ea7f"/>
      <w:bookmarkEnd w:id="1667"/>
      <w:bookmarkEnd w:id="1668"/>
      <w:r>
        <w:rPr>
          <w:rFonts w:ascii="Times New Roman;Times;serif" w:hAnsi="Times New Roman;Times;serif"/>
          <w:b/>
          <w:sz w:val="20"/>
        </w:rPr>
        <w:t>ITEM 2. Unregistered Sales of Equity Securities and Use of Proceeds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fiscal quarter ended July 3, 2026, we made the following repurchases of shares of our common stock from employees to satisfy tax withholding obligations incurred in connection with the vesting of restricted stock: </w:t>
      </w:r>
    </w:p>
    <w:tbl>
      <w:tblPr>
        <w:tblW w:w="10205" w:type="dxa"/>
        <w:jc w:val="left"/>
        <w:tblInd w:w="0" w:type="dxa"/>
        <w:tblLayout w:type="fixed"/>
        <w:tblCellMar>
          <w:top w:w="0" w:type="dxa"/>
          <w:left w:w="0" w:type="dxa"/>
          <w:bottom w:w="0" w:type="dxa"/>
          <w:right w:w="0" w:type="dxa"/>
        </w:tblCellMar>
      </w:tblPr>
      <w:tblGrid>
        <w:gridCol w:w="1692"/>
        <w:gridCol w:w="1313"/>
        <w:gridCol w:w="1117"/>
        <w:gridCol w:w="4333"/>
        <w:gridCol w:w="1750"/>
      </w:tblGrid>
      <w:tr>
        <w:trPr/>
        <w:tc>
          <w:tcPr>
            <w:tcW w:w="1692" w:type="dxa"/>
            <w:tcBorders/>
            <w:vAlign w:val="center"/>
          </w:tcPr>
          <w:p>
            <w:pPr>
              <w:pStyle w:val="TableContents"/>
              <w:bidi w:val="0"/>
              <w:spacing w:before="0" w:after="283"/>
              <w:ind w:left="0" w:right="0" w:hanging="0"/>
              <w:jc w:val="left"/>
              <w:rPr>
                <w:sz w:val="4"/>
                <w:szCs w:val="4"/>
              </w:rPr>
            </w:pPr>
            <w:r>
              <w:rPr>
                <w:sz w:val="4"/>
                <w:szCs w:val="4"/>
              </w:rPr>
            </w:r>
          </w:p>
        </w:tc>
        <w:tc>
          <w:tcPr>
            <w:tcW w:w="1313" w:type="dxa"/>
            <w:tcBorders/>
            <w:vAlign w:val="center"/>
          </w:tcPr>
          <w:p>
            <w:pPr>
              <w:pStyle w:val="TableContents"/>
              <w:bidi w:val="0"/>
              <w:spacing w:before="0" w:after="283"/>
              <w:ind w:left="0" w:right="0" w:hanging="0"/>
              <w:jc w:val="left"/>
              <w:rPr>
                <w:sz w:val="4"/>
                <w:szCs w:val="4"/>
              </w:rPr>
            </w:pPr>
            <w:r>
              <w:rPr>
                <w:sz w:val="4"/>
                <w:szCs w:val="4"/>
              </w:rPr>
            </w:r>
          </w:p>
        </w:tc>
        <w:tc>
          <w:tcPr>
            <w:tcW w:w="1117" w:type="dxa"/>
            <w:tcBorders/>
            <w:vAlign w:val="center"/>
          </w:tcPr>
          <w:p>
            <w:pPr>
              <w:pStyle w:val="TableContents"/>
              <w:bidi w:val="0"/>
              <w:spacing w:before="0" w:after="0"/>
              <w:ind w:left="0" w:right="0" w:hanging="0"/>
              <w:jc w:val="left"/>
              <w:rPr/>
            </w:pPr>
            <w:r>
              <w:rPr/>
              <w:t>​</w:t>
            </w:r>
          </w:p>
        </w:tc>
        <w:tc>
          <w:tcPr>
            <w:tcW w:w="4333" w:type="dxa"/>
            <w:tcBorders/>
            <w:vAlign w:val="center"/>
          </w:tcPr>
          <w:p>
            <w:pPr>
              <w:pStyle w:val="TableContents"/>
              <w:bidi w:val="0"/>
              <w:spacing w:before="0" w:after="0"/>
              <w:ind w:left="0" w:right="0" w:hanging="0"/>
              <w:jc w:val="left"/>
              <w:rPr/>
            </w:pPr>
            <w:r>
              <w:rPr/>
              <w:t>​</w:t>
            </w:r>
          </w:p>
        </w:tc>
        <w:tc>
          <w:tcPr>
            <w:tcW w:w="1750" w:type="dxa"/>
            <w:tcBorders/>
            <w:vAlign w:val="center"/>
          </w:tcPr>
          <w:p>
            <w:pPr>
              <w:pStyle w:val="TableContents"/>
              <w:bidi w:val="0"/>
              <w:spacing w:before="0" w:after="283"/>
              <w:ind w:left="0" w:right="0" w:hanging="0"/>
              <w:jc w:val="left"/>
              <w:rPr>
                <w:sz w:val="4"/>
                <w:szCs w:val="4"/>
              </w:rPr>
            </w:pPr>
            <w:r>
              <w:rPr>
                <w:sz w:val="4"/>
                <w:szCs w:val="4"/>
              </w:rPr>
            </w:r>
          </w:p>
        </w:tc>
      </w:tr>
      <w:tr>
        <w:trPr/>
        <w:tc>
          <w:tcPr>
            <w:tcW w:w="16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3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Number of </w:t>
              <w:br/>
              <w:t>Shares Purchased</w:t>
            </w:r>
          </w:p>
        </w:tc>
        <w:tc>
          <w:tcPr>
            <w:tcW w:w="11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Average Price </w:t>
              <w:br/>
              <w:t>Paid Per Share</w:t>
            </w:r>
          </w:p>
        </w:tc>
        <w:tc>
          <w:tcPr>
            <w:tcW w:w="43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17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Maximum Number </w:t>
              <w:br/>
              <w:t>(or Approximate Dollar</w:t>
              <w:br/>
              <w:t xml:space="preserve">Value) of Shares That </w:t>
              <w:br/>
              <w:t>May Yet be Purchased</w:t>
              <w:br/>
              <w:t xml:space="preserve">Under the Plans or </w:t>
              <w:br/>
              <w:t>Programs</w:t>
            </w:r>
          </w:p>
        </w:tc>
      </w:tr>
      <w:tr>
        <w:trPr/>
        <w:tc>
          <w:tcPr>
            <w:tcW w:w="169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4, 2026 – May 1, 2026</w:t>
            </w:r>
          </w:p>
        </w:tc>
        <w:tc>
          <w:tcPr>
            <w:tcW w:w="1313"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11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4333"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750"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16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 2026 – May 29, 2026</w:t>
            </w:r>
          </w:p>
        </w:tc>
        <w:tc>
          <w:tcPr>
            <w:tcW w:w="1313"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11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4333"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750"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1692"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30, 2026 – July 3, 2026</w:t>
            </w:r>
          </w:p>
        </w:tc>
        <w:tc>
          <w:tcPr>
            <w:tcW w:w="1313"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2,924</w:t>
            </w:r>
          </w:p>
        </w:tc>
        <w:tc>
          <w:tcPr>
            <w:tcW w:w="1117"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$96.30</w:t>
            </w:r>
          </w:p>
        </w:tc>
        <w:tc>
          <w:tcPr>
            <w:tcW w:w="4333"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750"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r>
      <w:tr>
        <w:trPr/>
        <w:tc>
          <w:tcPr>
            <w:tcW w:w="169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3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2,924</w:t>
            </w:r>
          </w:p>
        </w:tc>
        <w:tc>
          <w:tcPr>
            <w:tcW w:w="111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$96.30</w:t>
            </w:r>
          </w:p>
        </w:tc>
        <w:tc>
          <w:tcPr>
            <w:tcW w:w="43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7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69" w:name="ITEM3_Defaults"/>
      <w:bookmarkStart w:id="1670" w:name="_896c4d99_76f8_4e44_81cf_680e09f93a29"/>
      <w:bookmarkEnd w:id="1669"/>
      <w:bookmarkEnd w:id="1670"/>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671" w:name="ITEM4_MineSafety"/>
      <w:bookmarkStart w:id="1672" w:name="_1d3de4a7_f707_432f_9cd8_464ba715259c"/>
      <w:bookmarkEnd w:id="1671"/>
      <w:bookmarkEnd w:id="1672"/>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bookmarkStart w:id="1673" w:name="ITEM5_OtherInfo"/>
      <w:bookmarkStart w:id="1674" w:name="_2b5be7ac_a9fd_4132_84b9_58ec481b8587"/>
      <w:bookmarkEnd w:id="1673"/>
      <w:bookmarkEnd w:id="1674"/>
      <w:r>
        <w:rPr>
          <w:rFonts w:ascii="Times New Roman;Times;serif" w:hAnsi="Times New Roman;Times;serif"/>
          <w:b/>
          <w:sz w:val="20"/>
        </w:rPr>
        <w:t>ITEM 5. Other</w:t>
      </w:r>
      <w:r>
        <w:rPr>
          <w:rFonts w:ascii="Times New Roman;Times;serif" w:hAnsi="Times New Roman;Times;serif"/>
          <w:sz w:val="20"/>
        </w:rPr>
        <w:t xml:space="preserve"> </w:t>
      </w:r>
      <w:r>
        <w:rPr>
          <w:rFonts w:ascii="Times New Roman;Times;serif" w:hAnsi="Times New Roman;Times;serif"/>
          <w:b/>
          <w:sz w:val="20"/>
        </w:rPr>
        <w:t>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675" w:name="ITEM15EXHIBITS_40412"/>
      <w:bookmarkStart w:id="1676" w:name="_be4b6176_973e_42ae_a3f0_9a7d58cd28b5"/>
      <w:bookmarkEnd w:id="1675"/>
      <w:bookmarkEnd w:id="1676"/>
      <w:r>
        <w:rPr>
          <w:rFonts w:ascii="Times New Roman;Times;serif" w:hAnsi="Times New Roman;Times;serif"/>
          <w:b/>
          <w:sz w:val="20"/>
        </w:rPr>
        <w:t>ITEM 6. Exhibits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789"/>
        <w:gridCol w:w="109"/>
        <w:gridCol w:w="9307"/>
      </w:tblGrid>
      <w:tr>
        <w:trPr/>
        <w:tc>
          <w:tcPr>
            <w:tcW w:w="78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50190" cy="29210"/>
                      <wp:effectExtent l="0" t="0" r="0" b="0"/>
                      <wp:wrapNone/>
                      <wp:docPr id="323" name="Frame323"/>
                      <a:graphic xmlns:a="http://schemas.openxmlformats.org/drawingml/2006/main">
                        <a:graphicData uri="http://schemas.microsoft.com/office/word/2010/wordprocessingShape">
                          <wps:wsp>
                            <wps:cNvSpPr txBox="1"/>
                            <wps:spPr>
                              <a:xfrm>
                                <a:off x="0" y="0"/>
                                <a:ext cx="2501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rPr/>
            </w:pPr>
            <w:r>
              <w:rPr/>
              <w:t>​</w:t>
            </w:r>
          </w:p>
        </w:tc>
        <w:tc>
          <w:tcPr>
            <w:tcW w:w="930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954655" cy="29210"/>
                      <wp:effectExtent l="0" t="0" r="0" b="0"/>
                      <wp:wrapNone/>
                      <wp:docPr id="324" name="Frame324"/>
                      <a:graphic xmlns:a="http://schemas.openxmlformats.org/drawingml/2006/main">
                        <a:graphicData uri="http://schemas.microsoft.com/office/word/2010/wordprocessingShape">
                          <wps:wsp>
                            <wps:cNvSpPr txBox="1"/>
                            <wps:spPr>
                              <a:xfrm>
                                <a:off x="0" y="0"/>
                                <a:ext cx="29546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89" w:type="dxa"/>
            <w:tcBorders>
              <w:bottom w:val="single" w:sz="2" w:space="0" w:color="000000"/>
            </w:tcBorders>
            <w:tcMar>
              <w:bottom w:w="28" w:type="dxa"/>
            </w:tcMar>
            <w:vAlign w:val="center"/>
          </w:tcPr>
          <w:p>
            <w:pPr>
              <w:pStyle w:val="TableHeading"/>
              <w:bidi w:val="0"/>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0" w:after="0"/>
              <w:ind w:left="0" w:right="0" w:hanging="0"/>
              <w:jc w:val="center"/>
              <w:rPr/>
            </w:pPr>
            <w:r>
              <w:rPr/>
              <w:t>​</w:t>
            </w:r>
          </w:p>
        </w:tc>
        <w:tc>
          <w:tcPr>
            <w:tcW w:w="9307" w:type="dxa"/>
            <w:tcBorders>
              <w:bottom w:val="single" w:sz="2" w:space="0" w:color="000000"/>
            </w:tcBorders>
            <w:tcMar>
              <w:bottom w:w="28" w:type="dxa"/>
            </w:tcMar>
            <w:vAlign w:val="center"/>
          </w:tcPr>
          <w:p>
            <w:pPr>
              <w:pStyle w:val="TableHeading"/>
              <w:bidi w:val="0"/>
              <w:spacing w:lineRule="auto" w:line="300"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789" w:type="dxa"/>
            <w:tcBorders/>
            <w:vAlign w:val="center"/>
          </w:tcPr>
          <w:p>
            <w:pPr>
              <w:pStyle w:val="TableContents"/>
              <w:bidi w:val="0"/>
              <w:spacing w:lineRule="auto" w:line="240" w:before="40" w:after="40"/>
              <w:ind w:left="0" w:right="0" w:hanging="0"/>
              <w:jc w:val="right"/>
              <w:rPr>
                <w:rFonts w:ascii="Times New Roman;Times;serif" w:hAnsi="Times New Roman;Times;serif"/>
                <w:sz w:val="18"/>
              </w:rPr>
            </w:pPr>
            <w:r>
              <w:rPr>
                <w:rFonts w:ascii="Times New Roman;Times;serif" w:hAnsi="Times New Roman;Times;serif"/>
                <w:sz w:val="19"/>
              </w:rPr>
              <w:t>2.1</w:t>
            </w:r>
            <w:r>
              <w:rPr>
                <w:rFonts w:ascii="Times New Roman;Times;serif" w:hAnsi="Times New Roman;Times;serif"/>
                <w:sz w:val="18"/>
              </w:rPr>
              <w:t>‡</w:t>
            </w:r>
          </w:p>
        </w:tc>
        <w:tc>
          <w:tcPr>
            <w:tcW w:w="109" w:type="dxa"/>
            <w:tcBorders/>
            <w:vAlign w:val="center"/>
          </w:tcPr>
          <w:p>
            <w:pPr>
              <w:pStyle w:val="TableContents"/>
              <w:bidi w:val="0"/>
              <w:spacing w:lineRule="auto" w:line="304" w:before="0" w:after="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r:id="rId2">
              <w:r>
                <w:rPr>
                  <w:rStyle w:val="InternetLink"/>
                  <w:rFonts w:ascii="Times New Roman;Times;serif" w:hAnsi="Times New Roman;Times;serif"/>
                  <w:b w:val="false"/>
                  <w:i w:val="false"/>
                  <w:caps w:val="false"/>
                  <w:smallCaps w:val="false"/>
                  <w:sz w:val="20"/>
                </w:rPr>
                <w:t>Stock Purchase Agreement, dated as of March 3, 2025, by and among Willdan Group, Inc., Willdan Energy Solutions, Inc. and each of the stockholders of APG. (incorporated by reference to Exhibit 2.1 to Willdan Group, Inc.’s Quarterly Report on Form 10-Q, filed with the SEC on May 9, 2025).</w:t>
              </w:r>
            </w:hyperlink>
          </w:p>
        </w:tc>
      </w:tr>
      <w:tr>
        <w:trPr/>
        <w:tc>
          <w:tcPr>
            <w:tcW w:w="789" w:type="dxa"/>
            <w:tcBorders/>
            <w:vAlign w:val="center"/>
          </w:tcPr>
          <w:p>
            <w:pPr>
              <w:pStyle w:val="TableContents"/>
              <w:bidi w:val="0"/>
              <w:spacing w:lineRule="auto" w:line="240" w:before="40" w:after="40"/>
              <w:ind w:left="0" w:right="0" w:hanging="0"/>
              <w:jc w:val="right"/>
              <w:rPr>
                <w:rFonts w:ascii="Times New Roman;Times;serif" w:hAnsi="Times New Roman;Times;serif"/>
                <w:sz w:val="18"/>
              </w:rPr>
            </w:pPr>
            <w:r>
              <w:rPr>
                <w:rFonts w:ascii="Times New Roman;Times;serif" w:hAnsi="Times New Roman;Times;serif"/>
                <w:sz w:val="19"/>
              </w:rPr>
              <w:t>2.2</w:t>
            </w:r>
            <w:r>
              <w:rPr>
                <w:rFonts w:ascii="Times New Roman;Times;serif" w:hAnsi="Times New Roman;Times;serif"/>
                <w:sz w:val="18"/>
              </w:rPr>
              <w:t>‡</w:t>
            </w:r>
          </w:p>
        </w:tc>
        <w:tc>
          <w:tcPr>
            <w:tcW w:w="109" w:type="dxa"/>
            <w:tcBorders/>
            <w:vAlign w:val="center"/>
          </w:tcPr>
          <w:p>
            <w:pPr>
              <w:pStyle w:val="TableContents"/>
              <w:bidi w:val="0"/>
              <w:spacing w:lineRule="auto" w:line="304" w:before="0" w:after="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r:id="rId3">
              <w:r>
                <w:rPr>
                  <w:rStyle w:val="InternetLink"/>
                  <w:rFonts w:ascii="Times New Roman;Times;serif" w:hAnsi="Times New Roman;Times;serif"/>
                  <w:b w:val="false"/>
                  <w:i w:val="false"/>
                  <w:caps w:val="false"/>
                  <w:smallCaps w:val="false"/>
                  <w:sz w:val="20"/>
                </w:rPr>
                <w:t>Equity Purchase Agreement, dated as of May 4, 2026, by and among Willdan Group, Inc., Willdan Energy Solutions, Inc., and each of the shareholders of Burton Energy Group, LLC. (incorporated by reference to Exhibit 2.2 to Willdan Group, Inc.’s Quarterly Report on Form 10-Q, filed with the SEC on May 8, 2026).</w:t>
              </w:r>
            </w:hyperlink>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3.1</w:t>
            </w:r>
          </w:p>
        </w:tc>
        <w:tc>
          <w:tcPr>
            <w:tcW w:w="109" w:type="dxa"/>
            <w:tcBorders/>
            <w:vAlign w:val="center"/>
          </w:tcPr>
          <w:p>
            <w:pPr>
              <w:pStyle w:val="TableContents"/>
              <w:bidi w:val="0"/>
              <w:spacing w:lineRule="auto" w:line="304" w:before="0" w:after="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r:id="rId4">
              <w:r>
                <w:rPr>
                  <w:rStyle w:val="InternetLink"/>
                  <w:rFonts w:ascii="Times New Roman;Times;serif" w:hAnsi="Times New Roman;Times;serif"/>
                  <w:b w:val="false"/>
                  <w:i w:val="false"/>
                  <w:caps w:val="false"/>
                  <w:smallCaps w:val="false"/>
                  <w:sz w:val="18"/>
                </w:rPr>
                <w:t>First Amended and Restated Certificate of Incorporation of Willdan Group, Inc. (incorporated by reference to Willdan Group, Inc.’s Registration Statement on Form S-1, filed with the SEC on August 9, 2006, as amended (File No. 333-136444))</w:t>
              </w:r>
            </w:hyperlink>
            <w:r>
              <w:rPr>
                <w:rFonts w:ascii="Times New Roman;Times;serif" w:hAnsi="Times New Roman;Times;serif"/>
                <w:sz w:val="19"/>
              </w:rPr>
              <w: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3.2</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r:id="rId5">
              <w:r>
                <w:rPr>
                  <w:rStyle w:val="InternetLink"/>
                  <w:rFonts w:ascii="Times New Roman;Times;serif" w:hAnsi="Times New Roman;Times;serif"/>
                  <w:b w:val="false"/>
                  <w:i w:val="false"/>
                  <w:caps w:val="false"/>
                  <w:smallCaps w:val="false"/>
                  <w:sz w:val="18"/>
                </w:rPr>
                <w:t>Second Amended and Restated Bylaws of Willdan Group, Inc. (incorporated by reference to Exhibit 3.1 to Willdan Group, Inc.’s Current Report on Form 8-K, filed with the SEC on July 12, 2023).</w:t>
              </w:r>
            </w:hyperlink>
            <w:r>
              <w:rPr>
                <w:rFonts w:ascii="Times New Roman;Times;serif" w:hAnsi="Times New Roman;Times;serif"/>
                <w:sz w:val="18"/>
              </w:rPr>
              <w:t xml:space="preserve"> </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4.1</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r:id="rId6">
              <w:r>
                <w:rPr>
                  <w:rStyle w:val="InternetLink"/>
                  <w:rFonts w:ascii="Times New Roman;Times;serif" w:hAnsi="Times New Roman;Times;serif"/>
                  <w:b w:val="false"/>
                  <w:i w:val="false"/>
                  <w:caps w:val="false"/>
                  <w:smallCaps w:val="false"/>
                  <w:sz w:val="18"/>
                </w:rPr>
                <w:t>Specimen Stock Certificate for shares of the Registrant’s Common Stock (incorporated by reference to Willdan Group, Inc.’s Registration Statement on Form S-1, filed with the SEC on August 9, 2006, as amended (File No. 333-136444))</w:t>
              </w:r>
            </w:hyperlink>
            <w:r>
              <w:rPr>
                <w:rFonts w:ascii="Times New Roman;Times;serif" w:hAnsi="Times New Roman;Times;serif"/>
                <w:sz w:val="19"/>
              </w:rPr>
              <w: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4.2</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rPr>
            </w:pPr>
            <w:r>
              <w:rPr>
                <w:rFonts w:ascii="Times New Roman;Times;serif" w:hAnsi="Times New Roman;Times;serif"/>
                <w:sz w:val="19"/>
              </w:rPr>
              <w:t>The Company agrees to furnish to the Securities and Exchange Commission upon request a copy of each instrument with respect to issues of long-term debt of Willdan Group, Inc. and its subsidiaries, the authorized principal amount of which does not exceed 10% of the consolidated assets of Willdan Group, Inc. and its subsidiaries.</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8"/>
              </w:rPr>
            </w:pPr>
            <w:r>
              <w:rPr>
                <w:rFonts w:ascii="Times New Roman;Times;serif" w:hAnsi="Times New Roman;Times;serif"/>
                <w:sz w:val="19"/>
              </w:rPr>
              <w:t>10.1</w:t>
            </w:r>
            <w:r>
              <w:rPr>
                <w:rFonts w:ascii="Times New Roman;Times;serif" w:hAnsi="Times New Roman;Times;serif"/>
                <w:sz w:val="18"/>
              </w:rPr>
              <w:t>†</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r:id="rId7">
              <w:r>
                <w:rPr>
                  <w:rStyle w:val="InternetLink"/>
                  <w:rFonts w:ascii="Times New Roman;Times;serif" w:hAnsi="Times New Roman;Times;serif"/>
                  <w:b w:val="false"/>
                  <w:i w:val="false"/>
                  <w:caps w:val="false"/>
                  <w:smallCaps w:val="false"/>
                  <w:sz w:val="18"/>
                </w:rPr>
                <w:t>Willdan Group, Inc. Amended and Restated 2008 Performance Incentive Plan. (incorporated by reference to Exhibit 10.1 to Willdan Group, Inc.’s Current Report on Form 8-K, filed with the SEC on June 18, 2026)</w:t>
              </w:r>
            </w:hyperlink>
            <w:r>
              <w:rPr>
                <w:rFonts w:ascii="Times New Roman;Times;serif" w:hAnsi="Times New Roman;Times;serif"/>
                <w:sz w:val="19"/>
              </w:rPr>
              <w: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shd w:fill="FFFFFF" w:val="clear"/>
              </w:rPr>
            </w:pPr>
            <w:r>
              <w:rPr>
                <w:rFonts w:ascii="Times New Roman;Times;serif" w:hAnsi="Times New Roman;Times;serif"/>
                <w:sz w:val="19"/>
                <w:shd w:fill="FFFFFF" w:val="clear"/>
              </w:rPr>
              <w:t>31.1*</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w:anchor="wldn-20260703xex31d1.htm">
              <w:r>
                <w:rPr>
                  <w:rStyle w:val="InternetLink"/>
                  <w:rFonts w:ascii="Times New Roman;Times;serif" w:hAnsi="Times New Roman;Times;serif"/>
                  <w:b w:val="false"/>
                  <w:i w:val="false"/>
                  <w:caps w:val="false"/>
                  <w:smallCaps w:val="false"/>
                  <w:sz w:val="20"/>
                  <w:shd w:fill="FFFFFF" w:val="clear"/>
                </w:rPr>
                <w:t>Certification of Chief Executive Officer pursuant to Rule 13a-14(a) or 15d-14(a) under the Securities Exchange Act of 1934, as adopted pursuant to § 302 of the Sarbanes-Oxley Act of 2002.</w:t>
              </w:r>
            </w:hyperlink>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31.2*</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w:anchor="wldn-20260703xex31d2.htm">
              <w:r>
                <w:rPr>
                  <w:rStyle w:val="InternetLink"/>
                  <w:rFonts w:ascii="Times New Roman;Times;serif" w:hAnsi="Times New Roman;Times;serif"/>
                  <w:b w:val="false"/>
                  <w:i w:val="false"/>
                  <w:caps w:val="false"/>
                  <w:smallCaps w:val="false"/>
                  <w:sz w:val="18"/>
                </w:rPr>
                <w:t>Certification of Chief Financial Officer pursuant to Rule 13a-14(a) or 15d-14(a) under the Securities Exchange Act of 1934, as adopted pursuant to § 302 of the Sarbanes-Oxley Act of 2002</w:t>
              </w:r>
            </w:hyperlink>
            <w:r>
              <w:rPr>
                <w:rFonts w:ascii="Times New Roman;Times;serif" w:hAnsi="Times New Roman;Times;serif"/>
                <w:sz w:val="19"/>
              </w:rPr>
              <w: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32.1**</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pPr>
            <w:hyperlink w:anchor="wldn-20260703xex32d1.htm">
              <w:r>
                <w:rPr>
                  <w:rStyle w:val="InternetLink"/>
                  <w:rFonts w:ascii="Times New Roman;Times;serif" w:hAnsi="Times New Roman;Times;serif"/>
                  <w:b w:val="false"/>
                  <w:i w:val="false"/>
                  <w:caps w:val="false"/>
                  <w:smallCaps w:val="false"/>
                  <w:sz w:val="18"/>
                </w:rPr>
                <w:t>Certifications of Chief Executive Officer and Chief Financial Officer pursuant to 18 U.S.C. 1350, as adopted pursuant to § 906 of the Sarbanes-Oxley Act of 2002</w:t>
              </w:r>
            </w:hyperlink>
            <w:r>
              <w:rPr>
                <w:rFonts w:ascii="Times New Roman;Times;serif" w:hAnsi="Times New Roman;Times;serif"/>
                <w:sz w:val="19"/>
              </w:rPr>
              <w: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101.INS*</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Instance Document (the instance document does not appear in the Interactive Data File because its XBRL tags are embedded within the Inline XBRL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101.SCH*</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Schema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101.CAL*</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Calculation Linkbase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101.DEF*</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Definition Linkbase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101.LAB*</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Label Linkbase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101.PRE*</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Inline XBRL Taxonomy Extension Presentation Linkbase Document</w:t>
            </w:r>
          </w:p>
        </w:tc>
      </w:tr>
      <w:tr>
        <w:trPr/>
        <w:tc>
          <w:tcPr>
            <w:tcW w:w="789" w:type="dxa"/>
            <w:tcBorders/>
            <w:vAlign w:val="center"/>
          </w:tcPr>
          <w:p>
            <w:pPr>
              <w:pStyle w:val="TableContents"/>
              <w:bidi w:val="0"/>
              <w:spacing w:lineRule="auto" w:line="304" w:before="40" w:after="40"/>
              <w:ind w:left="0" w:right="0" w:hanging="0"/>
              <w:jc w:val="right"/>
              <w:rPr>
                <w:rFonts w:ascii="Times New Roman;Times;serif" w:hAnsi="Times New Roman;Times;serif"/>
                <w:sz w:val="19"/>
              </w:rPr>
            </w:pPr>
            <w:r>
              <w:rPr>
                <w:rFonts w:ascii="Times New Roman;Times;serif" w:hAnsi="Times New Roman;Times;serif"/>
                <w:sz w:val="19"/>
              </w:rPr>
              <w:t>104*</w:t>
            </w:r>
          </w:p>
        </w:tc>
        <w:tc>
          <w:tcPr>
            <w:tcW w:w="109" w:type="dxa"/>
            <w:tcBorders/>
            <w:vAlign w:val="center"/>
          </w:tcPr>
          <w:p>
            <w:pPr>
              <w:pStyle w:val="TableContents"/>
              <w:bidi w:val="0"/>
              <w:spacing w:lineRule="auto" w:line="300" w:before="40" w:after="40"/>
              <w:ind w:left="0" w:right="0" w:hanging="0"/>
              <w:jc w:val="left"/>
              <w:rPr/>
            </w:pPr>
            <w:r>
              <w:rPr/>
              <w:t>​</w:t>
            </w:r>
          </w:p>
        </w:tc>
        <w:tc>
          <w:tcPr>
            <w:tcW w:w="9307" w:type="dxa"/>
            <w:tcBorders/>
            <w:vAlign w:val="center"/>
          </w:tcPr>
          <w:p>
            <w:pPr>
              <w:pStyle w:val="TableContents"/>
              <w:bidi w:val="0"/>
              <w:spacing w:lineRule="auto" w:line="300" w:before="40" w:after="40"/>
              <w:ind w:left="0" w:right="0" w:hanging="0"/>
              <w:jc w:val="left"/>
              <w:rPr>
                <w:rFonts w:ascii="Times New Roman;Times;serif" w:hAnsi="Times New Roman;Times;serif"/>
                <w:sz w:val="19"/>
                <w:shd w:fill="FFFFFF" w:val="clear"/>
              </w:rPr>
            </w:pPr>
            <w:r>
              <w:rPr>
                <w:rFonts w:ascii="Times New Roman;Times;serif" w:hAnsi="Times New Roman;Times;serif"/>
                <w:sz w:val="19"/>
                <w:shd w:fill="FFFFFF" w:val="clear"/>
              </w:rPr>
              <w:t>Cover Page Interactive Data File (formatted as inline XBRL and contained in Exhibit 101)</w:t>
            </w:r>
          </w:p>
        </w:tc>
      </w:tr>
    </w:tbl>
    <w:tbl>
      <w:tblPr>
        <w:tblW w:w="1427" w:type="dxa"/>
        <w:jc w:val="left"/>
        <w:tblInd w:w="0" w:type="dxa"/>
        <w:tblLayout w:type="fixed"/>
        <w:tblCellMar>
          <w:top w:w="0" w:type="dxa"/>
          <w:left w:w="0" w:type="dxa"/>
          <w:bottom w:w="0" w:type="dxa"/>
          <w:right w:w="0" w:type="dxa"/>
        </w:tblCellMar>
      </w:tblPr>
      <w:tblGrid>
        <w:gridCol w:w="211"/>
        <w:gridCol w:w="1216"/>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2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Filed herewith.</w:t>
            </w:r>
          </w:p>
        </w:tc>
      </w:tr>
    </w:tbl>
    <w:tbl>
      <w:tblPr>
        <w:tblW w:w="1877" w:type="dxa"/>
        <w:jc w:val="left"/>
        <w:tblInd w:w="0" w:type="dxa"/>
        <w:tblLayout w:type="fixed"/>
        <w:tblCellMar>
          <w:top w:w="0" w:type="dxa"/>
          <w:left w:w="0" w:type="dxa"/>
          <w:bottom w:w="0" w:type="dxa"/>
          <w:right w:w="0" w:type="dxa"/>
        </w:tblCellMar>
      </w:tblPr>
      <w:tblGrid>
        <w:gridCol w:w="301"/>
        <w:gridCol w:w="1576"/>
      </w:tblGrid>
      <w:tr>
        <w:trPr/>
        <w:tc>
          <w:tcPr>
            <w:tcW w:w="30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5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Furnished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pPr>
            <w:r>
              <w:rPr/>
              <w:t>‡</w:t>
            </w:r>
          </w:p>
        </w:tc>
        <w:tc>
          <w:tcPr>
            <w:tcW w:w="9964"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Portions of the referenced exhibit have been omitted pursuant to Item 601(b) of Regulation S-K because it (i) is not material and (ii) is the type of information the Company customarily treats as private or confidential.</w:t>
            </w:r>
          </w:p>
        </w:tc>
      </w:tr>
    </w:tbl>
    <w:tbl>
      <w:tblPr>
        <w:tblW w:w="6542" w:type="dxa"/>
        <w:jc w:val="left"/>
        <w:tblInd w:w="0" w:type="dxa"/>
        <w:tblLayout w:type="fixed"/>
        <w:tblCellMar>
          <w:top w:w="0" w:type="dxa"/>
          <w:left w:w="0" w:type="dxa"/>
          <w:bottom w:w="0" w:type="dxa"/>
          <w:right w:w="0" w:type="dxa"/>
        </w:tblCellMar>
      </w:tblPr>
      <w:tblGrid>
        <w:gridCol w:w="211"/>
        <w:gridCol w:w="6331"/>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633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 xml:space="preserve">All schedules and exhibits were omitted pursuant to Item 601(a)(5) of Regulation S-K.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18"/>
        </w:rPr>
        <w:t>Indicates a management contract or compensating plan or arrangement.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677" w:name="SIGNATURES"/>
      <w:bookmarkStart w:id="1678" w:name="_d96aafdb_a1a9_4e0e_a79c_df3839f70398"/>
      <w:bookmarkEnd w:id="1677"/>
      <w:bookmarkEnd w:id="1678"/>
      <w:r>
        <w:rPr>
          <w:rFonts w:ascii="Times New Roman;Times;serif" w:hAnsi="Times New Roman;Times;serif"/>
          <w:b/>
          <w:sz w:val="20"/>
        </w:rPr>
        <w:t>SIGNATURES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7399" w:type="dxa"/>
        <w:jc w:val="left"/>
        <w:tblInd w:w="0" w:type="dxa"/>
        <w:tblLayout w:type="fixed"/>
        <w:tblCellMar>
          <w:top w:w="0" w:type="dxa"/>
          <w:left w:w="0" w:type="dxa"/>
          <w:bottom w:w="0" w:type="dxa"/>
          <w:right w:w="0" w:type="dxa"/>
        </w:tblCellMar>
      </w:tblPr>
      <w:tblGrid>
        <w:gridCol w:w="124"/>
        <w:gridCol w:w="6532"/>
        <w:gridCol w:w="743"/>
      </w:tblGrid>
      <w:tr>
        <w:trPr/>
        <w:tc>
          <w:tcPr>
            <w:tcW w:w="124" w:type="dxa"/>
            <w:tcBorders/>
            <w:vAlign w:val="center"/>
          </w:tcPr>
          <w:p>
            <w:pPr>
              <w:pStyle w:val="TableContents"/>
              <w:bidi w:val="0"/>
              <w:spacing w:before="0" w:after="120"/>
              <w:ind w:left="0" w:right="0" w:hanging="0"/>
              <w:jc w:val="left"/>
              <w:rPr/>
            </w:pPr>
            <w:r>
              <w:rPr/>
              <w:t>​</w:t>
            </w:r>
          </w:p>
        </w:tc>
        <w:tc>
          <w:tcPr>
            <w:tcW w:w="6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147820" cy="29210"/>
                      <wp:effectExtent l="0" t="0" r="0" b="0"/>
                      <wp:wrapNone/>
                      <wp:docPr id="325" name="Frame325"/>
                      <a:graphic xmlns:a="http://schemas.openxmlformats.org/drawingml/2006/main">
                        <a:graphicData uri="http://schemas.microsoft.com/office/word/2010/wordprocessingShape">
                          <wps:wsp>
                            <wps:cNvSpPr txBox="1"/>
                            <wps:spPr>
                              <a:xfrm>
                                <a:off x="0" y="0"/>
                                <a:ext cx="41478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71805" cy="175260"/>
                      <wp:effectExtent l="0" t="0" r="0" b="0"/>
                      <wp:wrapNone/>
                      <wp:docPr id="326" name="Frame326"/>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12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2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mallCaps/>
                <w:sz w:val="20"/>
              </w:rPr>
            </w:pPr>
            <w:r>
              <w:rPr>
                <w:rFonts w:ascii="Times New Roman;Times;serif" w:hAnsi="Times New Roman;Times;serif"/>
                <w:smallCaps/>
                <w:sz w:val="20"/>
              </w:rPr>
              <w:t>WILLDAN GROUP, INC.</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center"/>
              <w:rPr>
                <w:smallCaps/>
              </w:rPr>
            </w:pPr>
            <w:r>
              <w:rPr>
                <w:smallCaps/>
              </w:rPr>
              <w: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7275"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Principal Accounting Officer and duly authorized officer)</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653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August 6, 2026</w:t>
            </w:r>
          </w:p>
        </w:tc>
        <w:tc>
          <w:tcPr>
            <w:tcW w:w="743" w:type="dxa"/>
            <w:tcBorders/>
            <w:vAlign w:val="center"/>
          </w:tcPr>
          <w:p>
            <w:pPr>
              <w:pStyle w:val="TableContents"/>
              <w:bidi w:val="0"/>
              <w:spacing w:lineRule="auto" w:line="304"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285" w:before="0" w:after="240"/>
        <w:ind w:left="0" w:right="0" w:hanging="0"/>
        <w:jc w:val="right"/>
        <w:rPr>
          <w:rFonts w:ascii="Times New Roman;Times;serif" w:hAnsi="Times New Roman;Times;serif"/>
          <w:b/>
          <w:sz w:val="20"/>
        </w:rPr>
      </w:pPr>
      <w:bookmarkStart w:id="1679" w:name="wldn-20260703xex31d1.htm"/>
      <w:bookmarkStart w:id="1680" w:name="kswldn20260703xex31d1"/>
      <w:bookmarkEnd w:id="1679"/>
      <w:bookmarkEnd w:id="1680"/>
      <w:r>
        <w:rPr>
          <w:rFonts w:ascii="Times New Roman;Times;serif" w:hAnsi="Times New Roman;Times;serif"/>
          <w:b/>
          <w:sz w:val="20"/>
        </w:rPr>
        <w:t>Exhibit 31.1</w:t>
      </w:r>
      <w:r>
        <w:br w:type="page"/>
      </w:r>
    </w:p>
    <w:p>
      <w:pPr>
        <w:pStyle w:val="TextBody"/>
        <w:bidi w:val="0"/>
        <w:spacing w:lineRule="auto" w:line="285" w:before="0" w:after="22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EXECUTIVE OFFICER</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I, Michael A. Bieber, certify that: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Willdan Group, Inc.;</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Date: August 6, 2026</w:t>
      </w:r>
    </w:p>
    <w:tbl>
      <w:tblPr>
        <w:tblW w:w="3798" w:type="dxa"/>
        <w:jc w:val="center"/>
        <w:tblInd w:w="0" w:type="dxa"/>
        <w:tblLayout w:type="fixed"/>
        <w:tblCellMar>
          <w:top w:w="0" w:type="dxa"/>
          <w:left w:w="0" w:type="dxa"/>
          <w:bottom w:w="0" w:type="dxa"/>
          <w:right w:w="0" w:type="dxa"/>
        </w:tblCellMar>
      </w:tblPr>
      <w:tblGrid>
        <w:gridCol w:w="151"/>
        <w:gridCol w:w="406"/>
        <w:gridCol w:w="3241"/>
      </w:tblGrid>
      <w:tr>
        <w:trPr/>
        <w:tc>
          <w:tcPr>
            <w:tcW w:w="15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i/>
                <w:sz w:val="2"/>
              </w:rPr>
            </w:pPr>
            <w:r>
              <w:rPr>
                <w:rFonts w:ascii="Times New Roman;Times;serif" w:hAnsi="Times New Roman;Times;serif"/>
                <w:i/>
                <w:sz w:val="2"/>
              </w:rPr>
              <w:t>(Prin</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58670" cy="29210"/>
                      <wp:effectExtent l="0" t="0" r="0" b="0"/>
                      <wp:wrapNone/>
                      <wp:docPr id="327" name="Frame327"/>
                      <a:graphic xmlns:a="http://schemas.openxmlformats.org/drawingml/2006/main">
                        <a:graphicData uri="http://schemas.microsoft.com/office/word/2010/wordprocessingShape">
                          <wps:wsp>
                            <wps:cNvSpPr txBox="1"/>
                            <wps:spPr>
                              <a:xfrm>
                                <a:off x="0" y="0"/>
                                <a:ext cx="20586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681" w:name="wldn-20260703xex31d2.htm"/>
      <w:bookmarkStart w:id="1682" w:name="kswldn20260703xex31d2"/>
      <w:bookmarkEnd w:id="1681"/>
      <w:bookmarkEnd w:id="1682"/>
      <w:r>
        <w:rPr>
          <w:rFonts w:ascii="Times New Roman;Times;serif" w:hAnsi="Times New Roman;Times;serif"/>
          <w:b/>
          <w:sz w:val="20"/>
        </w:rPr>
        <w:t>Exhibit 31.2</w:t>
      </w:r>
      <w:r>
        <w:br w:type="page"/>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FINANCIAL OFFICER</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Creighton K. Early, certify that:</w:t>
      </w:r>
    </w:p>
    <w:tbl>
      <w:tblPr>
        <w:tblW w:w="6205" w:type="dxa"/>
        <w:jc w:val="left"/>
        <w:tblInd w:w="0" w:type="dxa"/>
        <w:tblLayout w:type="fixed"/>
        <w:tblCellMar>
          <w:top w:w="0" w:type="dxa"/>
          <w:left w:w="0" w:type="dxa"/>
          <w:bottom w:w="0" w:type="dxa"/>
          <w:right w:w="0" w:type="dxa"/>
        </w:tblCellMar>
      </w:tblPr>
      <w:tblGrid>
        <w:gridCol w:w="170"/>
        <w:gridCol w:w="6035"/>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60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Willdan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Date: August 6, 2026</w:t>
      </w:r>
    </w:p>
    <w:tbl>
      <w:tblPr>
        <w:tblW w:w="5031" w:type="dxa"/>
        <w:jc w:val="left"/>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0"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683" w:name="wldn-20260703xex32d1.htm"/>
      <w:bookmarkStart w:id="1684" w:name="kswldn20260703xex32d1"/>
      <w:bookmarkEnd w:id="1683"/>
      <w:bookmarkEnd w:id="1684"/>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1350,</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Willdan Group, Inc. (the “Company”) for the quarterly period ended July 3, 2026, as filed with the Securities and Exchange Commission on the date hereof (the “Report”), Michael A. Bieber, as President and Chief Executive Officer of the Company, and Creighton K. Early, as Chief Financial Officer and Executive Vice President of the Company, each hereby certifies, pursuant to 18 U.S.C. § 1350, as adopted pursuant to § 906 of the Sarbanes-Oxley Act of 2002, that, to the best of his or her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5031" w:type="dxa"/>
        <w:jc w:val="center"/>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August 6, 2026</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August 6, 2026</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certification accompanies the Report pursuant to § 906 of the Sarbanes-Oxley Act of 2002 and shall not, except to the extent required by the Sarbanes-Oxley Act of 2002, be deemed filed by the Company for purposes of § 18 of the Securities Exchange Act of 1934, as amended.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0450/000155837025007025/wldn-20250404xex2d1.htm" TargetMode="External"/><Relationship Id="rId3" Type="http://schemas.openxmlformats.org/officeDocument/2006/relationships/hyperlink" Target="https://www.sec.gov/Archives/edgar/data/1370450/000110465926057350/wldn-20260403xex2d2.htm" TargetMode="External"/><Relationship Id="rId4" Type="http://schemas.openxmlformats.org/officeDocument/2006/relationships/hyperlink" Target="http://www.sec.gov/Archives/edgar/data/1370450/000104746906010648/a2172308zex-3_1.htm" TargetMode="External"/><Relationship Id="rId5" Type="http://schemas.openxmlformats.org/officeDocument/2006/relationships/hyperlink" Target="https://www.sec.gov/Archives/edgar/data/1370450/000155837023011834/wldn-20230707xex3d1.htm" TargetMode="External"/><Relationship Id="rId6" Type="http://schemas.openxmlformats.org/officeDocument/2006/relationships/hyperlink" Target="http://www.sec.gov/Archives/edgar/data/1370450/000104746906011904/a2173104zex-4_1.htm" TargetMode="External"/><Relationship Id="rId7" Type="http://schemas.openxmlformats.org/officeDocument/2006/relationships/hyperlink" Target="https://www.sec.gov/Archives/edgar/data/1370450/000110465926075795/wldn-20260617xex10d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23855</Words>
  <Characters>132830</Characters>
  <CharactersWithSpaces>159788</CharactersWithSpaces>
  <Paragraphs>8312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