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wldn-20240628x10q.htm"/>
        <w:bookmarkStart w:id="1" w:name="kswldn20240628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8" w:space="1" w:color="000000"/>
        </w:pBdr>
        <w:bidi w:val="0"/>
        <w:spacing w:before="0" w:after="0"/>
        <w:ind w:left="0" w:right="0" w:hanging="0"/>
        <w:jc w:val="left"/>
        <w:rPr>
          <w:bdr w:val="single" w:sz="24" w:space="1" w:color="000000"/>
        </w:rPr>
      </w:pPr>
      <w:bookmarkStart w:id="2" w:name="_212d09e5_cae1_41bb_91bd_092bd8eece7a"/>
      <w:bookmarkEnd w:id="2"/>
      <w:r>
        <w:rPr>
          <w:bdr w:val="single" w:sz="24" w:space="1" w:color="000000"/>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K8JzSsHnK0Od3KOsVjFD7g_1_1"/>
      <w:bookmarkStart w:id="4" w:name="_6ef743ce_2563_44ad_80c9_ea34ed34adb8"/>
      <w:bookmarkStart w:id="5" w:name="Tc_K8JzSsHnK0Od3KOsVjFD7g_1_1"/>
      <w:bookmarkStart w:id="6" w:name="_6ef743ce_2563_44ad_80c9_ea34ed34adb8"/>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 June 28, 2024</w:t>
      </w:r>
      <w:r>
        <w:rPr>
          <w:rFonts w:ascii="Times New Roman;Times;serif" w:hAnsi="Times New Roman;Times;serif"/>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 w:name="Tc_LuJUDt8b5k6Z1QPsSxyisA_1_1"/>
      <w:bookmarkStart w:id="8" w:name="_43518137_0c98_49ef_a8fd_1cbf36c0488f"/>
      <w:bookmarkStart w:id="9" w:name="Tc_LuJUDt8b5k6Z1QPsSxyisA_1_1"/>
      <w:bookmarkStart w:id="10" w:name="_43518137_0c98_49ef_a8fd_1cbf36c0488f"/>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001-33076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WILLDAN GROUP,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QjM9yNY8hk6fTpbQb-yvxA_5_2"/>
      <w:bookmarkStart w:id="12" w:name="Tc_vf5oGFGZ-U6EQvN5-mjw9w_5_0"/>
      <w:bookmarkStart w:id="13" w:name="Tc_AcJJXxZ6OUuIRzm9dBMANw_4_0"/>
      <w:bookmarkStart w:id="14" w:name="Tc_JpyLFfcmZUeBfAt8iSQe1w_2_2"/>
      <w:bookmarkStart w:id="15" w:name="Tc_hDKMoLS6VE27Z1Bl4IhQHA_2_0"/>
      <w:bookmarkStart w:id="16" w:name="_b700fcd9_ad39_4b3b_8b08_4b18e973638e"/>
      <w:bookmarkStart w:id="17" w:name="Tc_QjM9yNY8hk6fTpbQb-yvxA_5_2"/>
      <w:bookmarkStart w:id="18" w:name="Tc_vf5oGFGZ-U6EQvN5-mjw9w_5_0"/>
      <w:bookmarkStart w:id="19" w:name="Tc_AcJJXxZ6OUuIRzm9dBMANw_4_0"/>
      <w:bookmarkStart w:id="20" w:name="Tc_JpyLFfcmZUeBfAt8iSQe1w_2_2"/>
      <w:bookmarkStart w:id="21" w:name="Tc_hDKMoLS6VE27Z1Bl4IhQHA_2_0"/>
      <w:bookmarkStart w:id="22" w:name="_b700fcd9_ad39_4b3b_8b08_4b18e973638e"/>
      <w:bookmarkEnd w:id="17"/>
      <w:bookmarkEnd w:id="18"/>
      <w:bookmarkEnd w:id="19"/>
      <w:bookmarkEnd w:id="20"/>
      <w:bookmarkEnd w:id="21"/>
      <w:bookmarkEnd w:id="22"/>
    </w:p>
    <w:tbl>
      <w:tblPr>
        <w:tblW w:w="6366" w:type="dxa"/>
        <w:jc w:val="left"/>
        <w:tblInd w:w="0" w:type="dxa"/>
        <w:tblLayout w:type="fixed"/>
        <w:tblCellMar>
          <w:top w:w="0" w:type="dxa"/>
          <w:left w:w="0" w:type="dxa"/>
          <w:bottom w:w="0" w:type="dxa"/>
          <w:right w:w="0" w:type="dxa"/>
        </w:tblCellMar>
      </w:tblPr>
      <w:tblGrid>
        <w:gridCol w:w="3361"/>
        <w:gridCol w:w="109"/>
        <w:gridCol w:w="289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14-1951112</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2401 East Katella Avenue, Suite 300</w:t>
              <w:br/>
              <w:t>Anaheim, California</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92806</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(800) 424-9144</w:t>
      </w:r>
    </w:p>
    <w:p>
      <w:pPr>
        <w:pStyle w:val="TextBody"/>
        <w:bidi w:val="0"/>
        <w:spacing w:before="0" w:after="0"/>
        <w:ind w:left="0" w:right="0" w:hanging="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23" w:name="Tc_FAPJvHXcREuCOAC2bBOiNw_1_2"/>
      <w:bookmarkStart w:id="24" w:name="Tc_1kgfCqJrzECkkHocDc673Q_1_1"/>
      <w:bookmarkStart w:id="25" w:name="Tc_QT8Iifjxk0Oi1z4iqFCNNw_1_0"/>
      <w:bookmarkStart w:id="26" w:name="_c3674b7e_6568_4ca3_ab4b_78a52dcc636c"/>
      <w:bookmarkStart w:id="27" w:name="Tc_FAPJvHXcREuCOAC2bBOiNw_1_2"/>
      <w:bookmarkStart w:id="28" w:name="Tc_1kgfCqJrzECkkHocDc673Q_1_1"/>
      <w:bookmarkStart w:id="29" w:name="Tc_QT8Iifjxk0Oi1z4iqFCNNw_1_0"/>
      <w:bookmarkStart w:id="30" w:name="_c3674b7e_6568_4ca3_ab4b_78a52dcc636c"/>
      <w:bookmarkEnd w:id="27"/>
      <w:bookmarkEnd w:id="28"/>
      <w:bookmarkEnd w:id="29"/>
      <w:bookmarkEnd w:id="30"/>
    </w:p>
    <w:tbl>
      <w:tblPr>
        <w:tblW w:w="9018" w:type="dxa"/>
        <w:jc w:val="left"/>
        <w:tblInd w:w="0" w:type="dxa"/>
        <w:tblLayout w:type="fixed"/>
        <w:tblCellMar>
          <w:top w:w="0" w:type="dxa"/>
          <w:left w:w="0" w:type="dxa"/>
          <w:bottom w:w="0" w:type="dxa"/>
          <w:right w:w="0" w:type="dxa"/>
        </w:tblCellMar>
      </w:tblPr>
      <w:tblGrid>
        <w:gridCol w:w="3496"/>
        <w:gridCol w:w="169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19960" cy="29210"/>
                      <wp:effectExtent l="0" t="0" r="0" b="0"/>
                      <wp:wrapNone/>
                      <wp:docPr id="2" name="Frame2"/>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76960" cy="29210"/>
                      <wp:effectExtent l="0" t="0" r="0" b="0"/>
                      <wp:wrapNone/>
                      <wp:docPr id="3" name="Frame3"/>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29510" cy="29210"/>
                      <wp:effectExtent l="0" t="0" r="0" b="0"/>
                      <wp:wrapNone/>
                      <wp:docPr id="4" name="Frame4"/>
                      <a:graphic xmlns:a="http://schemas.openxmlformats.org/drawingml/2006/main">
                        <a:graphicData uri="http://schemas.microsoft.com/office/word/2010/wordprocessingShape">
                          <wps:wsp>
                            <wps:cNvSpPr txBox="1"/>
                            <wps:spPr>
                              <a:xfrm>
                                <a:off x="0" y="0"/>
                                <a:ext cx="2429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WLDN</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firstLine="360"/>
        <w:jc w:val="center"/>
        <w:rPr/>
      </w:pPr>
      <w:r>
        <w:rPr/>
        <w:t>​</w:t>
      </w:r>
    </w:p>
    <w:tbl>
      <w:tblPr>
        <w:tblW w:w="4836" w:type="dxa"/>
        <w:jc w:val="left"/>
        <w:tblInd w:w="0" w:type="dxa"/>
        <w:tblLayout w:type="fixed"/>
        <w:tblCellMar>
          <w:top w:w="0" w:type="dxa"/>
          <w:left w:w="0" w:type="dxa"/>
          <w:bottom w:w="0" w:type="dxa"/>
          <w:right w:w="0" w:type="dxa"/>
        </w:tblCellMar>
      </w:tblPr>
      <w:tblGrid>
        <w:gridCol w:w="2146"/>
        <w:gridCol w:w="109"/>
        <w:gridCol w:w="258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 of July 31, 2024, there were 13,994,421 shares of common stock, $0.01 par value per share, of Willdan Group, Inc. issued and outstanding.</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left"/>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_bf2e5f9e_8f24_4d5b_a398_c28980085bf3"/>
      <w:bookmarkEnd w:id="31"/>
      <w:r>
        <w:rPr>
          <w:rFonts w:ascii="Times New Roman;Times;serif" w:hAnsi="Times New Roman;Times;serif"/>
          <w:b/>
          <w:sz w:val="20"/>
        </w:rPr>
        <w:t>WILLDAN GROUP,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QUARTERLY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8601" w:type="dxa"/>
        <w:jc w:val="left"/>
        <w:tblInd w:w="0" w:type="dxa"/>
        <w:tblLayout w:type="fixed"/>
        <w:tblCellMar>
          <w:top w:w="0" w:type="dxa"/>
          <w:left w:w="0" w:type="dxa"/>
          <w:bottom w:w="0" w:type="dxa"/>
          <w:right w:w="0" w:type="dxa"/>
        </w:tblCellMar>
      </w:tblPr>
      <w:tblGrid>
        <w:gridCol w:w="7981"/>
        <w:gridCol w:w="109"/>
        <w:gridCol w:w="511"/>
      </w:tblGrid>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981" w:type="dxa"/>
            <w:tcBorders/>
            <w:vAlign w:val="center"/>
          </w:tcPr>
          <w:p>
            <w:pPr>
              <w:pStyle w:val="TableContents"/>
              <w:bidi w:val="0"/>
              <w:spacing w:lineRule="atLeast" w:line="180" w:before="0" w:after="0"/>
              <w:ind w:left="0" w:right="0" w:hanging="0"/>
              <w:jc w:val="left"/>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val="false"/>
                  <w:i w:val="false"/>
                  <w:caps w:val="false"/>
                  <w:smallCaps w:val="false"/>
                  <w:sz w:val="20"/>
                </w:rPr>
                <w:t>PART I. FINANCIAL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Item 1. Financial Statements (Unaudited)</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MANAGEMENTSDISCUSSION_533905">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AQUANTITATIVEANDQUALITATIVE_56237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ControlsandProcedures_72182">
              <w:r>
                <w:rPr>
                  <w:rStyle w:val="InternetLink"/>
                  <w:rFonts w:ascii="Times New Roman;Times;serif" w:hAnsi="Times New Roman;Times;serif"/>
                  <w:b w:val="false"/>
                  <w:i w:val="false"/>
                  <w:caps w:val="false"/>
                  <w:smallCaps w:val="false"/>
                  <w:sz w:val="20"/>
                </w:rPr>
                <w:t>Item 4. Controls and Procedures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PARTIIOTHERINFORMATION_167293">
              <w:r>
                <w:rPr>
                  <w:rStyle w:val="InternetLink"/>
                  <w:rFonts w:ascii="Times New Roman;Times;serif" w:hAnsi="Times New Roman;Times;serif"/>
                  <w:b w:val="false"/>
                  <w:i w:val="false"/>
                  <w:caps w:val="false"/>
                  <w:smallCaps w:val="false"/>
                  <w:sz w:val="20"/>
                </w:rPr>
                <w:t>PART II.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LEGALPROCEEDINGS_429119">
              <w:r>
                <w:rPr>
                  <w:rStyle w:val="InternetLink"/>
                  <w:rFonts w:ascii="Times New Roman;Times;serif" w:hAnsi="Times New Roman;Times;serif"/>
                  <w:b w:val="false"/>
                  <w:i w:val="false"/>
                  <w:caps w:val="false"/>
                  <w:smallCaps w:val="false"/>
                  <w:sz w:val="20"/>
                </w:rPr>
                <w:t>Item 1. Legal Proceedings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_Defaults">
              <w:r>
                <w:rPr>
                  <w:rStyle w:val="InternetLink"/>
                  <w:rFonts w:ascii="Times New Roman;Times;serif" w:hAnsi="Times New Roman;Times;serif"/>
                  <w:b w:val="false"/>
                  <w:i w:val="false"/>
                  <w:caps w:val="false"/>
                  <w:smallCaps w:val="false"/>
                  <w:sz w:val="20"/>
                </w:rPr>
                <w:t>Item 3. Defaults upon Senior Securities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_MineSafety">
              <w:r>
                <w:rPr>
                  <w:rStyle w:val="InternetLink"/>
                  <w:rFonts w:ascii="Times New Roman;Times;serif" w:hAnsi="Times New Roman;Times;serif"/>
                  <w:b w:val="false"/>
                  <w:i w:val="false"/>
                  <w:caps w:val="false"/>
                  <w:smallCaps w:val="false"/>
                  <w:sz w:val="20"/>
                </w:rPr>
                <w:t>Item 4. Mine Safety Disclosures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5_OtherInfo">
              <w:r>
                <w:rPr>
                  <w:rStyle w:val="InternetLink"/>
                  <w:rFonts w:ascii="Times New Roman;Times;serif" w:hAnsi="Times New Roman;Times;serif"/>
                  <w:b w:val="false"/>
                  <w:i w:val="false"/>
                  <w:caps w:val="false"/>
                  <w:smallCaps w:val="false"/>
                  <w:sz w:val="20"/>
                </w:rPr>
                <w:t>Item 5.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5EXHIBITS_40412">
              <w:r>
                <w:rPr>
                  <w:rStyle w:val="InternetLink"/>
                  <w:rFonts w:ascii="Times New Roman;Times;serif" w:hAnsi="Times New Roman;Times;serif"/>
                  <w:b w:val="false"/>
                  <w:i w:val="false"/>
                  <w:caps w:val="false"/>
                  <w:smallCaps w:val="false"/>
                  <w:sz w:val="20"/>
                </w:rPr>
                <w:t>Item 6. Exhibits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_9e31db79_d5b3_4066_8288_ae181c9d5b3b"/>
      <w:bookmarkEnd w:id="33"/>
      <w:r>
        <w:rPr>
          <w:rFonts w:ascii="Times New Roman;Times;serif" w:hAnsi="Times New Roman;Times;serif"/>
          <w:b/>
          <w:sz w:val="20"/>
        </w:rPr>
        <w:t>CAUTIONARY STATEMENT REGARDING FORWARD-LOOKING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Quarterly Report on Form 10-Q (this “10-Q”)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adequately complete projects in a timely manner;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successfully in the highly competitive energy services market, which represented 84% of our consolidated revenue in fiscal year 2023;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work from our top ten clients, which accounted for 53% of our consolidated contract revenue for fiscal year 2023;</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state, local and regional economies and government budgets;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win new contracts, to renew existing contracts and to compete effectively for contracts awarded through bidding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make principal and interest payments on our outstanding debt as they come due and to comply with the financial covenants contained in our debt agreements;</w:t>
            </w:r>
          </w:p>
        </w:tc>
      </w:tr>
    </w:tbl>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supply chain constraints, labor shortages, rising interest rates, and rising inflation;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and to refinance our outstanding debt as it matures;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our acquisitions and execute on our growth strategy;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attract and retain managerial, technical, and administrative talent. </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elsewhere in this Quarterly Report on Form 10-Q, and under Part I, Item 1A. “Risk Factors”, “Management’s Discussion and Analysis of Financial Condition and Results of Operations” and elsewhere in our Annual Report on Form 10-K for the fiscal year ended December 29, 2023, as such disclosures may be amended, supplemented or superseded from time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time by other reports we file with the Securities and Exchange Commission, including subsequent Annual Reports on Form 10-K, Quarterly Reports on Form 10-Q, Current Reports on Form 8-K and public communications. You should evaluate all forward-looking statements made in this Quarterly Report on Form 10-Q and otherwise in the context of these risks and uncertainties.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Quarterly Report on Form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 w:name="PARTI"/>
      <w:bookmarkStart w:id="35" w:name="_da3be9e9_d289_4923_bc89_a86ee7556fbe"/>
      <w:bookmarkEnd w:id="34"/>
      <w:bookmarkEnd w:id="35"/>
      <w:r>
        <w:rPr>
          <w:rFonts w:ascii="Times New Roman;Times;serif" w:hAnsi="Times New Roman;Times;serif"/>
          <w:b/>
          <w:sz w:val="20"/>
        </w:rPr>
        <w:t>PART I. FINANCIAL INFORMATION</w:t>
      </w:r>
    </w:p>
    <w:p>
      <w:pPr>
        <w:pStyle w:val="TextBody"/>
        <w:bidi w:val="0"/>
        <w:spacing w:before="120" w:after="0"/>
        <w:ind w:left="0" w:right="0" w:hanging="0"/>
        <w:jc w:val="left"/>
        <w:rPr>
          <w:rFonts w:ascii="Times New Roman;Times;serif" w:hAnsi="Times New Roman;Times;serif"/>
          <w:b/>
          <w:sz w:val="20"/>
        </w:rPr>
      </w:pPr>
      <w:bookmarkStart w:id="36" w:name="Item1"/>
      <w:bookmarkEnd w:id="36"/>
      <w:r>
        <w:rPr>
          <w:rFonts w:ascii="Times New Roman;Times;serif" w:hAnsi="Times New Roman;Times;serif"/>
          <w:b/>
          <w:sz w:val="20"/>
        </w:rPr>
        <w:t>Item 1. Financial Statements</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37" w:name="BALANCESHEETS_75359"/>
      <w:bookmarkEnd w:id="37"/>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par value)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Normal"/>
        <w:bidi w:val="0"/>
        <w:spacing w:before="0" w:after="0"/>
        <w:jc w:val="left"/>
        <w:rPr>
          <w:sz w:val="4"/>
          <w:szCs w:val="4"/>
        </w:rPr>
      </w:pPr>
      <w:r>
        <w:rPr>
          <w:sz w:val="4"/>
          <w:szCs w:val="4"/>
        </w:rPr>
      </w:r>
      <w:bookmarkStart w:id="38" w:name="Tc_bGotMhhbK0yqZ3vGK-OpdQ_43_5"/>
      <w:bookmarkStart w:id="39" w:name="Tc_rl9dQqAbq067zBODUMv_Xg_43_2"/>
      <w:bookmarkStart w:id="40" w:name="Tc_htS46MCLskOvp_l9_XNOGw_43_0"/>
      <w:bookmarkStart w:id="41" w:name="Tc_ll38XdEcrkKFm-5Racwe5Q_42_0"/>
      <w:bookmarkStart w:id="42" w:name="Tc_-W6IjsxcWk-fBNPZ8Pxj-g_41_0"/>
      <w:bookmarkStart w:id="43" w:name="Tc_hbSlT6v_v0O0QiuGWpbTug_40_0"/>
      <w:bookmarkStart w:id="44" w:name="Tc_JjEQxs-YPUyRKPoeQSyi5A_39_0"/>
      <w:bookmarkStart w:id="45" w:name="Tc_w4__JdwBdkSvl5Z5GRs3Hw_38_0"/>
      <w:bookmarkStart w:id="46" w:name="Tc_H07H28oOCkOHjnJp-KYuHA_37_0"/>
      <w:bookmarkStart w:id="47" w:name="Tc_sdgMti33PkuNc0vdJLiujA_36_0"/>
      <w:bookmarkStart w:id="48" w:name="Tc_NLXOJKGSlEO5oSpVLzpVDg_34_0"/>
      <w:bookmarkStart w:id="49" w:name="Tc_5M1DQxOaMUiEccl0jTKk5w_32_0"/>
      <w:bookmarkStart w:id="50" w:name="Tc_tWd4o0q_g0iKlfxJKpID-Q_31_0"/>
      <w:bookmarkStart w:id="51" w:name="Tc_8iJS99m7OUGqnyVWTjfmkQ_30_0"/>
      <w:bookmarkStart w:id="52" w:name="Tc_H_j1s8m_DUytBxPCs_bNaA_29_0"/>
      <w:bookmarkStart w:id="53" w:name="Tc_HDUUWmYx1EOP3EqgUGtaJA_28_0"/>
      <w:bookmarkStart w:id="54" w:name="Tc_tJB3DwlXVEmhY3Efhg6UvQ_27_0"/>
      <w:bookmarkStart w:id="55" w:name="Tc_RveAWsncbk2vPM0IaSsHeA_26_0"/>
      <w:bookmarkStart w:id="56" w:name="Tc_laukzNRuwEKirPou4UPyQg_25_0"/>
      <w:bookmarkStart w:id="57" w:name="Tc_TxL9AIbQbUKeFTQKckmKOA_24_0"/>
      <w:bookmarkStart w:id="58" w:name="Tc_evVoGlmLXUiwnRuzW5myDw_23_0"/>
      <w:bookmarkStart w:id="59" w:name="Tc_7zRqJAuZzUaiCKRBPc6Clg_22_0"/>
      <w:bookmarkStart w:id="60" w:name="Tc_ppApQHMlZkGjulFAn_aD2w_21_5"/>
      <w:bookmarkStart w:id="61" w:name="Tc__a55uIiaDECvugiv3kZx5Q_21_2"/>
      <w:bookmarkStart w:id="62" w:name="Tc_nSlPydOQm0uN5v_YsvJUsA_21_0"/>
      <w:bookmarkStart w:id="63" w:name="Tc_W2g7UHQHY0-xhpEr8NObJA_20_0"/>
      <w:bookmarkStart w:id="64" w:name="Tc_Gqpk-U949EGoPnfIWxd1Ww_19_0"/>
      <w:bookmarkStart w:id="65" w:name="Tc_tKhj85F4NUO2sFuaC0bddg_18_5"/>
      <w:bookmarkStart w:id="66" w:name="Tc_BIe_heemXUmPRSLEWzRC-Q_18_2"/>
      <w:bookmarkStart w:id="67" w:name="Tc_tU8jDj3-qkq6Ke1CR2Zkdw_18_0"/>
      <w:bookmarkStart w:id="68" w:name="Tc_xY8svCt2lkmi9VySgbf2Mw_17_0"/>
      <w:bookmarkStart w:id="69" w:name="Tc_azBmYl_JkkuZxj-kmqaOHw_16_0"/>
      <w:bookmarkStart w:id="70" w:name="Tc_Jc1npbmDI0OkiZGsNDrM8Q_15_0"/>
      <w:bookmarkStart w:id="71" w:name="Tc_M4aEFhsmaUuIbV_fANpcUg_14_0"/>
      <w:bookmarkStart w:id="72" w:name="Tc_achG_eoixEOvEejuSnJMng_13_0"/>
      <w:bookmarkStart w:id="73" w:name="Tc_MoCDQoqBe0ODNKXCRQVeZQ_12_0"/>
      <w:bookmarkStart w:id="74" w:name="Tc_lZsf7VfT1UyfWVOyGYy5tg_11_0"/>
      <w:bookmarkStart w:id="75" w:name="Tc_lmE-qbeNM0WZ4U87O07x9A_10_0"/>
      <w:bookmarkStart w:id="76" w:name="Tc_H_3-wV9eqUqzxUsIIVprLg_9_0"/>
      <w:bookmarkStart w:id="77" w:name="Tc_JIm6S1G2OEOdt7fykJTSVg_8_0"/>
      <w:bookmarkStart w:id="78" w:name="Tc_7cSu_Et7IUeiA1nhT2t2zw_7_0"/>
      <w:bookmarkStart w:id="79" w:name="Tc_UHwFJoJYBUSMsj410TtO4w_6_0"/>
      <w:bookmarkStart w:id="80" w:name="Tc_O_zSUuGHnUqwGE3FCWSStQ_5_5"/>
      <w:bookmarkStart w:id="81" w:name="Tc_hNfLg-niDkS_Uap1upnRgg_5_2"/>
      <w:bookmarkStart w:id="82" w:name="Tc_jNQcGmug70GRFlY9mgkgrw_5_0"/>
      <w:bookmarkStart w:id="83" w:name="Tc_5yfGPthLkUacnAIpaDc7LA_4_0"/>
      <w:bookmarkStart w:id="84" w:name="Tc_Kq6-LNrW80G6_Qqsn_eGrA_3_0"/>
      <w:bookmarkStart w:id="85" w:name="Tc_QCLm3jC-SU2_gyx8uuZztg_2_5"/>
      <w:bookmarkStart w:id="86" w:name="Tc_OxwknvsB3U2d9YK0hIbx4g_2_2"/>
      <w:bookmarkStart w:id="87" w:name="Tc_Shs7QW7Gjk2StVcVDd9GcA_1_5"/>
      <w:bookmarkStart w:id="88" w:name="Tc_zQz0jJHLrUS_B6hU_Kk0Bw_1_2"/>
      <w:bookmarkStart w:id="89" w:name="_d9f5a5fb_3c7f_4d8b_95e1_51dfd09dc385"/>
      <w:bookmarkStart w:id="90" w:name="Tc_bGotMhhbK0yqZ3vGK-OpdQ_43_5"/>
      <w:bookmarkStart w:id="91" w:name="Tc_rl9dQqAbq067zBODUMv_Xg_43_2"/>
      <w:bookmarkStart w:id="92" w:name="Tc_htS46MCLskOvp_l9_XNOGw_43_0"/>
      <w:bookmarkStart w:id="93" w:name="Tc_ll38XdEcrkKFm-5Racwe5Q_42_0"/>
      <w:bookmarkStart w:id="94" w:name="Tc_-W6IjsxcWk-fBNPZ8Pxj-g_41_0"/>
      <w:bookmarkStart w:id="95" w:name="Tc_hbSlT6v_v0O0QiuGWpbTug_40_0"/>
      <w:bookmarkStart w:id="96" w:name="Tc_JjEQxs-YPUyRKPoeQSyi5A_39_0"/>
      <w:bookmarkStart w:id="97" w:name="Tc_w4__JdwBdkSvl5Z5GRs3Hw_38_0"/>
      <w:bookmarkStart w:id="98" w:name="Tc_H07H28oOCkOHjnJp-KYuHA_37_0"/>
      <w:bookmarkStart w:id="99" w:name="Tc_sdgMti33PkuNc0vdJLiujA_36_0"/>
      <w:bookmarkStart w:id="100" w:name="Tc_NLXOJKGSlEO5oSpVLzpVDg_34_0"/>
      <w:bookmarkStart w:id="101" w:name="Tc_5M1DQxOaMUiEccl0jTKk5w_32_0"/>
      <w:bookmarkStart w:id="102" w:name="Tc_tWd4o0q_g0iKlfxJKpID-Q_31_0"/>
      <w:bookmarkStart w:id="103" w:name="Tc_8iJS99m7OUGqnyVWTjfmkQ_30_0"/>
      <w:bookmarkStart w:id="104" w:name="Tc_H_j1s8m_DUytBxPCs_bNaA_29_0"/>
      <w:bookmarkStart w:id="105" w:name="Tc_HDUUWmYx1EOP3EqgUGtaJA_28_0"/>
      <w:bookmarkStart w:id="106" w:name="Tc_tJB3DwlXVEmhY3Efhg6UvQ_27_0"/>
      <w:bookmarkStart w:id="107" w:name="Tc_RveAWsncbk2vPM0IaSsHeA_26_0"/>
      <w:bookmarkStart w:id="108" w:name="Tc_laukzNRuwEKirPou4UPyQg_25_0"/>
      <w:bookmarkStart w:id="109" w:name="Tc_TxL9AIbQbUKeFTQKckmKOA_24_0"/>
      <w:bookmarkStart w:id="110" w:name="Tc_evVoGlmLXUiwnRuzW5myDw_23_0"/>
      <w:bookmarkStart w:id="111" w:name="Tc_7zRqJAuZzUaiCKRBPc6Clg_22_0"/>
      <w:bookmarkStart w:id="112" w:name="Tc_ppApQHMlZkGjulFAn_aD2w_21_5"/>
      <w:bookmarkStart w:id="113" w:name="Tc__a55uIiaDECvugiv3kZx5Q_21_2"/>
      <w:bookmarkStart w:id="114" w:name="Tc_nSlPydOQm0uN5v_YsvJUsA_21_0"/>
      <w:bookmarkStart w:id="115" w:name="Tc_W2g7UHQHY0-xhpEr8NObJA_20_0"/>
      <w:bookmarkStart w:id="116" w:name="Tc_Gqpk-U949EGoPnfIWxd1Ww_19_0"/>
      <w:bookmarkStart w:id="117" w:name="Tc_tKhj85F4NUO2sFuaC0bddg_18_5"/>
      <w:bookmarkStart w:id="118" w:name="Tc_BIe_heemXUmPRSLEWzRC-Q_18_2"/>
      <w:bookmarkStart w:id="119" w:name="Tc_tU8jDj3-qkq6Ke1CR2Zkdw_18_0"/>
      <w:bookmarkStart w:id="120" w:name="Tc_xY8svCt2lkmi9VySgbf2Mw_17_0"/>
      <w:bookmarkStart w:id="121" w:name="Tc_azBmYl_JkkuZxj-kmqaOHw_16_0"/>
      <w:bookmarkStart w:id="122" w:name="Tc_Jc1npbmDI0OkiZGsNDrM8Q_15_0"/>
      <w:bookmarkStart w:id="123" w:name="Tc_M4aEFhsmaUuIbV_fANpcUg_14_0"/>
      <w:bookmarkStart w:id="124" w:name="Tc_achG_eoixEOvEejuSnJMng_13_0"/>
      <w:bookmarkStart w:id="125" w:name="Tc_MoCDQoqBe0ODNKXCRQVeZQ_12_0"/>
      <w:bookmarkStart w:id="126" w:name="Tc_lZsf7VfT1UyfWVOyGYy5tg_11_0"/>
      <w:bookmarkStart w:id="127" w:name="Tc_lmE-qbeNM0WZ4U87O07x9A_10_0"/>
      <w:bookmarkStart w:id="128" w:name="Tc_H_3-wV9eqUqzxUsIIVprLg_9_0"/>
      <w:bookmarkStart w:id="129" w:name="Tc_JIm6S1G2OEOdt7fykJTSVg_8_0"/>
      <w:bookmarkStart w:id="130" w:name="Tc_7cSu_Et7IUeiA1nhT2t2zw_7_0"/>
      <w:bookmarkStart w:id="131" w:name="Tc_UHwFJoJYBUSMsj410TtO4w_6_0"/>
      <w:bookmarkStart w:id="132" w:name="Tc_O_zSUuGHnUqwGE3FCWSStQ_5_5"/>
      <w:bookmarkStart w:id="133" w:name="Tc_hNfLg-niDkS_Uap1upnRgg_5_2"/>
      <w:bookmarkStart w:id="134" w:name="Tc_jNQcGmug70GRFlY9mgkgrw_5_0"/>
      <w:bookmarkStart w:id="135" w:name="Tc_5yfGPthLkUacnAIpaDc7LA_4_0"/>
      <w:bookmarkStart w:id="136" w:name="Tc_Kq6-LNrW80G6_Qqsn_eGrA_3_0"/>
      <w:bookmarkStart w:id="137" w:name="Tc_QCLm3jC-SU2_gyx8uuZztg_2_5"/>
      <w:bookmarkStart w:id="138" w:name="Tc_OxwknvsB3U2d9YK0hIbx4g_2_2"/>
      <w:bookmarkStart w:id="139" w:name="Tc_Shs7QW7Gjk2StVcVDd9GcA_1_5"/>
      <w:bookmarkStart w:id="140" w:name="Tc_zQz0jJHLrUS_B6hU_Kk0Bw_1_2"/>
      <w:bookmarkStart w:id="141" w:name="_d9f5a5fb_3c7f_4d8b_95e1_51dfd09dc385"/>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Layout w:type="fixed"/>
        <w:tblCellMar>
          <w:top w:w="0" w:type="dxa"/>
          <w:left w:w="0" w:type="dxa"/>
          <w:bottom w:w="0" w:type="dxa"/>
          <w:right w:w="0" w:type="dxa"/>
        </w:tblCellMar>
      </w:tblPr>
      <w:tblGrid>
        <w:gridCol w:w="7363"/>
        <w:gridCol w:w="326"/>
        <w:gridCol w:w="211"/>
        <w:gridCol w:w="781"/>
        <w:gridCol w:w="326"/>
        <w:gridCol w:w="222"/>
        <w:gridCol w:w="821"/>
        <w:gridCol w:w="155"/>
      </w:tblGrid>
      <w:tr>
        <w:trPr/>
        <w:tc>
          <w:tcPr>
            <w:tcW w:w="7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75505" cy="175260"/>
                      <wp:effectExtent l="0" t="0" r="0" b="0"/>
                      <wp:wrapNone/>
                      <wp:docPr id="5" name="Frame5"/>
                      <a:graphic xmlns:a="http://schemas.openxmlformats.org/drawingml/2006/main">
                        <a:graphicData uri="http://schemas.microsoft.com/office/word/2010/wordprocessingShape">
                          <wps:wsp>
                            <wps:cNvSpPr txBox="1"/>
                            <wps:spPr>
                              <a:xfrm>
                                <a:off x="0" y="0"/>
                                <a:ext cx="467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0970" cy="175260"/>
                      <wp:effectExtent l="0" t="0" r="0" b="0"/>
                      <wp:wrapNone/>
                      <wp:docPr id="10" name="Frame1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1335" cy="175260"/>
                      <wp:effectExtent l="0" t="0" r="0" b="0"/>
                      <wp:wrapNone/>
                      <wp:docPr id="11" name="Frame11"/>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8425" cy="175260"/>
                      <wp:effectExtent l="0" t="0" r="0" b="0"/>
                      <wp:wrapNone/>
                      <wp:docPr id="12" name="Frame12"/>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    </w:t>
            </w:r>
          </w:p>
        </w:tc>
        <w:tc>
          <w:tcPr>
            <w:tcW w:w="10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155" w:type="dxa"/>
            <w:tcBorders/>
            <w:vAlign w:val="center"/>
          </w:tcPr>
          <w:p>
            <w:pPr>
              <w:pStyle w:val="TableContents"/>
              <w:bidi w:val="0"/>
              <w:spacing w:before="0" w:after="0"/>
              <w:ind w:left="0" w:right="0" w:hanging="0"/>
              <w:jc w:val="center"/>
              <w:rPr/>
            </w:pPr>
            <w:r>
              <w:rPr/>
              <w:t>​</w:t>
            </w:r>
          </w:p>
        </w:tc>
      </w:tr>
      <w:tr>
        <w:trPr/>
        <w:tc>
          <w:tcPr>
            <w:tcW w:w="73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5" w:type="dxa"/>
            <w:tcBorders/>
            <w:vAlign w:val="center"/>
          </w:tcPr>
          <w:p>
            <w:pPr>
              <w:pStyle w:val="TableContents"/>
              <w:bidi w:val="0"/>
              <w:spacing w:before="0" w:after="0"/>
              <w:ind w:left="0" w:right="0" w:hanging="0"/>
              <w:jc w:val="center"/>
              <w:rPr/>
            </w:pPr>
            <w:r>
              <w:rPr/>
              <w:t>​</w:t>
            </w:r>
          </w:p>
        </w:tc>
      </w:tr>
      <w:tr>
        <w:trPr/>
        <w:tc>
          <w:tcPr>
            <w:tcW w:w="10050" w:type="dxa"/>
            <w:gridSpan w:val="7"/>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155" w:type="dxa"/>
            <w:tcBorders/>
            <w:vAlign w:val="center"/>
          </w:tcPr>
          <w:p>
            <w:pPr>
              <w:pStyle w:val="TableContents"/>
              <w:bidi w:val="0"/>
              <w:spacing w:before="0" w:after="0"/>
              <w:ind w:left="0" w:right="0" w:hanging="0"/>
              <w:jc w:val="lef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44,267</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23,397</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$898</w:t>
            </w:r>
            <w:r>
              <w:rPr>
                <w:rFonts w:ascii="Times New Roman;Times;serif" w:hAnsi="Times New Roman;Times;serif"/>
                <w:sz w:val="18"/>
              </w:rPr>
              <w:t xml:space="preserve"> </w:t>
            </w:r>
            <w:r>
              <w:rPr>
                <w:rFonts w:ascii="Times New Roman;Times;serif" w:hAnsi="Times New Roman;Times;serif"/>
                <w:sz w:val="19"/>
              </w:rPr>
              <w:t>and $866</w:t>
            </w:r>
            <w:r>
              <w:rPr>
                <w:rFonts w:ascii="Times New Roman;Times;serif" w:hAnsi="Times New Roman;Times;serif"/>
                <w:sz w:val="18"/>
              </w:rPr>
              <w:t xml:space="preserve"> </w:t>
            </w:r>
            <w:r>
              <w:rPr>
                <w:rFonts w:ascii="Times New Roman;Times;serif" w:hAnsi="Times New Roman;Times;serif"/>
                <w:sz w:val="19"/>
              </w:rPr>
              <w:t>at June 28, 2024 and December 29, 2023,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61,985</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69,677</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87,872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93,885</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218</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1,169</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6,108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3,888</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200,450</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192,016</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Equipment and leasehold improvements,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28,228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27,097</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131,144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131,144</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15,338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12,465</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28,279</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31,956</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2,978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4,949</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14,872</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15,961</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421,289</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415,588</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10050" w:type="dxa"/>
            <w:gridSpan w:val="7"/>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155" w:type="dxa"/>
            <w:tcBorders/>
            <w:vAlign w:val="center"/>
          </w:tcPr>
          <w:p>
            <w:pPr>
              <w:pStyle w:val="TableContents"/>
              <w:bidi w:val="0"/>
              <w:spacing w:before="0" w:after="0"/>
              <w:ind w:left="0" w:right="0" w:hanging="0"/>
              <w:jc w:val="lef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31,917</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33,193</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45,305</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54,129</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17,464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13,183</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9,530</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8,452</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1,096</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1,186</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5,515</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4,537</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110,827</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114,680</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84,164</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88,979</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 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1,132</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1,184</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11,604</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9,758</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557</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1,142</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208,284</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215,743</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10,000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 and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$0.01</w:t>
            </w:r>
            <w:r>
              <w:rPr>
                <w:rFonts w:ascii="Times New Roman;Times;serif" w:hAnsi="Times New Roman;Times;serif"/>
                <w:sz w:val="18"/>
              </w:rPr>
              <w:t xml:space="preserve"> </w:t>
            </w:r>
            <w:r>
              <w:rPr>
                <w:rFonts w:ascii="Times New Roman;Times;serif" w:hAnsi="Times New Roman;Times;serif"/>
                <w:sz w:val="19"/>
              </w:rPr>
              <w:t>par value, 40,000</w:t>
            </w:r>
            <w:r>
              <w:rPr>
                <w:rFonts w:ascii="Times New Roman;Times;serif" w:hAnsi="Times New Roman;Times;serif"/>
                <w:sz w:val="18"/>
              </w:rPr>
              <w:t xml:space="preserve"> </w:t>
            </w:r>
            <w:r>
              <w:rPr>
                <w:rFonts w:ascii="Times New Roman;Times;serif" w:hAnsi="Times New Roman;Times;serif"/>
                <w:sz w:val="19"/>
              </w:rPr>
              <w:t>shares authorized; 13,916</w:t>
            </w:r>
            <w:r>
              <w:rPr>
                <w:rFonts w:ascii="Times New Roman;Times;serif" w:hAnsi="Times New Roman;Times;serif"/>
                <w:sz w:val="18"/>
              </w:rPr>
              <w:t xml:space="preserve"> </w:t>
            </w:r>
            <w:r>
              <w:rPr>
                <w:rFonts w:ascii="Times New Roman;Times;serif" w:hAnsi="Times New Roman;Times;serif"/>
                <w:sz w:val="19"/>
              </w:rPr>
              <w:t>and 13,682</w:t>
            </w:r>
            <w:r>
              <w:rPr>
                <w:rFonts w:ascii="Times New Roman;Times;serif" w:hAnsi="Times New Roman;Times;serif"/>
                <w:sz w:val="18"/>
              </w:rPr>
              <w:t xml:space="preserve"> </w:t>
            </w:r>
            <w:r>
              <w:rPr>
                <w:rFonts w:ascii="Times New Roman;Times;serif" w:hAnsi="Times New Roman;Times;serif"/>
                <w:sz w:val="19"/>
              </w:rPr>
              <w:t>shares issued and outstanding at June 28, 2024 and December 29,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190,882</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185,795</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(664)</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22,113</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14,577</w:t>
            </w:r>
          </w:p>
        </w:tc>
        <w:tc>
          <w:tcPr>
            <w:tcW w:w="155" w:type="dxa"/>
            <w:tcBorders/>
            <w:vAlign w:val="center"/>
          </w:tcPr>
          <w:p>
            <w:pPr>
              <w:pStyle w:val="TableContents"/>
              <w:bidi w:val="0"/>
              <w:spacing w:before="0" w:after="0"/>
              <w:ind w:left="0" w:right="0" w:hanging="0"/>
              <w:jc w:val="right"/>
              <w:rPr/>
            </w:pPr>
            <w:r>
              <w:rPr/>
              <w:t>​</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213,005</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199,845</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421,289</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415,588</w:t>
            </w:r>
          </w:p>
        </w:tc>
        <w:tc>
          <w:tcPr>
            <w:tcW w:w="155" w:type="dxa"/>
            <w:tcBorders/>
            <w:vAlign w:val="center"/>
          </w:tcPr>
          <w:p>
            <w:pPr>
              <w:pStyle w:val="TableContents"/>
              <w:bidi w:val="0"/>
              <w:spacing w:before="0" w:after="0"/>
              <w:ind w:left="0" w:right="0" w:hanging="0"/>
              <w:jc w:val="right"/>
              <w:rPr/>
            </w:pPr>
            <w:r>
              <w:rPr/>
              <w:t>​</w:t>
            </w:r>
          </w:p>
        </w:tc>
      </w:tr>
    </w:tbl>
    <w:p>
      <w:pPr>
        <w:pStyle w:val="TextBody"/>
        <w:bidi w:val="0"/>
        <w:spacing w:before="80" w:after="0"/>
        <w:ind w:left="0" w:right="0" w:hanging="0"/>
        <w:jc w:val="center"/>
        <w:rPr/>
      </w:pPr>
      <w:r>
        <w:rPr/>
        <w:t>​</w:t>
      </w:r>
    </w:p>
    <w:p>
      <w:pPr>
        <w:pStyle w:val="TextBody"/>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2" w:name="_55df35b9_fc1d_4f64_905d_619409857011"/>
      <w:bookmarkEnd w:id="142"/>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143" w:name="OPERATIONS_940148"/>
      <w:bookmarkEnd w:id="143"/>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44" w:name="Tc_7Fng2tJutUWjVg2Rxjdytg_42_0"/>
      <w:bookmarkStart w:id="145" w:name="Tc_cpPJJFFIFkuYkLzOr1aR7w_41_0"/>
      <w:bookmarkStart w:id="146" w:name="Tc_4cQzPxfHLEyi-VcUrbga7w_40_0"/>
      <w:bookmarkStart w:id="147" w:name="Tc_WIvdOUjekEWbvCp9JEXldA_38_11"/>
      <w:bookmarkStart w:id="148" w:name="Tc_FN9oPPd3a0OZJxtI4Bk_dg_38_8"/>
      <w:bookmarkStart w:id="149" w:name="Tc_0YwN-AOBUEqK3KyRq03IEg_38_5"/>
      <w:bookmarkStart w:id="150" w:name="Tc_3niBL7-6bkWnLI2851lOmA_38_2"/>
      <w:bookmarkStart w:id="151" w:name="Tc_JNrbbjHa4Uy3Qcp9vN-y5w_38_0"/>
      <w:bookmarkStart w:id="152" w:name="Tc_fiaTlNgpr0axRVxCAuFpVw_37_11"/>
      <w:bookmarkStart w:id="153" w:name="Tc_qetERSUghUuZySppFJpTXA_37_8"/>
      <w:bookmarkStart w:id="154" w:name="Tc_vKUuc32OcU2eaQHDZyKP6g_37_5"/>
      <w:bookmarkStart w:id="155" w:name="Tc_sqnnitZvU0m3cfwMn5lHCQ_37_2"/>
      <w:bookmarkStart w:id="156" w:name="Tc_tl62vSaZP0SBzI5IWqZdrA_37_0"/>
      <w:bookmarkStart w:id="157" w:name="Tc_alaDdY_5O0OFIz53eBpgaA_36_0"/>
      <w:bookmarkStart w:id="158" w:name="Tc_fzj3tof8e06Hc91EPR0-RA_34_11"/>
      <w:bookmarkStart w:id="159" w:name="Tc_43ai11dswk6nRvlQNfsTGA_34_8"/>
      <w:bookmarkStart w:id="160" w:name="Tc_QXSkBXIWe0udag4yIV1mWw_34_5"/>
      <w:bookmarkStart w:id="161" w:name="Tc_iFuvmfV_eE-Yxdq_IiMcLw_34_2"/>
      <w:bookmarkStart w:id="162" w:name="Tc_QYxPFkWTj0eZ90RdmzCn6g_34_0"/>
      <w:bookmarkStart w:id="163" w:name="Tc_Z-MaYnRGKEaMA6BlJdqzAQ_33_12"/>
      <w:bookmarkStart w:id="164" w:name="Tc_9L0FUeOL4Eqm232_qvTQlA_33_6"/>
      <w:bookmarkStart w:id="165" w:name="Tc_3ZSC0zVmVESt8lvJPPrTpg_33_0"/>
      <w:bookmarkStart w:id="166" w:name="Tc_e_PdJIMrFkaAoDCSA2Q3MA_32_0"/>
      <w:bookmarkStart w:id="167" w:name="Tc_MZvQB4jQH0ip5jlN8ncq1g_30_0"/>
      <w:bookmarkStart w:id="168" w:name="Tc_EhURCz8uvkO9FiOun7KQ8Q_29_0"/>
      <w:bookmarkStart w:id="169" w:name="Tc_kknEOGpR4EurUzQNMNKVzQ_28_0"/>
      <w:bookmarkStart w:id="170" w:name="Tc_mZAAwM5BGkS_nkZnjVIIhg_26_0"/>
      <w:bookmarkStart w:id="171" w:name="Tc_VcH9G6P7w0yBL6odveELRQ_25_0"/>
      <w:bookmarkStart w:id="172" w:name="Tc_jc7Ke_WXQk-g--BPBrlVdA_24_0"/>
      <w:bookmarkStart w:id="173" w:name="Tc_o4Cga4wCiUCxK2m5qairFw_23_0"/>
      <w:bookmarkStart w:id="174" w:name="Tc_UqaJlMY_m0qgCTJFXzpmjA_21_0"/>
      <w:bookmarkStart w:id="175" w:name="Tc_EsdalGhoHEGoe-xKbuydyQ_19_0"/>
      <w:bookmarkStart w:id="176" w:name="Tc_v0bUvXHxs0-zrmNbneQMEQ_18_0"/>
      <w:bookmarkStart w:id="177" w:name="Tc_04OZST5YZEmY6iN4d8_7_g_17_0"/>
      <w:bookmarkStart w:id="178" w:name="Tc_yFMxUqOAukC-20rHtWgqCA_16_0"/>
      <w:bookmarkStart w:id="179" w:name="Tc_9URN4w9qhEa4bT71_Cfo4Q_15_0"/>
      <w:bookmarkStart w:id="180" w:name="Tc_QjXulymJXUuBtW_kk8zIjw_14_0"/>
      <w:bookmarkStart w:id="181" w:name="Tc_qJmnQFYSjkG_WOUZW1oKpw_13_0"/>
      <w:bookmarkStart w:id="182" w:name="Tc_DLoxTfVwFUygU6TQyxXJnw_11_0"/>
      <w:bookmarkStart w:id="183" w:name="Tc_DLqDre5sX0KoRdIn9aexVw_9_0"/>
      <w:bookmarkStart w:id="184" w:name="Tc_ke_XodypAkSmipY_Fk82uw_8_0"/>
      <w:bookmarkStart w:id="185" w:name="Tc_HsfCzwUgNkecev7So-NtBA_7_0"/>
      <w:bookmarkStart w:id="186" w:name="Tc_GZZyCNMD-0WCy5i7ggnOOQ_6_0"/>
      <w:bookmarkStart w:id="187" w:name="Tc_Vncvv8HQJ0iayV_KetoMrA_4_11"/>
      <w:bookmarkStart w:id="188" w:name="Tc_Fy9_oZqlNkex-rDWiKQmBA_4_8"/>
      <w:bookmarkStart w:id="189" w:name="Tc_yZqnpqMjfUmZiSbiGzuCMA_4_5"/>
      <w:bookmarkStart w:id="190" w:name="Tc_EqDwRw79u0-F6K-9Dwjtrw_4_2"/>
      <w:bookmarkStart w:id="191" w:name="Tc_8v_4wX54LkGkW_Boy4lGHw_4_0"/>
      <w:bookmarkStart w:id="192" w:name="Tc_Nela6ZLHy0WmWT0qApEvnA_3_11"/>
      <w:bookmarkStart w:id="193" w:name="Tc_j8Ru6Ald00WngFcza4eOcg_3_8"/>
      <w:bookmarkStart w:id="194" w:name="Tc_MvbBA9vByEypiJM2wW4prQ_3_5"/>
      <w:bookmarkStart w:id="195" w:name="Tc_9RHXlBhOLkqPuoPl0-_6lA_3_2"/>
      <w:bookmarkStart w:id="196" w:name="Tc_JYr5KfQFmki81i7eqpSzNQ_2_11"/>
      <w:bookmarkStart w:id="197" w:name="Tc_DrR9nzcWNUWQ99Wvbgu1cQ_2_8"/>
      <w:bookmarkStart w:id="198" w:name="Tc_PpZIISFZAUOhFBymby7-Gw_2_5"/>
      <w:bookmarkStart w:id="199" w:name="Tc_U-fjFlzWbEG6HKSDtLGGrQ_2_2"/>
      <w:bookmarkStart w:id="200" w:name="Tc_h8eGSQ5L1UO_E7idq_756Q_1_8"/>
      <w:bookmarkStart w:id="201" w:name="Tc_EQ_zWkAWn0m9Zp2nzjzjnw_1_2"/>
      <w:bookmarkStart w:id="202" w:name="_3aba4ab8_bba5_491c_8d83_78aa3e16931c"/>
      <w:bookmarkStart w:id="203" w:name="Tc_7Fng2tJutUWjVg2Rxjdytg_42_0"/>
      <w:bookmarkStart w:id="204" w:name="Tc_cpPJJFFIFkuYkLzOr1aR7w_41_0"/>
      <w:bookmarkStart w:id="205" w:name="Tc_4cQzPxfHLEyi-VcUrbga7w_40_0"/>
      <w:bookmarkStart w:id="206" w:name="Tc_WIvdOUjekEWbvCp9JEXldA_38_11"/>
      <w:bookmarkStart w:id="207" w:name="Tc_FN9oPPd3a0OZJxtI4Bk_dg_38_8"/>
      <w:bookmarkStart w:id="208" w:name="Tc_0YwN-AOBUEqK3KyRq03IEg_38_5"/>
      <w:bookmarkStart w:id="209" w:name="Tc_3niBL7-6bkWnLI2851lOmA_38_2"/>
      <w:bookmarkStart w:id="210" w:name="Tc_JNrbbjHa4Uy3Qcp9vN-y5w_38_0"/>
      <w:bookmarkStart w:id="211" w:name="Tc_fiaTlNgpr0axRVxCAuFpVw_37_11"/>
      <w:bookmarkStart w:id="212" w:name="Tc_qetERSUghUuZySppFJpTXA_37_8"/>
      <w:bookmarkStart w:id="213" w:name="Tc_vKUuc32OcU2eaQHDZyKP6g_37_5"/>
      <w:bookmarkStart w:id="214" w:name="Tc_sqnnitZvU0m3cfwMn5lHCQ_37_2"/>
      <w:bookmarkStart w:id="215" w:name="Tc_tl62vSaZP0SBzI5IWqZdrA_37_0"/>
      <w:bookmarkStart w:id="216" w:name="Tc_alaDdY_5O0OFIz53eBpgaA_36_0"/>
      <w:bookmarkStart w:id="217" w:name="Tc_fzj3tof8e06Hc91EPR0-RA_34_11"/>
      <w:bookmarkStart w:id="218" w:name="Tc_43ai11dswk6nRvlQNfsTGA_34_8"/>
      <w:bookmarkStart w:id="219" w:name="Tc_QXSkBXIWe0udag4yIV1mWw_34_5"/>
      <w:bookmarkStart w:id="220" w:name="Tc_iFuvmfV_eE-Yxdq_IiMcLw_34_2"/>
      <w:bookmarkStart w:id="221" w:name="Tc_QYxPFkWTj0eZ90RdmzCn6g_34_0"/>
      <w:bookmarkStart w:id="222" w:name="Tc_Z-MaYnRGKEaMA6BlJdqzAQ_33_12"/>
      <w:bookmarkStart w:id="223" w:name="Tc_9L0FUeOL4Eqm232_qvTQlA_33_6"/>
      <w:bookmarkStart w:id="224" w:name="Tc_3ZSC0zVmVESt8lvJPPrTpg_33_0"/>
      <w:bookmarkStart w:id="225" w:name="Tc_e_PdJIMrFkaAoDCSA2Q3MA_32_0"/>
      <w:bookmarkStart w:id="226" w:name="Tc_MZvQB4jQH0ip5jlN8ncq1g_30_0"/>
      <w:bookmarkStart w:id="227" w:name="Tc_EhURCz8uvkO9FiOun7KQ8Q_29_0"/>
      <w:bookmarkStart w:id="228" w:name="Tc_kknEOGpR4EurUzQNMNKVzQ_28_0"/>
      <w:bookmarkStart w:id="229" w:name="Tc_mZAAwM5BGkS_nkZnjVIIhg_26_0"/>
      <w:bookmarkStart w:id="230" w:name="Tc_VcH9G6P7w0yBL6odveELRQ_25_0"/>
      <w:bookmarkStart w:id="231" w:name="Tc_jc7Ke_WXQk-g--BPBrlVdA_24_0"/>
      <w:bookmarkStart w:id="232" w:name="Tc_o4Cga4wCiUCxK2m5qairFw_23_0"/>
      <w:bookmarkStart w:id="233" w:name="Tc_UqaJlMY_m0qgCTJFXzpmjA_21_0"/>
      <w:bookmarkStart w:id="234" w:name="Tc_EsdalGhoHEGoe-xKbuydyQ_19_0"/>
      <w:bookmarkStart w:id="235" w:name="Tc_v0bUvXHxs0-zrmNbneQMEQ_18_0"/>
      <w:bookmarkStart w:id="236" w:name="Tc_04OZST5YZEmY6iN4d8_7_g_17_0"/>
      <w:bookmarkStart w:id="237" w:name="Tc_yFMxUqOAukC-20rHtWgqCA_16_0"/>
      <w:bookmarkStart w:id="238" w:name="Tc_9URN4w9qhEa4bT71_Cfo4Q_15_0"/>
      <w:bookmarkStart w:id="239" w:name="Tc_QjXulymJXUuBtW_kk8zIjw_14_0"/>
      <w:bookmarkStart w:id="240" w:name="Tc_qJmnQFYSjkG_WOUZW1oKpw_13_0"/>
      <w:bookmarkStart w:id="241" w:name="Tc_DLoxTfVwFUygU6TQyxXJnw_11_0"/>
      <w:bookmarkStart w:id="242" w:name="Tc_DLqDre5sX0KoRdIn9aexVw_9_0"/>
      <w:bookmarkStart w:id="243" w:name="Tc_ke_XodypAkSmipY_Fk82uw_8_0"/>
      <w:bookmarkStart w:id="244" w:name="Tc_HsfCzwUgNkecev7So-NtBA_7_0"/>
      <w:bookmarkStart w:id="245" w:name="Tc_GZZyCNMD-0WCy5i7ggnOOQ_6_0"/>
      <w:bookmarkStart w:id="246" w:name="Tc_Vncvv8HQJ0iayV_KetoMrA_4_11"/>
      <w:bookmarkStart w:id="247" w:name="Tc_Fy9_oZqlNkex-rDWiKQmBA_4_8"/>
      <w:bookmarkStart w:id="248" w:name="Tc_yZqnpqMjfUmZiSbiGzuCMA_4_5"/>
      <w:bookmarkStart w:id="249" w:name="Tc_EqDwRw79u0-F6K-9Dwjtrw_4_2"/>
      <w:bookmarkStart w:id="250" w:name="Tc_8v_4wX54LkGkW_Boy4lGHw_4_0"/>
      <w:bookmarkStart w:id="251" w:name="Tc_Nela6ZLHy0WmWT0qApEvnA_3_11"/>
      <w:bookmarkStart w:id="252" w:name="Tc_j8Ru6Ald00WngFcza4eOcg_3_8"/>
      <w:bookmarkStart w:id="253" w:name="Tc_MvbBA9vByEypiJM2wW4prQ_3_5"/>
      <w:bookmarkStart w:id="254" w:name="Tc_9RHXlBhOLkqPuoPl0-_6lA_3_2"/>
      <w:bookmarkStart w:id="255" w:name="Tc_JYr5KfQFmki81i7eqpSzNQ_2_11"/>
      <w:bookmarkStart w:id="256" w:name="Tc_DrR9nzcWNUWQ99Wvbgu1cQ_2_8"/>
      <w:bookmarkStart w:id="257" w:name="Tc_PpZIISFZAUOhFBymby7-Gw_2_5"/>
      <w:bookmarkStart w:id="258" w:name="Tc_U-fjFlzWbEG6HKSDtLGGrQ_2_2"/>
      <w:bookmarkStart w:id="259" w:name="Tc_h8eGSQ5L1UO_E7idq_756Q_1_8"/>
      <w:bookmarkStart w:id="260" w:name="Tc_EQ_zWkAWn0m9Zp2nzjzjnw_1_2"/>
      <w:bookmarkStart w:id="261" w:name="_3aba4ab8_bba5_491c_8d83_78aa3e16931c"/>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tbl>
      <w:tblPr>
        <w:tblW w:w="10205" w:type="dxa"/>
        <w:jc w:val="left"/>
        <w:tblInd w:w="0" w:type="dxa"/>
        <w:tblLayout w:type="fixed"/>
        <w:tblCellMar>
          <w:top w:w="0" w:type="dxa"/>
          <w:left w:w="0" w:type="dxa"/>
          <w:bottom w:w="0" w:type="dxa"/>
          <w:right w:w="0" w:type="dxa"/>
        </w:tblCellMar>
      </w:tblPr>
      <w:tblGrid>
        <w:gridCol w:w="4888"/>
        <w:gridCol w:w="326"/>
        <w:gridCol w:w="211"/>
        <w:gridCol w:w="781"/>
        <w:gridCol w:w="326"/>
        <w:gridCol w:w="211"/>
        <w:gridCol w:w="781"/>
        <w:gridCol w:w="326"/>
        <w:gridCol w:w="211"/>
        <w:gridCol w:w="781"/>
        <w:gridCol w:w="326"/>
        <w:gridCol w:w="211"/>
        <w:gridCol w:w="826"/>
      </w:tblGrid>
      <w:tr>
        <w:trPr/>
        <w:tc>
          <w:tcPr>
            <w:tcW w:w="4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103880" cy="175260"/>
                      <wp:effectExtent l="0" t="0" r="0" b="0"/>
                      <wp:wrapNone/>
                      <wp:docPr id="13" name="Frame13"/>
                      <a:graphic xmlns:a="http://schemas.openxmlformats.org/drawingml/2006/main">
                        <a:graphicData uri="http://schemas.microsoft.com/office/word/2010/wordprocessingShape">
                          <wps:wsp>
                            <wps:cNvSpPr txBox="1"/>
                            <wps:spPr>
                              <a:xfrm>
                                <a:off x="0" y="0"/>
                                <a:ext cx="310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95935" cy="175260"/>
                      <wp:effectExtent l="0" t="0" r="0" b="0"/>
                      <wp:wrapNone/>
                      <wp:docPr id="16" name="Frame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95935" cy="175260"/>
                      <wp:effectExtent l="0" t="0" r="0" b="0"/>
                      <wp:wrapNone/>
                      <wp:docPr id="19" name="Frame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4510" cy="175260"/>
                      <wp:effectExtent l="0" t="0" r="0" b="0"/>
                      <wp:wrapNone/>
                      <wp:docPr id="25" name="Frame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221,680</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costs of contract revenue (inclusive of directly related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41,712</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98,054</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costs of contract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139,766</w:t>
            </w:r>
          </w:p>
        </w:tc>
      </w:tr>
      <w:tr>
        <w:trPr/>
        <w:tc>
          <w:tcPr>
            <w:tcW w:w="4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81,914</w:t>
            </w:r>
          </w:p>
        </w:tc>
      </w:tr>
      <w:tr>
        <w:trPr/>
        <w:tc>
          <w:tcPr>
            <w:tcW w:w="4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 payroll taxes and 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44,801</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facility related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8,328</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14,580</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75,426</w:t>
            </w:r>
          </w:p>
        </w:tc>
      </w:tr>
      <w:tr>
        <w:trPr/>
        <w:tc>
          <w:tcPr>
            <w:tcW w:w="4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w:t>
            </w:r>
          </w:p>
        </w:tc>
      </w:tr>
      <w:tr>
        <w:trPr/>
        <w:tc>
          <w:tcPr>
            <w:tcW w:w="4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(4,160)</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 contracts, net of tax</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13,305</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13,481</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2" w:name="_dc928850_7b6f_4992_b3fc_8f1cb090f377"/>
      <w:bookmarkEnd w:id="262"/>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63" w:name="STOCKHOLDERSEQUITY_372544"/>
      <w:bookmarkEnd w:id="263"/>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64" w:name="Tc_2K-8gNFDqEe_aejB5N69Ig_20_16"/>
      <w:bookmarkStart w:id="265" w:name="Tc_q3lfmRCEtkW-1HZeXe_ptQ_20_13"/>
      <w:bookmarkStart w:id="266" w:name="Tc_RW5cdiXMr0uUeBV6ykg_ag_20_10"/>
      <w:bookmarkStart w:id="267" w:name="Tc_FklE_Wd3kkGv5FEwr0PbzA_20_7"/>
      <w:bookmarkStart w:id="268" w:name="Tc_bKXT1nTLgUC3Uh1TPSO2ag_20_4"/>
      <w:bookmarkStart w:id="269" w:name="Tc_Hft6UGyKfk6VDvlhn-ULJQ_20_0"/>
      <w:bookmarkStart w:id="270" w:name="Tc_PAaVujjkJEKyebeIyVAeog_19_14"/>
      <w:bookmarkStart w:id="271" w:name="Tc_K3bj5esOik2oIjWFwxbyNQ_19_8"/>
      <w:bookmarkStart w:id="272" w:name="Tc_veYNWAValUi5qk40yjqeMA_19_5"/>
      <w:bookmarkStart w:id="273" w:name="Tc_5-bH5htUe0-rS65Yh8rWlA_19_2"/>
      <w:bookmarkStart w:id="274" w:name="Tc_ZUm9dAtdwE-9vGx6jkvRsQ_19_0"/>
      <w:bookmarkStart w:id="275" w:name="Tc_lTC-0atdwESYMIqJn6S4Zw_18_11"/>
      <w:bookmarkStart w:id="276" w:name="Tc_cUT27dVxjES5-eOON315Ig_18_8"/>
      <w:bookmarkStart w:id="277" w:name="Tc_81y9XYe7AkWaDmc73wLyRQ_18_5"/>
      <w:bookmarkStart w:id="278" w:name="Tc_3JG3m5wayk-WICrpQYWLrA_18_2"/>
      <w:bookmarkStart w:id="279" w:name="Tc_ECLQQVoEeEWWiFbvQu-A2A_18_0"/>
      <w:bookmarkStart w:id="280" w:name="Tc_lHLDtyt26kGGGi7PR3uqgQ_17_14"/>
      <w:bookmarkStart w:id="281" w:name="Tc_yO2WnzQpUU2bLRR48I9ovw_17_11"/>
      <w:bookmarkStart w:id="282" w:name="Tc_jrovdOF8rEW8Lf8K3mq_SQ_17_5"/>
      <w:bookmarkStart w:id="283" w:name="Tc_9NcZQox-Z0uEht9M1OAhXw_17_2"/>
      <w:bookmarkStart w:id="284" w:name="Tc_F831i8kvAkiTreibvzLtFw_17_0"/>
      <w:bookmarkStart w:id="285" w:name="Tc_iUrlkfCoJUKcnR-IcLtGjw_16_17"/>
      <w:bookmarkStart w:id="286" w:name="Tc_ICrKWkzs1kG4zPlaM9Phdw_16_14"/>
      <w:bookmarkStart w:id="287" w:name="Tc_mvlqr2lFYECBlezlNE-lCQ_16_11"/>
      <w:bookmarkStart w:id="288" w:name="Tc_9XsM8a1cWk20-rGEhutDLg_16_8"/>
      <w:bookmarkStart w:id="289" w:name="Tc_PmdYXIvJgEGnikD7Y_XAoQ_16_5"/>
      <w:bookmarkStart w:id="290" w:name="Tc_jcTMxVIsr0SvBhTlBy01Fw_16_0"/>
      <w:bookmarkStart w:id="291" w:name="Tc_1xc9AFK-kUOGdnQa3GaG_w_15_14"/>
      <w:bookmarkStart w:id="292" w:name="Tc_J6HEhDJE9UytMlDmwsI2qw_15_11"/>
      <w:bookmarkStart w:id="293" w:name="Tc_rRB0lt568kakoPmDCtdPuw_15_5"/>
      <w:bookmarkStart w:id="294" w:name="Tc_QUq7KfRcDkGvpMtnz90rEA_15_2"/>
      <w:bookmarkStart w:id="295" w:name="Tc_OoFmgOFq_kqjuQAzaaYyyQ_15_0"/>
      <w:bookmarkStart w:id="296" w:name="Tc_L_5XwGDv20-CEEsR13Ge1A_14_14"/>
      <w:bookmarkStart w:id="297" w:name="Tc_IF2srN0V30qmCSVQ5wAmkQ_14_11"/>
      <w:bookmarkStart w:id="298" w:name="Tc_hKSHahijPE6Fc37ECVyTAw_14_0"/>
      <w:bookmarkStart w:id="299" w:name="Tc_njFYvaYPBk2pd0w1AACkAg_13_16"/>
      <w:bookmarkStart w:id="300" w:name="Tc_zx_hZ5kQMkmNdVbRDYZ0ug_13_13"/>
      <w:bookmarkStart w:id="301" w:name="Tc_ZELzuJV4mki0LVgjSrA97g_13_10"/>
      <w:bookmarkStart w:id="302" w:name="Tc_q2vbza2eyEi8ihNoYBN-zA_13_7"/>
      <w:bookmarkStart w:id="303" w:name="Tc_3fKKeOyznUGlBo3pggpETg_13_4"/>
      <w:bookmarkStart w:id="304" w:name="Tc_cad28DqXPkeaP9UtImfErQ_13_0"/>
      <w:bookmarkStart w:id="305" w:name="Tc_F8tmjxLmKEKzOJqGxMYX5g_12_14"/>
      <w:bookmarkStart w:id="306" w:name="Tc_5IhT65ztokyq5Hh5kqF55w_12_8"/>
      <w:bookmarkStart w:id="307" w:name="Tc_KCNsbUHY60C-Qhyxb2Aedg_12_5"/>
      <w:bookmarkStart w:id="308" w:name="Tc_01blEFbHRUKdR4WYm-MSSQ_12_2"/>
      <w:bookmarkStart w:id="309" w:name="Tc_zN-lTRbxEEGDyr6q5uMiaA_12_0"/>
      <w:bookmarkStart w:id="310" w:name="Tc_5U9DmljgJUCVRcq6kAsZoA_11_11"/>
      <w:bookmarkStart w:id="311" w:name="Tc_IabuBZ7_0EGUwd_cxoV9ug_11_8"/>
      <w:bookmarkStart w:id="312" w:name="Tc_YCH-pEA4sEWu77H8TsM4Gg_11_5"/>
      <w:bookmarkStart w:id="313" w:name="Tc_R4OVmQ7ZwEKYU9tIel4u4g_11_2"/>
      <w:bookmarkStart w:id="314" w:name="Tc_QiyW0qhm9U2CNYgDLvgkkQ_11_0"/>
      <w:bookmarkStart w:id="315" w:name="Tc_kaexTALNU0al7fZ2btmdnw_10_14"/>
      <w:bookmarkStart w:id="316" w:name="Tc_m37Hnz4QM023Xblysuectg_10_11"/>
      <w:bookmarkStart w:id="317" w:name="Tc_7g9mSoDxcEuCl-ZjX03h-g_10_5"/>
      <w:bookmarkStart w:id="318" w:name="Tc_Siq8WuBMf0OVyeXvP1gjkA_10_2"/>
      <w:bookmarkStart w:id="319" w:name="Tc_foYKuM2hEUqCL3I0EjpAew_10_0"/>
      <w:bookmarkStart w:id="320" w:name="Tc_xkdzeRuVIU-49_TsD8gQVg_9_17"/>
      <w:bookmarkStart w:id="321" w:name="Tc_SQIIzN-dF0yZ_azZXo12UQ_9_14"/>
      <w:bookmarkStart w:id="322" w:name="Tc_ZHHDyBc59kWG2M4OacDclw_9_11"/>
      <w:bookmarkStart w:id="323" w:name="Tc_meE47gfO-E68xin08n01Yg_9_0"/>
      <w:bookmarkStart w:id="324" w:name="Tc_qHoJkayKpUqesPoYn9qn0A_8_14"/>
      <w:bookmarkStart w:id="325" w:name="Tc_-M28XIdrREC_-miEuHkhig_8_11"/>
      <w:bookmarkStart w:id="326" w:name="Tc_nG8gwHFKykiEA614VdRZ1Q_8_0"/>
      <w:bookmarkStart w:id="327" w:name="Tc_f0949h29uEavqnuCTopJlg_7_14"/>
      <w:bookmarkStart w:id="328" w:name="Tc_r-JwI-U8AU-_713gemhndw_7_11"/>
      <w:bookmarkStart w:id="329" w:name="Tc_4OybbUJ930CS0dHT0J_6PQ_7_5"/>
      <w:bookmarkStart w:id="330" w:name="Tc_0AQvKN5ykkWfO9LU8xaleQ_7_0"/>
      <w:bookmarkStart w:id="331" w:name="Tc_uWSV4zV9j0CawjclV55dlw_6_14"/>
      <w:bookmarkStart w:id="332" w:name="Tc_paHJTZwvCEqL0ZiGLuEaQg_6_11"/>
      <w:bookmarkStart w:id="333" w:name="Tc_MwHU9m6-GEaaFzo4KeynQA_6_0"/>
      <w:bookmarkStart w:id="334" w:name="Tc_FImYOZEvN0usRw4pC5d8Eg_5_16"/>
      <w:bookmarkStart w:id="335" w:name="Tc_Ix3LQ23OA0OLcmBxNHIiRw_5_13"/>
      <w:bookmarkStart w:id="336" w:name="Tc_YDybxG-ioUu3kPWPdzpCZg_5_10"/>
      <w:bookmarkStart w:id="337" w:name="Tc_kzdNsODuaUCYgQDwR99FUg_5_7"/>
      <w:bookmarkStart w:id="338" w:name="Tc_lDwc2E07hU6kATWH98kYbg_5_4"/>
      <w:bookmarkStart w:id="339" w:name="Tc_CotstBnn4UqWkHKrn9Klrw_5_0"/>
      <w:bookmarkStart w:id="340" w:name="Tc_91q3JdfH10KM-IIZ_OCfkw_4_16"/>
      <w:bookmarkStart w:id="341" w:name="Tc_JlO6VEnIN0-Gt_91DxVufg_4_13"/>
      <w:bookmarkStart w:id="342" w:name="Tc_M5H5IbY2LEesb3N8yA9eig_4_10"/>
      <w:bookmarkStart w:id="343" w:name="Tc_5jFRg1SkpUWXAM8PvvTJBQ_4_7"/>
      <w:bookmarkStart w:id="344" w:name="Tc_DkUVldQA10KxSkRtfgGwgQ_4_4"/>
      <w:bookmarkStart w:id="345" w:name="Tc_BBUOZSzSX0qBUU37S43Myw_4_2"/>
      <w:bookmarkStart w:id="346" w:name="Tc_33owfSGiCUCrY3amYrHfGg_3_13"/>
      <w:bookmarkStart w:id="347" w:name="Tc_G1Mr_7wlgk2wvaGxV_Pv3w_3_10"/>
      <w:bookmarkStart w:id="348" w:name="Tc_1JXkENVw0kWYnbdZh4T2-w_3_7"/>
      <w:bookmarkStart w:id="349" w:name="Tc_DtcunmgwV0q2446rI86S2A_3_2"/>
      <w:bookmarkStart w:id="350" w:name="Tc_RCOPhILVZki9REvuLkGFTg_2_10"/>
      <w:bookmarkStart w:id="351" w:name="Tc_gRqaKDKkWUmGnMEl85MadQ_2_7"/>
      <w:bookmarkStart w:id="352" w:name="Tc_b8MEW-UXZUmeNoB44cnvDg_1_10"/>
      <w:bookmarkStart w:id="353" w:name="_2e7e20a5_a451_4611_9878_0bb7a6619791"/>
      <w:bookmarkStart w:id="354" w:name="Tc_2K-8gNFDqEe_aejB5N69Ig_20_16"/>
      <w:bookmarkStart w:id="355" w:name="Tc_q3lfmRCEtkW-1HZeXe_ptQ_20_13"/>
      <w:bookmarkStart w:id="356" w:name="Tc_RW5cdiXMr0uUeBV6ykg_ag_20_10"/>
      <w:bookmarkStart w:id="357" w:name="Tc_FklE_Wd3kkGv5FEwr0PbzA_20_7"/>
      <w:bookmarkStart w:id="358" w:name="Tc_bKXT1nTLgUC3Uh1TPSO2ag_20_4"/>
      <w:bookmarkStart w:id="359" w:name="Tc_Hft6UGyKfk6VDvlhn-ULJQ_20_0"/>
      <w:bookmarkStart w:id="360" w:name="Tc_PAaVujjkJEKyebeIyVAeog_19_14"/>
      <w:bookmarkStart w:id="361" w:name="Tc_K3bj5esOik2oIjWFwxbyNQ_19_8"/>
      <w:bookmarkStart w:id="362" w:name="Tc_veYNWAValUi5qk40yjqeMA_19_5"/>
      <w:bookmarkStart w:id="363" w:name="Tc_5-bH5htUe0-rS65Yh8rWlA_19_2"/>
      <w:bookmarkStart w:id="364" w:name="Tc_ZUm9dAtdwE-9vGx6jkvRsQ_19_0"/>
      <w:bookmarkStart w:id="365" w:name="Tc_lTC-0atdwESYMIqJn6S4Zw_18_11"/>
      <w:bookmarkStart w:id="366" w:name="Tc_cUT27dVxjES5-eOON315Ig_18_8"/>
      <w:bookmarkStart w:id="367" w:name="Tc_81y9XYe7AkWaDmc73wLyRQ_18_5"/>
      <w:bookmarkStart w:id="368" w:name="Tc_3JG3m5wayk-WICrpQYWLrA_18_2"/>
      <w:bookmarkStart w:id="369" w:name="Tc_ECLQQVoEeEWWiFbvQu-A2A_18_0"/>
      <w:bookmarkStart w:id="370" w:name="Tc_lHLDtyt26kGGGi7PR3uqgQ_17_14"/>
      <w:bookmarkStart w:id="371" w:name="Tc_yO2WnzQpUU2bLRR48I9ovw_17_11"/>
      <w:bookmarkStart w:id="372" w:name="Tc_jrovdOF8rEW8Lf8K3mq_SQ_17_5"/>
      <w:bookmarkStart w:id="373" w:name="Tc_9NcZQox-Z0uEht9M1OAhXw_17_2"/>
      <w:bookmarkStart w:id="374" w:name="Tc_F831i8kvAkiTreibvzLtFw_17_0"/>
      <w:bookmarkStart w:id="375" w:name="Tc_iUrlkfCoJUKcnR-IcLtGjw_16_17"/>
      <w:bookmarkStart w:id="376" w:name="Tc_ICrKWkzs1kG4zPlaM9Phdw_16_14"/>
      <w:bookmarkStart w:id="377" w:name="Tc_mvlqr2lFYECBlezlNE-lCQ_16_11"/>
      <w:bookmarkStart w:id="378" w:name="Tc_9XsM8a1cWk20-rGEhutDLg_16_8"/>
      <w:bookmarkStart w:id="379" w:name="Tc_PmdYXIvJgEGnikD7Y_XAoQ_16_5"/>
      <w:bookmarkStart w:id="380" w:name="Tc_jcTMxVIsr0SvBhTlBy01Fw_16_0"/>
      <w:bookmarkStart w:id="381" w:name="Tc_1xc9AFK-kUOGdnQa3GaG_w_15_14"/>
      <w:bookmarkStart w:id="382" w:name="Tc_J6HEhDJE9UytMlDmwsI2qw_15_11"/>
      <w:bookmarkStart w:id="383" w:name="Tc_rRB0lt568kakoPmDCtdPuw_15_5"/>
      <w:bookmarkStart w:id="384" w:name="Tc_QUq7KfRcDkGvpMtnz90rEA_15_2"/>
      <w:bookmarkStart w:id="385" w:name="Tc_OoFmgOFq_kqjuQAzaaYyyQ_15_0"/>
      <w:bookmarkStart w:id="386" w:name="Tc_L_5XwGDv20-CEEsR13Ge1A_14_14"/>
      <w:bookmarkStart w:id="387" w:name="Tc_IF2srN0V30qmCSVQ5wAmkQ_14_11"/>
      <w:bookmarkStart w:id="388" w:name="Tc_hKSHahijPE6Fc37ECVyTAw_14_0"/>
      <w:bookmarkStart w:id="389" w:name="Tc_njFYvaYPBk2pd0w1AACkAg_13_16"/>
      <w:bookmarkStart w:id="390" w:name="Tc_zx_hZ5kQMkmNdVbRDYZ0ug_13_13"/>
      <w:bookmarkStart w:id="391" w:name="Tc_ZELzuJV4mki0LVgjSrA97g_13_10"/>
      <w:bookmarkStart w:id="392" w:name="Tc_q2vbza2eyEi8ihNoYBN-zA_13_7"/>
      <w:bookmarkStart w:id="393" w:name="Tc_3fKKeOyznUGlBo3pggpETg_13_4"/>
      <w:bookmarkStart w:id="394" w:name="Tc_cad28DqXPkeaP9UtImfErQ_13_0"/>
      <w:bookmarkStart w:id="395" w:name="Tc_F8tmjxLmKEKzOJqGxMYX5g_12_14"/>
      <w:bookmarkStart w:id="396" w:name="Tc_5IhT65ztokyq5Hh5kqF55w_12_8"/>
      <w:bookmarkStart w:id="397" w:name="Tc_KCNsbUHY60C-Qhyxb2Aedg_12_5"/>
      <w:bookmarkStart w:id="398" w:name="Tc_01blEFbHRUKdR4WYm-MSSQ_12_2"/>
      <w:bookmarkStart w:id="399" w:name="Tc_zN-lTRbxEEGDyr6q5uMiaA_12_0"/>
      <w:bookmarkStart w:id="400" w:name="Tc_5U9DmljgJUCVRcq6kAsZoA_11_11"/>
      <w:bookmarkStart w:id="401" w:name="Tc_IabuBZ7_0EGUwd_cxoV9ug_11_8"/>
      <w:bookmarkStart w:id="402" w:name="Tc_YCH-pEA4sEWu77H8TsM4Gg_11_5"/>
      <w:bookmarkStart w:id="403" w:name="Tc_R4OVmQ7ZwEKYU9tIel4u4g_11_2"/>
      <w:bookmarkStart w:id="404" w:name="Tc_QiyW0qhm9U2CNYgDLvgkkQ_11_0"/>
      <w:bookmarkStart w:id="405" w:name="Tc_kaexTALNU0al7fZ2btmdnw_10_14"/>
      <w:bookmarkStart w:id="406" w:name="Tc_m37Hnz4QM023Xblysuectg_10_11"/>
      <w:bookmarkStart w:id="407" w:name="Tc_7g9mSoDxcEuCl-ZjX03h-g_10_5"/>
      <w:bookmarkStart w:id="408" w:name="Tc_Siq8WuBMf0OVyeXvP1gjkA_10_2"/>
      <w:bookmarkStart w:id="409" w:name="Tc_foYKuM2hEUqCL3I0EjpAew_10_0"/>
      <w:bookmarkStart w:id="410" w:name="Tc_xkdzeRuVIU-49_TsD8gQVg_9_17"/>
      <w:bookmarkStart w:id="411" w:name="Tc_SQIIzN-dF0yZ_azZXo12UQ_9_14"/>
      <w:bookmarkStart w:id="412" w:name="Tc_ZHHDyBc59kWG2M4OacDclw_9_11"/>
      <w:bookmarkStart w:id="413" w:name="Tc_meE47gfO-E68xin08n01Yg_9_0"/>
      <w:bookmarkStart w:id="414" w:name="Tc_qHoJkayKpUqesPoYn9qn0A_8_14"/>
      <w:bookmarkStart w:id="415" w:name="Tc_-M28XIdrREC_-miEuHkhig_8_11"/>
      <w:bookmarkStart w:id="416" w:name="Tc_nG8gwHFKykiEA614VdRZ1Q_8_0"/>
      <w:bookmarkStart w:id="417" w:name="Tc_f0949h29uEavqnuCTopJlg_7_14"/>
      <w:bookmarkStart w:id="418" w:name="Tc_r-JwI-U8AU-_713gemhndw_7_11"/>
      <w:bookmarkStart w:id="419" w:name="Tc_4OybbUJ930CS0dHT0J_6PQ_7_5"/>
      <w:bookmarkStart w:id="420" w:name="Tc_0AQvKN5ykkWfO9LU8xaleQ_7_0"/>
      <w:bookmarkStart w:id="421" w:name="Tc_uWSV4zV9j0CawjclV55dlw_6_14"/>
      <w:bookmarkStart w:id="422" w:name="Tc_paHJTZwvCEqL0ZiGLuEaQg_6_11"/>
      <w:bookmarkStart w:id="423" w:name="Tc_MwHU9m6-GEaaFzo4KeynQA_6_0"/>
      <w:bookmarkStart w:id="424" w:name="Tc_FImYOZEvN0usRw4pC5d8Eg_5_16"/>
      <w:bookmarkStart w:id="425" w:name="Tc_Ix3LQ23OA0OLcmBxNHIiRw_5_13"/>
      <w:bookmarkStart w:id="426" w:name="Tc_YDybxG-ioUu3kPWPdzpCZg_5_10"/>
      <w:bookmarkStart w:id="427" w:name="Tc_kzdNsODuaUCYgQDwR99FUg_5_7"/>
      <w:bookmarkStart w:id="428" w:name="Tc_lDwc2E07hU6kATWH98kYbg_5_4"/>
      <w:bookmarkStart w:id="429" w:name="Tc_CotstBnn4UqWkHKrn9Klrw_5_0"/>
      <w:bookmarkStart w:id="430" w:name="Tc_91q3JdfH10KM-IIZ_OCfkw_4_16"/>
      <w:bookmarkStart w:id="431" w:name="Tc_JlO6VEnIN0-Gt_91DxVufg_4_13"/>
      <w:bookmarkStart w:id="432" w:name="Tc_M5H5IbY2LEesb3N8yA9eig_4_10"/>
      <w:bookmarkStart w:id="433" w:name="Tc_5jFRg1SkpUWXAM8PvvTJBQ_4_7"/>
      <w:bookmarkStart w:id="434" w:name="Tc_DkUVldQA10KxSkRtfgGwgQ_4_4"/>
      <w:bookmarkStart w:id="435" w:name="Tc_BBUOZSzSX0qBUU37S43Myw_4_2"/>
      <w:bookmarkStart w:id="436" w:name="Tc_33owfSGiCUCrY3amYrHfGg_3_13"/>
      <w:bookmarkStart w:id="437" w:name="Tc_G1Mr_7wlgk2wvaGxV_Pv3w_3_10"/>
      <w:bookmarkStart w:id="438" w:name="Tc_1JXkENVw0kWYnbdZh4T2-w_3_7"/>
      <w:bookmarkStart w:id="439" w:name="Tc_DtcunmgwV0q2446rI86S2A_3_2"/>
      <w:bookmarkStart w:id="440" w:name="Tc_RCOPhILVZki9REvuLkGFTg_2_10"/>
      <w:bookmarkStart w:id="441" w:name="Tc_gRqaKDKkWUmGnMEl85MadQ_2_7"/>
      <w:bookmarkStart w:id="442" w:name="Tc_b8MEW-UXZUmeNoB44cnvDg_1_10"/>
      <w:bookmarkStart w:id="443" w:name="_2e7e20a5_a451_4611_9878_0bb7a6619791"/>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tbl>
      <w:tblPr>
        <w:tblW w:w="10205" w:type="dxa"/>
        <w:jc w:val="left"/>
        <w:tblInd w:w="0" w:type="dxa"/>
        <w:tblLayout w:type="fixed"/>
        <w:tblCellMar>
          <w:top w:w="0" w:type="dxa"/>
          <w:left w:w="0" w:type="dxa"/>
          <w:bottom w:w="0" w:type="dxa"/>
          <w:right w:w="0" w:type="dxa"/>
        </w:tblCellMar>
      </w:tblPr>
      <w:tblGrid>
        <w:gridCol w:w="2622"/>
        <w:gridCol w:w="326"/>
        <w:gridCol w:w="687"/>
        <w:gridCol w:w="326"/>
        <w:gridCol w:w="230"/>
        <w:gridCol w:w="462"/>
        <w:gridCol w:w="326"/>
        <w:gridCol w:w="211"/>
        <w:gridCol w:w="792"/>
        <w:gridCol w:w="326"/>
        <w:gridCol w:w="370"/>
        <w:gridCol w:w="846"/>
        <w:gridCol w:w="326"/>
        <w:gridCol w:w="211"/>
        <w:gridCol w:w="687"/>
        <w:gridCol w:w="326"/>
        <w:gridCol w:w="222"/>
        <w:gridCol w:w="909"/>
      </w:tblGrid>
      <w:tr>
        <w:trPr/>
        <w:tc>
          <w:tcPr>
            <w:tcW w:w="2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6245" cy="175260"/>
                      <wp:effectExtent l="0" t="0" r="0" b="0"/>
                      <wp:wrapNone/>
                      <wp:docPr id="27" name="Frame27"/>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0" cy="175260"/>
                      <wp:effectExtent l="0" t="0" r="0" b="0"/>
                      <wp:wrapNone/>
                      <wp:docPr id="29" name="Frame2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93370" cy="175260"/>
                      <wp:effectExtent l="0" t="0" r="0" b="0"/>
                      <wp:wrapNone/>
                      <wp:docPr id="30" name="Frame30"/>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2920" cy="175260"/>
                      <wp:effectExtent l="0" t="0" r="0" b="0"/>
                      <wp:wrapNone/>
                      <wp:docPr id="33" name="Frame33"/>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34950" cy="175260"/>
                      <wp:effectExtent l="0" t="0" r="0" b="0"/>
                      <wp:wrapNone/>
                      <wp:docPr id="35" name="Frame3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37210" cy="175260"/>
                      <wp:effectExtent l="0" t="0" r="0" b="0"/>
                      <wp:wrapNone/>
                      <wp:docPr id="36" name="Frame36"/>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6245" cy="175260"/>
                      <wp:effectExtent l="0" t="0" r="0" b="0"/>
                      <wp:wrapNone/>
                      <wp:docPr id="39" name="Frame3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0970" cy="175260"/>
                      <wp:effectExtent l="0" t="0" r="0" b="0"/>
                      <wp:wrapNone/>
                      <wp:docPr id="41" name="Frame4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77215" cy="175260"/>
                      <wp:effectExtent l="0" t="0" r="0" b="0"/>
                      <wp:wrapNone/>
                      <wp:docPr id="42" name="Frame42"/>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2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89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r>
      <w:tr>
        <w:trPr/>
        <w:tc>
          <w:tcPr>
            <w:tcW w:w="2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8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r>
      <w:tr>
        <w:trPr/>
        <w:tc>
          <w:tcPr>
            <w:tcW w:w="2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29, 2023</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13,682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185,795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14,577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199,845 </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on derivative contracts</w:t>
            </w:r>
          </w:p>
        </w:tc>
        <w:tc>
          <w:tcPr>
            <w:tcW w:w="326" w:type="dxa"/>
            <w:tcBorders/>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29, 2024</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13,817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188,088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17,519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205,515 </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r>
      <w:tr>
        <w:trPr/>
        <w:tc>
          <w:tcPr>
            <w:tcW w:w="2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62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28, 2024</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13,916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190,882 </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22,113 </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 xml:space="preserve">213,005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44" w:name="Tc_BY2D0rIqQEqxVgy7HxF6Ug_17_16"/>
      <w:bookmarkStart w:id="445" w:name="Tc_HJWq5DR1g0-_9Nwb0bklqg_17_13"/>
      <w:bookmarkStart w:id="446" w:name="Tc_4SSKEHtxDkOlXAx7pATmZA_17_11"/>
      <w:bookmarkStart w:id="447" w:name="Tc_rdcO7KepU0iuULP5uXTAxg_17_10"/>
      <w:bookmarkStart w:id="448" w:name="Tc_zs_bp9ywpEejWt5Zh3jsvA_17_7"/>
      <w:bookmarkStart w:id="449" w:name="Tc_tR36Rr1FCEGhuH2r5NEhwA_17_4"/>
      <w:bookmarkStart w:id="450" w:name="Tc_6r6gdz0SEkKe-cYYpTfgBw_17_0"/>
      <w:bookmarkStart w:id="451" w:name="Tc_d9yFcyfSlkGoQ5fVJ5CpbQ_16_11"/>
      <w:bookmarkStart w:id="452" w:name="Tc_aqFqdBXbbk6CcpHqY6on5A_16_8"/>
      <w:bookmarkStart w:id="453" w:name="Tc_1yesyLGxg02GfwUSKtPjLw_16_5"/>
      <w:bookmarkStart w:id="454" w:name="Tc_KcljpfIPa0Sm-YGeeUjmgA_16_2"/>
      <w:bookmarkStart w:id="455" w:name="Tc_gc6FMPentkqHRC_nhGlTAg_16_0"/>
      <w:bookmarkStart w:id="456" w:name="Tc_NCREkSEBnEmp3Oq5RDETYg_15_14"/>
      <w:bookmarkStart w:id="457" w:name="Tc_TiaVPiX-50SeUCCxQzZIbA_15_11"/>
      <w:bookmarkStart w:id="458" w:name="Tc_YaBmRAaBFkK-ApTO8FvbSQ_15_5"/>
      <w:bookmarkStart w:id="459" w:name="Tc_cZnLL2WQqEqNBXmieNopZw_15_2"/>
      <w:bookmarkStart w:id="460" w:name="Tc_uJezVw7Ak0OogcvT_Z9-LA_15_0"/>
      <w:bookmarkStart w:id="461" w:name="Tc_6HaR_RKdvEKz3gNRCZcoLg_14_17"/>
      <w:bookmarkStart w:id="462" w:name="Tc_RTrpsy2QHUu3dL6UH2YuWA_14_14"/>
      <w:bookmarkStart w:id="463" w:name="Tc_-LaHsRzsS0qIHndPZLJIXA_14_11"/>
      <w:bookmarkStart w:id="464" w:name="Tc_RtW46pCPkEqsI1dX5P3G6Q_14_8"/>
      <w:bookmarkStart w:id="465" w:name="Tc_XI0FQMy-iE-huxdmGOXavw_14_5"/>
      <w:bookmarkStart w:id="466" w:name="Tc_c05rmeMxMU2ONgFk6kItHQ_14_0"/>
      <w:bookmarkStart w:id="467" w:name="Tc__0Ttl4cjv0yY4CGy-W-eaQ_13_14"/>
      <w:bookmarkStart w:id="468" w:name="Tc_atfLHelpGUyrqQ8feh8IWw_13_11"/>
      <w:bookmarkStart w:id="469" w:name="Tc_mJCbASLxu0eugqOwJgp2Nw_13_5"/>
      <w:bookmarkStart w:id="470" w:name="Tc_zbv0ibLilEKlfGmSzOUwUQ_13_0"/>
      <w:bookmarkStart w:id="471" w:name="Tc_rWBS8hqBhU6TmhPQn5lHBw_12_14"/>
      <w:bookmarkStart w:id="472" w:name="Tc_JAKEMsOLiUKghmlXMs-tJw_12_11"/>
      <w:bookmarkStart w:id="473" w:name="Tc_5zSTLMyeOU6BOc5gHByluA_12_5"/>
      <w:bookmarkStart w:id="474" w:name="Tc_QOYXmJiMh06afEB2YYNZbA_12_0"/>
      <w:bookmarkStart w:id="475" w:name="Tc_2czbGW_APEOZnwxWn-xW4A_11_16"/>
      <w:bookmarkStart w:id="476" w:name="Tc_0It-T_IFW0KCkM7xrhlAcQ_11_13"/>
      <w:bookmarkStart w:id="477" w:name="Tc_Ljll2x2EhUiLSx8my4uklA_11_11"/>
      <w:bookmarkStart w:id="478" w:name="Tc_rFBn4oSEgUSN3dhs8dr7QQ_11_10"/>
      <w:bookmarkStart w:id="479" w:name="Tc_bRC9HklmzEqHSFufXKGxfw_11_7"/>
      <w:bookmarkStart w:id="480" w:name="Tc_iXZWF4l0sk6SqKlxEk7RiQ_11_4"/>
      <w:bookmarkStart w:id="481" w:name="Tc_OCJBSq6v4kmk8KLA788Hcw_11_0"/>
      <w:bookmarkStart w:id="482" w:name="Tc_lAq-GjlDnEaoZ4edhvHNaQ_10_11"/>
      <w:bookmarkStart w:id="483" w:name="Tc_yTNbcI5SgU-RMqYm-WD3-A_10_8"/>
      <w:bookmarkStart w:id="484" w:name="Tc_2OfGGG4U50-YHkcm9EFz9w_10_5"/>
      <w:bookmarkStart w:id="485" w:name="Tc_o4z2_cDCz0SR2hc6es458g_10_2"/>
      <w:bookmarkStart w:id="486" w:name="Tc_h9qqwhx6J0uWevCBFwvDAg_10_0"/>
      <w:bookmarkStart w:id="487" w:name="Tc_4kkFhRWGTEOWZT1o94Bogw_9_14"/>
      <w:bookmarkStart w:id="488" w:name="Tc_n-FCi4KcyEaB3W-cXMlz1A_9_11"/>
      <w:bookmarkStart w:id="489" w:name="Tc_UcyXc_KavUO_iQZ5k66eJQ_9_5"/>
      <w:bookmarkStart w:id="490" w:name="Tc_mjj6j_byxU647gM6NavpiQ_9_2"/>
      <w:bookmarkStart w:id="491" w:name="Tc_AKxjdk2ZE0yT1YOENfMheQ_9_0"/>
      <w:bookmarkStart w:id="492" w:name="Tc_khJhArb6VkOnhNxbQObLXQ_8_17"/>
      <w:bookmarkStart w:id="493" w:name="Tc_dppgBD3KHU6gjKHq185_eA_8_14"/>
      <w:bookmarkStart w:id="494" w:name="Tc_v7TxqC29vEKrYaoTqR55FA_8_11"/>
      <w:bookmarkStart w:id="495" w:name="Tc_Fj42dH_BmEyDj_f71ybRug_8_0"/>
      <w:bookmarkStart w:id="496" w:name="Tc_r6jxw6LZFU2QeEtN3u-iAQ_7_14"/>
      <w:bookmarkStart w:id="497" w:name="Tc_tOLhqHx4jky4d9YDe6Ks5A_7_11"/>
      <w:bookmarkStart w:id="498" w:name="Tc_qO7PRlVsDE2RFJDKRn5O_w_7_5"/>
      <w:bookmarkStart w:id="499" w:name="Tc_By9zqj6LhEGca9502U83KQ_7_0"/>
      <w:bookmarkStart w:id="500" w:name="Tc_8gIKLGL9AkyrXtsderj1iA_6_14"/>
      <w:bookmarkStart w:id="501" w:name="Tc_q1hnp0TKlkKBKDYcXCzmCw_6_11"/>
      <w:bookmarkStart w:id="502" w:name="Tc_xgalOp7GEEe_K3wofl-eEg_6_0"/>
      <w:bookmarkStart w:id="503" w:name="Tc_Mla615b9zkWc3rhn0NU0aA_5_16"/>
      <w:bookmarkStart w:id="504" w:name="Tc_2Q8uqzLO9kmCZPFG5zet0g_5_13"/>
      <w:bookmarkStart w:id="505" w:name="Tc_6T_mc8lBuEmwgRGp35KBiw_5_11"/>
      <w:bookmarkStart w:id="506" w:name="Tc_qGvgFvy1ek-ui5Sz9yxwMg_5_10"/>
      <w:bookmarkStart w:id="507" w:name="Tc_vALEaO9NSEq2JhThdNyPBw_5_7"/>
      <w:bookmarkStart w:id="508" w:name="Tc_8XGbnCLLuESw9mxjl8G2BQ_5_4"/>
      <w:bookmarkStart w:id="509" w:name="Tc_sU8JH55dCUeaxJdHRTFXDA_5_0"/>
      <w:bookmarkStart w:id="510" w:name="Tc_Og_cwLO9OUOTt98S5XXqNQ_4_16"/>
      <w:bookmarkStart w:id="511" w:name="Tc_0T9ic_xMH06wgQ-rSCtIjw_4_13"/>
      <w:bookmarkStart w:id="512" w:name="Tc_8ZzbLsH7I0SmthxSaTYFAA_4_10"/>
      <w:bookmarkStart w:id="513" w:name="Tc_8P9hKjQ9sU64K36Vn1IwFA_4_7"/>
      <w:bookmarkStart w:id="514" w:name="Tc_3hrHo84tP0WpQ5cP9om6Ig_4_4"/>
      <w:bookmarkStart w:id="515" w:name="Tc_9c02mtFqwk6G1Pu-ysP1xw_4_2"/>
      <w:bookmarkStart w:id="516" w:name="Tc_VwwtvmgVykSA5hjvsyrETw_3_13"/>
      <w:bookmarkStart w:id="517" w:name="Tc_GCyCH2KYc0aSKk2_JDXY8Q_3_10"/>
      <w:bookmarkStart w:id="518" w:name="Tc_SpAtJ7kPRUeC7aZ97-329g_3_7"/>
      <w:bookmarkStart w:id="519" w:name="Tc_rf_3jRT0ykqehbviNJNTLQ_3_2"/>
      <w:bookmarkStart w:id="520" w:name="Tc_EgR1aedqYUqPmUhuGknKyQ_2_10"/>
      <w:bookmarkStart w:id="521" w:name="Tc_tTA8Xu4La0yGYWWbZNDMYw_2_7"/>
      <w:bookmarkStart w:id="522" w:name="Tc_xuHMWFjr1E-oA2FWBfeGNw_1_10"/>
      <w:bookmarkStart w:id="523" w:name="_3030306c_de9d_4eb6_bb95_3940f3be0f05"/>
      <w:bookmarkStart w:id="524" w:name="Tc_BY2D0rIqQEqxVgy7HxF6Ug_17_16"/>
      <w:bookmarkStart w:id="525" w:name="Tc_HJWq5DR1g0-_9Nwb0bklqg_17_13"/>
      <w:bookmarkStart w:id="526" w:name="Tc_4SSKEHtxDkOlXAx7pATmZA_17_11"/>
      <w:bookmarkStart w:id="527" w:name="Tc_rdcO7KepU0iuULP5uXTAxg_17_10"/>
      <w:bookmarkStart w:id="528" w:name="Tc_zs_bp9ywpEejWt5Zh3jsvA_17_7"/>
      <w:bookmarkStart w:id="529" w:name="Tc_tR36Rr1FCEGhuH2r5NEhwA_17_4"/>
      <w:bookmarkStart w:id="530" w:name="Tc_6r6gdz0SEkKe-cYYpTfgBw_17_0"/>
      <w:bookmarkStart w:id="531" w:name="Tc_d9yFcyfSlkGoQ5fVJ5CpbQ_16_11"/>
      <w:bookmarkStart w:id="532" w:name="Tc_aqFqdBXbbk6CcpHqY6on5A_16_8"/>
      <w:bookmarkStart w:id="533" w:name="Tc_1yesyLGxg02GfwUSKtPjLw_16_5"/>
      <w:bookmarkStart w:id="534" w:name="Tc_KcljpfIPa0Sm-YGeeUjmgA_16_2"/>
      <w:bookmarkStart w:id="535" w:name="Tc_gc6FMPentkqHRC_nhGlTAg_16_0"/>
      <w:bookmarkStart w:id="536" w:name="Tc_NCREkSEBnEmp3Oq5RDETYg_15_14"/>
      <w:bookmarkStart w:id="537" w:name="Tc_TiaVPiX-50SeUCCxQzZIbA_15_11"/>
      <w:bookmarkStart w:id="538" w:name="Tc_YaBmRAaBFkK-ApTO8FvbSQ_15_5"/>
      <w:bookmarkStart w:id="539" w:name="Tc_cZnLL2WQqEqNBXmieNopZw_15_2"/>
      <w:bookmarkStart w:id="540" w:name="Tc_uJezVw7Ak0OogcvT_Z9-LA_15_0"/>
      <w:bookmarkStart w:id="541" w:name="Tc_6HaR_RKdvEKz3gNRCZcoLg_14_17"/>
      <w:bookmarkStart w:id="542" w:name="Tc_RTrpsy2QHUu3dL6UH2YuWA_14_14"/>
      <w:bookmarkStart w:id="543" w:name="Tc_-LaHsRzsS0qIHndPZLJIXA_14_11"/>
      <w:bookmarkStart w:id="544" w:name="Tc_RtW46pCPkEqsI1dX5P3G6Q_14_8"/>
      <w:bookmarkStart w:id="545" w:name="Tc_XI0FQMy-iE-huxdmGOXavw_14_5"/>
      <w:bookmarkStart w:id="546" w:name="Tc_c05rmeMxMU2ONgFk6kItHQ_14_0"/>
      <w:bookmarkStart w:id="547" w:name="Tc__0Ttl4cjv0yY4CGy-W-eaQ_13_14"/>
      <w:bookmarkStart w:id="548" w:name="Tc_atfLHelpGUyrqQ8feh8IWw_13_11"/>
      <w:bookmarkStart w:id="549" w:name="Tc_mJCbASLxu0eugqOwJgp2Nw_13_5"/>
      <w:bookmarkStart w:id="550" w:name="Tc_zbv0ibLilEKlfGmSzOUwUQ_13_0"/>
      <w:bookmarkStart w:id="551" w:name="Tc_rWBS8hqBhU6TmhPQn5lHBw_12_14"/>
      <w:bookmarkStart w:id="552" w:name="Tc_JAKEMsOLiUKghmlXMs-tJw_12_11"/>
      <w:bookmarkStart w:id="553" w:name="Tc_5zSTLMyeOU6BOc5gHByluA_12_5"/>
      <w:bookmarkStart w:id="554" w:name="Tc_QOYXmJiMh06afEB2YYNZbA_12_0"/>
      <w:bookmarkStart w:id="555" w:name="Tc_2czbGW_APEOZnwxWn-xW4A_11_16"/>
      <w:bookmarkStart w:id="556" w:name="Tc_0It-T_IFW0KCkM7xrhlAcQ_11_13"/>
      <w:bookmarkStart w:id="557" w:name="Tc_Ljll2x2EhUiLSx8my4uklA_11_11"/>
      <w:bookmarkStart w:id="558" w:name="Tc_rFBn4oSEgUSN3dhs8dr7QQ_11_10"/>
      <w:bookmarkStart w:id="559" w:name="Tc_bRC9HklmzEqHSFufXKGxfw_11_7"/>
      <w:bookmarkStart w:id="560" w:name="Tc_iXZWF4l0sk6SqKlxEk7RiQ_11_4"/>
      <w:bookmarkStart w:id="561" w:name="Tc_OCJBSq6v4kmk8KLA788Hcw_11_0"/>
      <w:bookmarkStart w:id="562" w:name="Tc_lAq-GjlDnEaoZ4edhvHNaQ_10_11"/>
      <w:bookmarkStart w:id="563" w:name="Tc_yTNbcI5SgU-RMqYm-WD3-A_10_8"/>
      <w:bookmarkStart w:id="564" w:name="Tc_2OfGGG4U50-YHkcm9EFz9w_10_5"/>
      <w:bookmarkStart w:id="565" w:name="Tc_o4z2_cDCz0SR2hc6es458g_10_2"/>
      <w:bookmarkStart w:id="566" w:name="Tc_h9qqwhx6J0uWevCBFwvDAg_10_0"/>
      <w:bookmarkStart w:id="567" w:name="Tc_4kkFhRWGTEOWZT1o94Bogw_9_14"/>
      <w:bookmarkStart w:id="568" w:name="Tc_n-FCi4KcyEaB3W-cXMlz1A_9_11"/>
      <w:bookmarkStart w:id="569" w:name="Tc_UcyXc_KavUO_iQZ5k66eJQ_9_5"/>
      <w:bookmarkStart w:id="570" w:name="Tc_mjj6j_byxU647gM6NavpiQ_9_2"/>
      <w:bookmarkStart w:id="571" w:name="Tc_AKxjdk2ZE0yT1YOENfMheQ_9_0"/>
      <w:bookmarkStart w:id="572" w:name="Tc_khJhArb6VkOnhNxbQObLXQ_8_17"/>
      <w:bookmarkStart w:id="573" w:name="Tc_dppgBD3KHU6gjKHq185_eA_8_14"/>
      <w:bookmarkStart w:id="574" w:name="Tc_v7TxqC29vEKrYaoTqR55FA_8_11"/>
      <w:bookmarkStart w:id="575" w:name="Tc_Fj42dH_BmEyDj_f71ybRug_8_0"/>
      <w:bookmarkStart w:id="576" w:name="Tc_r6jxw6LZFU2QeEtN3u-iAQ_7_14"/>
      <w:bookmarkStart w:id="577" w:name="Tc_tOLhqHx4jky4d9YDe6Ks5A_7_11"/>
      <w:bookmarkStart w:id="578" w:name="Tc_qO7PRlVsDE2RFJDKRn5O_w_7_5"/>
      <w:bookmarkStart w:id="579" w:name="Tc_By9zqj6LhEGca9502U83KQ_7_0"/>
      <w:bookmarkStart w:id="580" w:name="Tc_8gIKLGL9AkyrXtsderj1iA_6_14"/>
      <w:bookmarkStart w:id="581" w:name="Tc_q1hnp0TKlkKBKDYcXCzmCw_6_11"/>
      <w:bookmarkStart w:id="582" w:name="Tc_xgalOp7GEEe_K3wofl-eEg_6_0"/>
      <w:bookmarkStart w:id="583" w:name="Tc_Mla615b9zkWc3rhn0NU0aA_5_16"/>
      <w:bookmarkStart w:id="584" w:name="Tc_2Q8uqzLO9kmCZPFG5zet0g_5_13"/>
      <w:bookmarkStart w:id="585" w:name="Tc_6T_mc8lBuEmwgRGp35KBiw_5_11"/>
      <w:bookmarkStart w:id="586" w:name="Tc_qGvgFvy1ek-ui5Sz9yxwMg_5_10"/>
      <w:bookmarkStart w:id="587" w:name="Tc_vALEaO9NSEq2JhThdNyPBw_5_7"/>
      <w:bookmarkStart w:id="588" w:name="Tc_8XGbnCLLuESw9mxjl8G2BQ_5_4"/>
      <w:bookmarkStart w:id="589" w:name="Tc_sU8JH55dCUeaxJdHRTFXDA_5_0"/>
      <w:bookmarkStart w:id="590" w:name="Tc_Og_cwLO9OUOTt98S5XXqNQ_4_16"/>
      <w:bookmarkStart w:id="591" w:name="Tc_0T9ic_xMH06wgQ-rSCtIjw_4_13"/>
      <w:bookmarkStart w:id="592" w:name="Tc_8ZzbLsH7I0SmthxSaTYFAA_4_10"/>
      <w:bookmarkStart w:id="593" w:name="Tc_8P9hKjQ9sU64K36Vn1IwFA_4_7"/>
      <w:bookmarkStart w:id="594" w:name="Tc_3hrHo84tP0WpQ5cP9om6Ig_4_4"/>
      <w:bookmarkStart w:id="595" w:name="Tc_9c02mtFqwk6G1Pu-ysP1xw_4_2"/>
      <w:bookmarkStart w:id="596" w:name="Tc_VwwtvmgVykSA5hjvsyrETw_3_13"/>
      <w:bookmarkStart w:id="597" w:name="Tc_GCyCH2KYc0aSKk2_JDXY8Q_3_10"/>
      <w:bookmarkStart w:id="598" w:name="Tc_SpAtJ7kPRUeC7aZ97-329g_3_7"/>
      <w:bookmarkStart w:id="599" w:name="Tc_rf_3jRT0ykqehbviNJNTLQ_3_2"/>
      <w:bookmarkStart w:id="600" w:name="Tc_EgR1aedqYUqPmUhuGknKyQ_2_10"/>
      <w:bookmarkStart w:id="601" w:name="Tc_tTA8Xu4La0yGYWWbZNDMYw_2_7"/>
      <w:bookmarkStart w:id="602" w:name="Tc_xuHMWFjr1E-oA2FWBfeGNw_1_10"/>
      <w:bookmarkStart w:id="603" w:name="_3030306c_de9d_4eb6_bb95_3940f3be0f05"/>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tbl>
      <w:tblPr>
        <w:tblW w:w="10205" w:type="dxa"/>
        <w:jc w:val="left"/>
        <w:tblInd w:w="0" w:type="dxa"/>
        <w:tblLayout w:type="fixed"/>
        <w:tblCellMar>
          <w:top w:w="0" w:type="dxa"/>
          <w:left w:w="0" w:type="dxa"/>
          <w:bottom w:w="0" w:type="dxa"/>
          <w:right w:w="0" w:type="dxa"/>
        </w:tblCellMar>
      </w:tblPr>
      <w:tblGrid>
        <w:gridCol w:w="2732"/>
        <w:gridCol w:w="326"/>
        <w:gridCol w:w="688"/>
        <w:gridCol w:w="326"/>
        <w:gridCol w:w="230"/>
        <w:gridCol w:w="462"/>
        <w:gridCol w:w="326"/>
        <w:gridCol w:w="211"/>
        <w:gridCol w:w="793"/>
        <w:gridCol w:w="326"/>
        <w:gridCol w:w="460"/>
        <w:gridCol w:w="756"/>
        <w:gridCol w:w="326"/>
        <w:gridCol w:w="211"/>
        <w:gridCol w:w="583"/>
        <w:gridCol w:w="326"/>
        <w:gridCol w:w="223"/>
        <w:gridCol w:w="900"/>
      </w:tblGrid>
      <w:tr>
        <w:trPr/>
        <w:tc>
          <w:tcPr>
            <w:tcW w:w="2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6880" cy="175260"/>
                      <wp:effectExtent l="0" t="0" r="0" b="0"/>
                      <wp:wrapNone/>
                      <wp:docPr id="44" name="Frame44"/>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0" cy="175260"/>
                      <wp:effectExtent l="0" t="0" r="0" b="0"/>
                      <wp:wrapNone/>
                      <wp:docPr id="46" name="Frame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3370" cy="175260"/>
                      <wp:effectExtent l="0" t="0" r="0" b="0"/>
                      <wp:wrapNone/>
                      <wp:docPr id="47" name="Frame47"/>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3555" cy="175260"/>
                      <wp:effectExtent l="0" t="0" r="0" b="0"/>
                      <wp:wrapNone/>
                      <wp:docPr id="50" name="Frame5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92100" cy="175260"/>
                      <wp:effectExtent l="0" t="0" r="0" b="0"/>
                      <wp:wrapNone/>
                      <wp:docPr id="52" name="Frame52"/>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80060" cy="175260"/>
                      <wp:effectExtent l="0" t="0" r="0" b="0"/>
                      <wp:wrapNone/>
                      <wp:docPr id="53" name="Frame53"/>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70205" cy="175260"/>
                      <wp:effectExtent l="0" t="0" r="0" b="0"/>
                      <wp:wrapNone/>
                      <wp:docPr id="56" name="Frame56"/>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1605" cy="175260"/>
                      <wp:effectExtent l="0" t="0" r="0" b="0"/>
                      <wp:wrapNone/>
                      <wp:docPr id="58" name="Frame5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71500" cy="175260"/>
                      <wp:effectExtent l="0" t="0" r="0" b="0"/>
                      <wp:wrapNone/>
                      <wp:docPr id="59" name="Frame5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2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794"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center"/>
              <w:rPr/>
            </w:pPr>
            <w:r>
              <w:rPr/>
              <w:t>​</w:t>
            </w:r>
          </w:p>
        </w:tc>
      </w:tr>
      <w:tr>
        <w:trPr/>
        <w:tc>
          <w:tcPr>
            <w:tcW w:w="2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7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center"/>
              <w:rPr/>
            </w:pPr>
            <w:r>
              <w:rPr/>
              <w:t>​</w:t>
            </w:r>
          </w:p>
        </w:tc>
      </w:tr>
      <w:tr>
        <w:trPr/>
        <w:tc>
          <w:tcPr>
            <w:tcW w:w="2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    </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13,296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133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177,718 </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3,651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181,502 </w:t>
            </w:r>
          </w:p>
        </w:tc>
      </w:tr>
      <w:tr>
        <w:trPr/>
        <w:tc>
          <w:tcPr>
            <w:tcW w:w="27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r>
      <w:tr>
        <w:trPr/>
        <w:tc>
          <w:tcPr>
            <w:tcW w:w="27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27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27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r>
      <w:tr>
        <w:trPr/>
        <w:tc>
          <w:tcPr>
            <w:tcW w:w="27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27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13,489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180,517 </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4,583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185,235 </w:t>
            </w:r>
          </w:p>
        </w:tc>
      </w:tr>
      <w:tr>
        <w:trPr/>
        <w:tc>
          <w:tcPr>
            <w:tcW w:w="27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7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7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27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r>
      <w:tr>
        <w:trPr/>
        <w:tc>
          <w:tcPr>
            <w:tcW w:w="27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27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13,504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181,747 </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4,980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186,862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604" w:name="_dc04a970_d200_4f09_a8a1_99994d096419"/>
      <w:bookmarkEnd w:id="604"/>
      <w:r>
        <w:rPr>
          <w:rFonts w:ascii="Times New Roman;Times;serif" w:hAnsi="Times New Roman;Times;serif"/>
          <w:b/>
          <w:sz w:val="20"/>
        </w:rPr>
        <w:t>WILLDAN GROUP, INC. AND SUBSIDIARIES</w:t>
      </w:r>
    </w:p>
    <w:p>
      <w:pPr>
        <w:pStyle w:val="TextBody"/>
        <w:bidi w:val="0"/>
        <w:spacing w:lineRule="atLeast" w:line="200" w:before="0" w:after="0"/>
        <w:ind w:left="0" w:right="0" w:hanging="0"/>
        <w:jc w:val="center"/>
        <w:rPr>
          <w:rFonts w:ascii="Times New Roman;Times;serif" w:hAnsi="Times New Roman;Times;serif"/>
          <w:b/>
          <w:sz w:val="20"/>
        </w:rPr>
      </w:pPr>
      <w:bookmarkStart w:id="605" w:name="CONSOLIDATEDSTATEMENTSOFCASHFLOWS_554577"/>
      <w:bookmarkEnd w:id="605"/>
      <w:r>
        <w:rPr>
          <w:rFonts w:ascii="Times New Roman;Times;serif" w:hAnsi="Times New Roman;Times;serif"/>
          <w:b/>
          <w:sz w:val="20"/>
        </w:rPr>
        <w:t>CONDENSED CONSOLIDATED STATEMENTS OF CASH FLOWS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06" w:name="Tc_O7Zu2wgWik6tKt6wiwCpPQ_47_0"/>
      <w:bookmarkStart w:id="607" w:name="Tc_nkyMdCirzUi2cKVNrmneNA_46_0"/>
      <w:bookmarkStart w:id="608" w:name="Tc_lujzckdAYkSpZ9L2BcBRZA_45_0"/>
      <w:bookmarkStart w:id="609" w:name="Tc_dSi1aSy9CkSFfvsHEFtodQ_44_5"/>
      <w:bookmarkStart w:id="610" w:name="Tc_rnhOQpwmCkGd-fL35oxLVQ_44_2"/>
      <w:bookmarkStart w:id="611" w:name="Tc_D4-P0hZL1UO2ZtT1KLggKg_44_0"/>
      <w:bookmarkStart w:id="612" w:name="Tc_hjlQ0yjb8EWVcQBvo5fJIQ_43_0"/>
      <w:bookmarkStart w:id="613" w:name="Tc_-4KB4pw04U6FODJjYyuKew_42_0"/>
      <w:bookmarkStart w:id="614" w:name="Tc_Drcx6biNT0icAAbzYvkFnw_41_5"/>
      <w:bookmarkStart w:id="615" w:name="Tc_pE7XbICEm0G1iiWLvTH-rA_41_2"/>
      <w:bookmarkStart w:id="616" w:name="Tc_NltNAgQOC0y9q4jnrKsYcQ_41_0"/>
      <w:bookmarkStart w:id="617" w:name="Tc_hCpJbVuZIE64ebbSTgJp9w_40_0"/>
      <w:bookmarkStart w:id="618" w:name="Tc_HwPzQjJX80GCORcDUfxSKw_39_0"/>
      <w:bookmarkStart w:id="619" w:name="Tc__graq8vhJ06z8883B-uCWw_38_0"/>
      <w:bookmarkStart w:id="620" w:name="Tc_Gg4NS-l8S0iZbujXSNPzDg_37_0"/>
      <w:bookmarkStart w:id="621" w:name="Tc_LtNj3kO9Z0amgzHk_0Gx2A_36_0"/>
      <w:bookmarkStart w:id="622" w:name="Tc_RPYBiLDdC0O2PRq988_5yQ_35_0"/>
      <w:bookmarkStart w:id="623" w:name="Tc_9v9gFHEwqkueS83nNcGqkw_34_0"/>
      <w:bookmarkStart w:id="624" w:name="Tc_ULTXYcbIWkuvvplRrGxOug_33_0"/>
      <w:bookmarkStart w:id="625" w:name="Tc_b6JvhO_ZhU2Hpv7Z60sRmg_32_3"/>
      <w:bookmarkStart w:id="626" w:name="Tc_mvw_dzunz06oYV3Hh40Z8A_32_0"/>
      <w:bookmarkStart w:id="627" w:name="Tc_qt-oX7eMNE2EKIH02SaluA_31_0"/>
      <w:bookmarkStart w:id="628" w:name="Tc_83z6AUyEE0aQ84n3eCCIWA_30_3"/>
      <w:bookmarkStart w:id="629" w:name="Tc_sjGubrfgQUaM0YQTKn2flA_30_0"/>
      <w:bookmarkStart w:id="630" w:name="Tc_pHfUTmm1KEO1enfqYrSrHQ_29_3"/>
      <w:bookmarkStart w:id="631" w:name="Tc_2fD8gbZEv0mDlta3RaTlag_29_0"/>
      <w:bookmarkStart w:id="632" w:name="Tc_pA1Nl6fO106cgwyzDxEZpg_28_0"/>
      <w:bookmarkStart w:id="633" w:name="Tc_xVX-KrsyhUaBSjjOHG5Urw_27_0"/>
      <w:bookmarkStart w:id="634" w:name="Tc_hAdusRMbCkq0nAQVFYi6-A_26_0"/>
      <w:bookmarkStart w:id="635" w:name="Tc_K2EiJDjroUi7Rz8mIC_V9Q_25_0"/>
      <w:bookmarkStart w:id="636" w:name="Tc_gEw8DwYYg0KJVWLYY7QnzA_24_0"/>
      <w:bookmarkStart w:id="637" w:name="Tc_WnzP5vPsI06kMWMSi45nIg_23_0"/>
      <w:bookmarkStart w:id="638" w:name="Tc_pJisH1tDiEKt8gB9Ya54vw_22_0"/>
      <w:bookmarkStart w:id="639" w:name="Tc_6JQjSf1lZ0qPb7_vDRxhXA_21_0"/>
      <w:bookmarkStart w:id="640" w:name="Tc_iKCwt1XXgk2hje1a9JXb8Q_20_0"/>
      <w:bookmarkStart w:id="641" w:name="Tc_JNjDmvPB2ka9mg8VG4eJVA_19_0"/>
      <w:bookmarkStart w:id="642" w:name="Tc_5GdQZSRlkUyH7l6--KBUcg_18_0"/>
      <w:bookmarkStart w:id="643" w:name="Tc_IgrSaA8mFkOoWdWHxUxpyg_17_0"/>
      <w:bookmarkStart w:id="644" w:name="Tc_EDjb7lO6Q0avD4CHJwQxvQ_16_0"/>
      <w:bookmarkStart w:id="645" w:name="Tc_l52FhmsVeUSK9m524LLSuA_15_0"/>
      <w:bookmarkStart w:id="646" w:name="Tc_Bghtc-cvW0GwxI_h56Auzw_14_0"/>
      <w:bookmarkStart w:id="647" w:name="Tc_iBnoki7pfE2JY4eZl3wi4Q_13_0"/>
      <w:bookmarkStart w:id="648" w:name="Tc_OgoBHnHDGEymzJWWyJFquA_12_0"/>
      <w:bookmarkStart w:id="649" w:name="Tc__VUIVryLGkuVKL46GA3IcQ_11_0"/>
      <w:bookmarkStart w:id="650" w:name="Tc_CK-eCAG8XEaIicJCmUPdqw_10_0"/>
      <w:bookmarkStart w:id="651" w:name="Tc_0UJCBHuxxkqrUbusTspV8w_9_0"/>
      <w:bookmarkStart w:id="652" w:name="Tc_Cdf3YT4fT06x7EHS7Yu1Vw_8_0"/>
      <w:bookmarkStart w:id="653" w:name="Tc_8rvfcTtPKUu1zfmd1gPGqA_7_0"/>
      <w:bookmarkStart w:id="654" w:name="Tc_YeOdl7rgpUCpiYjhus-1EA_6_0"/>
      <w:bookmarkStart w:id="655" w:name="Tc_x8XsZLPzX0icEIJVZQCrAg_5_5"/>
      <w:bookmarkStart w:id="656" w:name="Tc_SENLWZcCw0mRvErG0mmluw_5_2"/>
      <w:bookmarkStart w:id="657" w:name="Tc_8YfZuPyvdUaTFKm-gGTBXw_5_0"/>
      <w:bookmarkStart w:id="658" w:name="Tc_NaS8IYSVYEmcxh7T9jUlKQ_4_0"/>
      <w:bookmarkStart w:id="659" w:name="Tc_Lh1vmk3lt0603q9BPSGDJA_3_5"/>
      <w:bookmarkStart w:id="660" w:name="Tc_fOqTV-LgEUCGupbH0sAzHA_3_2"/>
      <w:bookmarkStart w:id="661" w:name="Tc_UNgpiA8Orkyl3FPWdxYkBg_2_5"/>
      <w:bookmarkStart w:id="662" w:name="Tc_odrGOzsMwkGGpLoTWVOFpA_2_2"/>
      <w:bookmarkStart w:id="663" w:name="Tc_IDgeP_HoKkCpCH1aVbTmmA_1_2"/>
      <w:bookmarkStart w:id="664" w:name="_31a030d4_5118_4071_9295_08e350874241"/>
      <w:bookmarkStart w:id="665" w:name="Tc_O7Zu2wgWik6tKt6wiwCpPQ_47_0"/>
      <w:bookmarkStart w:id="666" w:name="Tc_nkyMdCirzUi2cKVNrmneNA_46_0"/>
      <w:bookmarkStart w:id="667" w:name="Tc_lujzckdAYkSpZ9L2BcBRZA_45_0"/>
      <w:bookmarkStart w:id="668" w:name="Tc_dSi1aSy9CkSFfvsHEFtodQ_44_5"/>
      <w:bookmarkStart w:id="669" w:name="Tc_rnhOQpwmCkGd-fL35oxLVQ_44_2"/>
      <w:bookmarkStart w:id="670" w:name="Tc_D4-P0hZL1UO2ZtT1KLggKg_44_0"/>
      <w:bookmarkStart w:id="671" w:name="Tc_hjlQ0yjb8EWVcQBvo5fJIQ_43_0"/>
      <w:bookmarkStart w:id="672" w:name="Tc_-4KB4pw04U6FODJjYyuKew_42_0"/>
      <w:bookmarkStart w:id="673" w:name="Tc_Drcx6biNT0icAAbzYvkFnw_41_5"/>
      <w:bookmarkStart w:id="674" w:name="Tc_pE7XbICEm0G1iiWLvTH-rA_41_2"/>
      <w:bookmarkStart w:id="675" w:name="Tc_NltNAgQOC0y9q4jnrKsYcQ_41_0"/>
      <w:bookmarkStart w:id="676" w:name="Tc_hCpJbVuZIE64ebbSTgJp9w_40_0"/>
      <w:bookmarkStart w:id="677" w:name="Tc_HwPzQjJX80GCORcDUfxSKw_39_0"/>
      <w:bookmarkStart w:id="678" w:name="Tc__graq8vhJ06z8883B-uCWw_38_0"/>
      <w:bookmarkStart w:id="679" w:name="Tc_Gg4NS-l8S0iZbujXSNPzDg_37_0"/>
      <w:bookmarkStart w:id="680" w:name="Tc_LtNj3kO9Z0amgzHk_0Gx2A_36_0"/>
      <w:bookmarkStart w:id="681" w:name="Tc_RPYBiLDdC0O2PRq988_5yQ_35_0"/>
      <w:bookmarkStart w:id="682" w:name="Tc_9v9gFHEwqkueS83nNcGqkw_34_0"/>
      <w:bookmarkStart w:id="683" w:name="Tc_ULTXYcbIWkuvvplRrGxOug_33_0"/>
      <w:bookmarkStart w:id="684" w:name="Tc_b6JvhO_ZhU2Hpv7Z60sRmg_32_3"/>
      <w:bookmarkStart w:id="685" w:name="Tc_mvw_dzunz06oYV3Hh40Z8A_32_0"/>
      <w:bookmarkStart w:id="686" w:name="Tc_qt-oX7eMNE2EKIH02SaluA_31_0"/>
      <w:bookmarkStart w:id="687" w:name="Tc_83z6AUyEE0aQ84n3eCCIWA_30_3"/>
      <w:bookmarkStart w:id="688" w:name="Tc_sjGubrfgQUaM0YQTKn2flA_30_0"/>
      <w:bookmarkStart w:id="689" w:name="Tc_pHfUTmm1KEO1enfqYrSrHQ_29_3"/>
      <w:bookmarkStart w:id="690" w:name="Tc_2fD8gbZEv0mDlta3RaTlag_29_0"/>
      <w:bookmarkStart w:id="691" w:name="Tc_pA1Nl6fO106cgwyzDxEZpg_28_0"/>
      <w:bookmarkStart w:id="692" w:name="Tc_xVX-KrsyhUaBSjjOHG5Urw_27_0"/>
      <w:bookmarkStart w:id="693" w:name="Tc_hAdusRMbCkq0nAQVFYi6-A_26_0"/>
      <w:bookmarkStart w:id="694" w:name="Tc_K2EiJDjroUi7Rz8mIC_V9Q_25_0"/>
      <w:bookmarkStart w:id="695" w:name="Tc_gEw8DwYYg0KJVWLYY7QnzA_24_0"/>
      <w:bookmarkStart w:id="696" w:name="Tc_WnzP5vPsI06kMWMSi45nIg_23_0"/>
      <w:bookmarkStart w:id="697" w:name="Tc_pJisH1tDiEKt8gB9Ya54vw_22_0"/>
      <w:bookmarkStart w:id="698" w:name="Tc_6JQjSf1lZ0qPb7_vDRxhXA_21_0"/>
      <w:bookmarkStart w:id="699" w:name="Tc_iKCwt1XXgk2hje1a9JXb8Q_20_0"/>
      <w:bookmarkStart w:id="700" w:name="Tc_JNjDmvPB2ka9mg8VG4eJVA_19_0"/>
      <w:bookmarkStart w:id="701" w:name="Tc_5GdQZSRlkUyH7l6--KBUcg_18_0"/>
      <w:bookmarkStart w:id="702" w:name="Tc_IgrSaA8mFkOoWdWHxUxpyg_17_0"/>
      <w:bookmarkStart w:id="703" w:name="Tc_EDjb7lO6Q0avD4CHJwQxvQ_16_0"/>
      <w:bookmarkStart w:id="704" w:name="Tc_l52FhmsVeUSK9m524LLSuA_15_0"/>
      <w:bookmarkStart w:id="705" w:name="Tc_Bghtc-cvW0GwxI_h56Auzw_14_0"/>
      <w:bookmarkStart w:id="706" w:name="Tc_iBnoki7pfE2JY4eZl3wi4Q_13_0"/>
      <w:bookmarkStart w:id="707" w:name="Tc_OgoBHnHDGEymzJWWyJFquA_12_0"/>
      <w:bookmarkStart w:id="708" w:name="Tc__VUIVryLGkuVKL46GA3IcQ_11_0"/>
      <w:bookmarkStart w:id="709" w:name="Tc_CK-eCAG8XEaIicJCmUPdqw_10_0"/>
      <w:bookmarkStart w:id="710" w:name="Tc_0UJCBHuxxkqrUbusTspV8w_9_0"/>
      <w:bookmarkStart w:id="711" w:name="Tc_Cdf3YT4fT06x7EHS7Yu1Vw_8_0"/>
      <w:bookmarkStart w:id="712" w:name="Tc_8rvfcTtPKUu1zfmd1gPGqA_7_0"/>
      <w:bookmarkStart w:id="713" w:name="Tc_YeOdl7rgpUCpiYjhus-1EA_6_0"/>
      <w:bookmarkStart w:id="714" w:name="Tc_x8XsZLPzX0icEIJVZQCrAg_5_5"/>
      <w:bookmarkStart w:id="715" w:name="Tc_SENLWZcCw0mRvErG0mmluw_5_2"/>
      <w:bookmarkStart w:id="716" w:name="Tc_8YfZuPyvdUaTFKm-gGTBXw_5_0"/>
      <w:bookmarkStart w:id="717" w:name="Tc_NaS8IYSVYEmcxh7T9jUlKQ_4_0"/>
      <w:bookmarkStart w:id="718" w:name="Tc_Lh1vmk3lt0603q9BPSGDJA_3_5"/>
      <w:bookmarkStart w:id="719" w:name="Tc_fOqTV-LgEUCGupbH0sAzHA_3_2"/>
      <w:bookmarkStart w:id="720" w:name="Tc_UNgpiA8Orkyl3FPWdxYkBg_2_5"/>
      <w:bookmarkStart w:id="721" w:name="Tc_odrGOzsMwkGGpLoTWVOFpA_2_2"/>
      <w:bookmarkStart w:id="722" w:name="Tc_IDgeP_HoKkCpCH1aVbTmmA_1_2"/>
      <w:bookmarkStart w:id="723" w:name="_31a030d4_5118_4071_9295_08e350874241"/>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tbl>
      <w:tblPr>
        <w:tblW w:w="10205" w:type="dxa"/>
        <w:jc w:val="left"/>
        <w:tblInd w:w="0" w:type="dxa"/>
        <w:tblLayout w:type="fixed"/>
        <w:tblCellMar>
          <w:top w:w="0" w:type="dxa"/>
          <w:left w:w="0" w:type="dxa"/>
          <w:bottom w:w="0" w:type="dxa"/>
          <w:right w:w="0" w:type="dxa"/>
        </w:tblCellMar>
      </w:tblPr>
      <w:tblGrid>
        <w:gridCol w:w="7602"/>
        <w:gridCol w:w="326"/>
        <w:gridCol w:w="211"/>
        <w:gridCol w:w="690"/>
        <w:gridCol w:w="326"/>
        <w:gridCol w:w="211"/>
        <w:gridCol w:w="839"/>
      </w:tblGrid>
      <w:tr>
        <w:trPr/>
        <w:tc>
          <w:tcPr>
            <w:tcW w:w="7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827270" cy="175260"/>
                      <wp:effectExtent l="0" t="0" r="0" b="0"/>
                      <wp:wrapNone/>
                      <wp:docPr id="60" name="Frame60"/>
                      <a:graphic xmlns:a="http://schemas.openxmlformats.org/drawingml/2006/main">
                        <a:graphicData uri="http://schemas.microsoft.com/office/word/2010/wordprocessingShape">
                          <wps:wsp>
                            <wps:cNvSpPr txBox="1"/>
                            <wps:spPr>
                              <a:xfrm>
                                <a:off x="0" y="0"/>
                                <a:ext cx="4827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38150" cy="175260"/>
                      <wp:effectExtent l="0" t="0" r="0" b="0"/>
                      <wp:wrapNone/>
                      <wp:docPr id="63" name="Frame6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32765" cy="175260"/>
                      <wp:effectExtent l="0" t="0" r="0" b="0"/>
                      <wp:wrapNone/>
                      <wp:docPr id="66" name="Frame66"/>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7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7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26" w:type="dxa"/>
            <w:tcBorders/>
            <w:vAlign w:val="center"/>
          </w:tcPr>
          <w:p>
            <w:pPr>
              <w:pStyle w:val="TableContents"/>
              <w:bidi w:val="0"/>
              <w:spacing w:before="0" w:after="0"/>
              <w:ind w:left="0" w:right="0" w:hanging="0"/>
              <w:jc w:val="center"/>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7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(loss) to 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8,328</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items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sale/disposal of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doubtful accounts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 net of effects from business 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(4,987)</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6,322</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(11,477)</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18,909</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equipment, software, and leasehold improvements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(5,762)</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(5,707)</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contingent consideration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on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(10,679)</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notes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term loan facility and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under term loan facility and line of credit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payments on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stock option exercise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of common stock under employee stock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to pay taxes on stock grants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(19,038)</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(5,836)</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19,485</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13,649</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(received) during the period for: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r>
      <w:tr>
        <w:trPr/>
        <w:tc>
          <w:tcPr>
            <w:tcW w:w="7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r>
      <w:tr>
        <w:trPr/>
        <w:tc>
          <w:tcPr>
            <w:tcW w:w="7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acquired under 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278</w:t>
            </w:r>
          </w:p>
        </w:tc>
      </w:tr>
    </w:tbl>
    <w:p>
      <w:pPr>
        <w:pStyle w:val="TextBody"/>
        <w:bidi w:val="0"/>
        <w:spacing w:before="60" w:after="0"/>
        <w:ind w:left="0" w:right="0" w:hanging="0"/>
        <w:jc w:val="center"/>
        <w:rPr>
          <w:rFonts w:ascii="Times New Roman;Times;serif" w:hAnsi="Times New Roman;Times;serif"/>
          <w:sz w:val="17"/>
        </w:rPr>
      </w:pPr>
      <w:r>
        <w:rPr>
          <w:rFonts w:ascii="Times New Roman;Times;serif" w:hAnsi="Times New Roman;Times;serif"/>
          <w:sz w:val="17"/>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724" w:name="ORGANIZATIONANDOPERATIONSOFTHECOMPANY_11"/>
      <w:bookmarkEnd w:id="724"/>
      <w:r>
        <w:rPr>
          <w:rFonts w:ascii="Times New Roman;Times;serif" w:hAnsi="Times New Roman;Times;serif"/>
          <w:b/>
          <w:sz w:val="20"/>
        </w:rPr>
        <w:t>1. ORGANIZATION AND OPERATIONS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(“Willdan” or the “Company”) is a provider of professional, technical and consulting services to utilities, private industry, and public agencies at all levels of government. As resource and infrastructure needs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broad portfolio of services operates within two financial reporting segments: (1) Energy and (2) Engineering and Consulting. The interfaces and synergies between these segments are important elements of the Company’s strategy to design and deliver trusted, comprehensive, innovative, and proven solutions for its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accounting policies followed by the Company are set forth in Part II, Item 8, Note 1, </w:t>
      </w:r>
      <w:r>
        <w:rPr>
          <w:rFonts w:ascii="Times New Roman;Times;serif" w:hAnsi="Times New Roman;Times;serif"/>
          <w:i/>
          <w:sz w:val="20"/>
        </w:rPr>
        <w:t>Organization and Operations of the Company</w:t>
      </w:r>
      <w:r>
        <w:rPr>
          <w:rFonts w:ascii="Times New Roman;Times;serif" w:hAnsi="Times New Roman;Times;serif"/>
          <w:sz w:val="20"/>
        </w:rPr>
        <w:t>, of the Notes to Consolidated Financial Statements included in the Company’s Annual Report on Form 10-K for the fiscal year ended December 29, 2023.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and related notes thereto should be read in conjunction with the Consolidated Financial Statements and the notes thereto included in the Company’s Annual Report on Form 10-K for the fiscal year ended December 29, 2023. The results of operations for interim periods are not necessarily indicative of results to be expected for the full year.</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Fiscal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2024, which ends on December 27, 2024, will be comprised of 52 weeks, with all quarters consisting of 13 weeks each. Fiscal year 2023, which ended on December 29, 2023, was comprised of 52 weeks, with all quarters consisting of 13 weeks each. All references to years in the notes to consolidated financial statements represent fiscal years.</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RECENT ACCOUNTING PRONOUNCEMENTS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Accounting Pronouncements Recently Issued</w:t>
      </w:r>
    </w:p>
    <w:p>
      <w:pPr>
        <w:pStyle w:val="TextBody"/>
        <w:bidi w:val="0"/>
        <w:spacing w:before="0" w:after="200"/>
        <w:ind w:left="0" w:right="0" w:firstLine="360"/>
        <w:jc w:val="left"/>
        <w:rPr>
          <w:rFonts w:ascii="Times New Roman;Times;serif" w:hAnsi="Times New Roman;Times;serif"/>
          <w:sz w:val="24"/>
        </w:rPr>
      </w:pPr>
      <w:r>
        <w:rPr>
          <w:rFonts w:ascii="Times New Roman;Times;serif" w:hAnsi="Times New Roman;Times;serif"/>
          <w:sz w:val="20"/>
        </w:rPr>
        <w:t>In December 2023, the Financial Accounting Standards Board (“FASB”) issued Accounting Standards Update (“ASU”) No. 2023-09, “Income Taxes (Topic 740): Improvements to Income Tax Disclosures” (“ASU 2023-09”). ASU 2023-09 amends the rules on income tax disclosures to require entities to disclose specific categories in the rate reconciliation, the income or loss from continuing operations before income tax expense or benefit (separated between domestic and foreign) and income tax expense or benefit from continuing operations (separated by federal, state, and foreign). In addition, ASU 2023-09 requires entities to disclose their income tax payments to international, federal, state, and local jurisdictions, among other changes. The amendments can be applied on a prospective basis although retrospective application is permitted. The amendments are effective for the annual reporting periods beginning after December 15, 2024, with early adoption permitted. The Company is currently evaluating</w:t>
      </w:r>
      <w:r>
        <w:rPr>
          <w:rFonts w:ascii="Times New Roman;Times;serif" w:hAnsi="Times New Roman;Times;serif"/>
          <w:sz w:val="24"/>
        </w:rPr>
        <w:t xml:space="preserve"> </w:t>
      </w:r>
      <w:r>
        <w:rPr>
          <w:rFonts w:ascii="Times New Roman;Times;serif" w:hAnsi="Times New Roman;Times;serif"/>
          <w:sz w:val="20"/>
        </w:rPr>
        <w:t>the impact this update will have on its Consolidated Financial Statements.</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November 2023, the FASB issued ASU No. 2023-07, “Segment Reporting (Topic 280): Improvements to Reportable Segment Disclosures” (“ASU 2023-07”). ASU 2023-07 expands segment disclosure requirements through enhanced disclosures related to significant segment expenses that are regularly provided to the chief operating decision maker (“CODM”), a description of other segment items by reportable segment, and any additional measures of a segment's profit or loss used by the CODM when deciding how to allocate resources. All disclosure requirements under ASU 2023-07 are also required for public entities with a single reportable segment. The amendments are effective for the fiscal years beginning after December 15, 2023, and interim periods within fiscal years beginning after December 15, 2024. The Company is currently evaluating</w:t>
      </w:r>
      <w:r>
        <w:rPr>
          <w:rFonts w:ascii="Times New Roman;Times;serif" w:hAnsi="Times New Roman;Times;serif"/>
          <w:sz w:val="24"/>
        </w:rPr>
        <w:t xml:space="preserve"> </w:t>
      </w:r>
      <w:r>
        <w:rPr>
          <w:rFonts w:ascii="Times New Roman;Times;serif" w:hAnsi="Times New Roman;Times;serif"/>
          <w:sz w:val="20"/>
        </w:rPr>
        <w:t xml:space="preserve">the impact this update will have on its Consolidated Financial Statements.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Securities and Exchange Commission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The Company does not</w:t>
      </w:r>
      <w:r>
        <w:rPr>
          <w:rFonts w:ascii="Times New Roman;Times;serif" w:hAnsi="Times New Roman;Times;serif"/>
          <w:sz w:val="24"/>
        </w:rPr>
        <w:t xml:space="preserve"> </w:t>
      </w:r>
      <w:r>
        <w:rPr>
          <w:rFonts w:ascii="Times New Roman;Times;serif" w:hAnsi="Times New Roman;Times;serif"/>
          <w:sz w:val="20"/>
        </w:rPr>
        <w:t>believe the amendments in ASU 2023-06 will have a material impact in any of the Company’s current disclosures.</w:t>
      </w:r>
    </w:p>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3.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reflects the Company’s two reportable segments and the types of contracts that each most commonly enters into for revenue generating activities.</w:t>
      </w:r>
    </w:p>
    <w:p>
      <w:pPr>
        <w:pStyle w:val="TextBody"/>
        <w:bidi w:val="0"/>
        <w:spacing w:before="0" w:after="0"/>
        <w:ind w:left="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43685" cy="29210"/>
                      <wp:effectExtent l="0" t="0" r="0" b="0"/>
                      <wp:wrapNone/>
                      <wp:docPr id="67" name="Frame67"/>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067435" cy="29210"/>
                      <wp:effectExtent l="0" t="0" r="0" b="0"/>
                      <wp:wrapNone/>
                      <wp:docPr id="68" name="Frame68"/>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48435" cy="29210"/>
                      <wp:effectExtent l="0" t="0" r="0" b="0"/>
                      <wp:wrapNone/>
                      <wp:docPr id="69" name="Frame69"/>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on the vast majority of the Company’s contracts is recognized over time because of the continuous transfer of control to the customer. Revenue on fixed price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w:t>
      </w:r>
    </w:p>
    <w:p>
      <w:pPr>
        <w:pStyle w:val="TextBody"/>
        <w:bidi w:val="0"/>
        <w:spacing w:before="200" w:after="240"/>
        <w:ind w:left="0" w:right="0" w:firstLine="720"/>
        <w:jc w:val="left"/>
        <w:rPr>
          <w:rFonts w:ascii="Times New Roman;Times;serif" w:hAnsi="Times New Roman;Times;serif"/>
          <w:sz w:val="20"/>
        </w:rPr>
      </w:pPr>
      <w:r>
        <w:rPr>
          <w:rFonts w:ascii="Times New Roman;Times;serif" w:hAnsi="Times New Roman;Times;serif"/>
          <w:sz w:val="20"/>
        </w:rPr>
        <w:t>Many of the Company’s fixed price contracts involve a high degree of subcontracted fixed price effort and, usually, are relatively short in duration, thereby lowering the risks of not properly estimating the percent complete. 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condensed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which usually is the life of the contract.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the Company’s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 estimates of variable consideration and determination of whether to include estimated amounts in the transaction price are based largely on assessments of legal enforceability, the Company’s performance, and all information (historical, current and forecasted) that is reasonably available to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condensed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Retainage, included in contract assets, represents amounts withheld from billings to the Company’s clients pursuant to provisions in the contracts and may not be paid to the Company until specific tasks are completed or the project is completed and, in some instances, for even longer periods. As of June 28, 2024 and December 29, 2023, contract assets included retainage of approximately $17.6 million and $14.3 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725" w:name="Tc_E7SuVBD-oEG8tPQRgc2SuA_11_5"/>
      <w:bookmarkStart w:id="726" w:name="Tc_Pqh2FkMznES_hZ0-Rqx_Tw_11_2"/>
      <w:bookmarkStart w:id="727" w:name="Tc_5dmyehbZgE-qcc6L1oigaA_11_0"/>
      <w:bookmarkStart w:id="728" w:name="Tc_jWYbsZjmukahkbzAy5wEcg_10_0"/>
      <w:bookmarkStart w:id="729" w:name="Tc_DIoKsR9LAUW1NoLz175o2g_9_0"/>
      <w:bookmarkStart w:id="730" w:name="Tc_KINzjcLJPkS92dZBapoCzw_8_0"/>
      <w:bookmarkStart w:id="731" w:name="Tc_7l5gqmUSCUiTng12L7WMfQ_7_0"/>
      <w:bookmarkStart w:id="732" w:name="Tc_LJNtgkralk2qhvRBd3xDdA_6_0"/>
      <w:bookmarkStart w:id="733" w:name="Tc_yyjABGkQa0GIg_G5Ju_T0w_5_0"/>
      <w:bookmarkStart w:id="734" w:name="Tc_jjnnYidxkEic1V0h-e2-Gg_4_5"/>
      <w:bookmarkStart w:id="735" w:name="Tc_tiMEpcL_bE6lx-5uQMH8LQ_4_2"/>
      <w:bookmarkStart w:id="736" w:name="Tc_TlhmGAUTKUueVJTfstJPhw_4_0"/>
      <w:bookmarkStart w:id="737" w:name="Tc_tUKFNvmc1kC12dFrsoPORg_3_2"/>
      <w:bookmarkStart w:id="738" w:name="Tc_7c-PLymjoUKoJlojmtNenA_2_5"/>
      <w:bookmarkStart w:id="739" w:name="Tc_t-b1H0AxwU-QV-Ewb8V7_g_2_2"/>
      <w:bookmarkStart w:id="740" w:name="Tc__Rpt8Rk5VEyuBhOq5FikQA_1_5"/>
      <w:bookmarkStart w:id="741" w:name="Tc_1fiSkHDE2UeYPEvFBHvlDw_1_2"/>
      <w:bookmarkStart w:id="742" w:name="_153c3283_4be2_41ef_b17e_d5f6aa64dd38"/>
      <w:bookmarkStart w:id="743" w:name="Tc_r9D8briWDEOZ0zzMkj_X4A_6_5"/>
      <w:bookmarkStart w:id="744" w:name="Tc_tMMYR8W9fUGhdM9skZmowQ_6_2"/>
      <w:bookmarkStart w:id="745" w:name="Tc_1JS6mesk40WaQN2f75SxNA_6_0"/>
      <w:bookmarkStart w:id="746" w:name="Tc__0h5Y8qILUa-A-V_Vc2hgA_4_5"/>
      <w:bookmarkStart w:id="747" w:name="Tc_7XooDTUVNUulyE3_K8SKtA_4_2"/>
      <w:bookmarkStart w:id="748" w:name="Tc_UiGQ2a8H_0iOQYIUVEUKQg_4_0"/>
      <w:bookmarkStart w:id="749" w:name="Tc_5FTuegmczEW8jG6qzFAs3w_3_2"/>
      <w:bookmarkStart w:id="750" w:name="Tc_JfaDc0-FekyGB4NZo4jtxA_2_5"/>
      <w:bookmarkStart w:id="751" w:name="Tc_ZTPUahNFyUCcb1gcedz2JQ_2_2"/>
      <w:bookmarkStart w:id="752" w:name="Tc_24jaRRsGsEWI_EvXS3nQ3w_1_5"/>
      <w:bookmarkStart w:id="753" w:name="Tc_xz1btS-udkyf5HBjKiIg7g_1_2"/>
      <w:bookmarkStart w:id="754" w:name="_9e88d94d_0338_43f5_b11e_179a5b332278"/>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r>
        <w:rPr>
          <w:rFonts w:ascii="Times New Roman;Times;serif" w:hAnsi="Times New Roman;Times;serif"/>
          <w:b/>
          <w:sz w:val="20"/>
        </w:rPr>
        <w:t xml:space="preserve">4. SUPPLEMENTAL FINANCIAL STATEMENT DATA </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Restricted Cash</w:t>
      </w:r>
    </w:p>
    <w:p>
      <w:pPr>
        <w:pStyle w:val="TextBody"/>
        <w:shd w:fill="FFFFFF" w:val="clear"/>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and restricted cash reported within the condensed consolidated balance sheets to the total cash, cash equivalents, and restricted cash shown in the consolidated statements of 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36"/>
        <w:gridCol w:w="326"/>
        <w:gridCol w:w="211"/>
        <w:gridCol w:w="676"/>
        <w:gridCol w:w="326"/>
        <w:gridCol w:w="237"/>
        <w:gridCol w:w="893"/>
      </w:tblGrid>
      <w:tr>
        <w:trPr/>
        <w:tc>
          <w:tcPr>
            <w:tcW w:w="7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785360" cy="175260"/>
                      <wp:effectExtent l="0" t="0" r="0" b="0"/>
                      <wp:wrapNone/>
                      <wp:docPr id="70" name="Frame70"/>
                      <a:graphic xmlns:a="http://schemas.openxmlformats.org/drawingml/2006/main">
                        <a:graphicData uri="http://schemas.microsoft.com/office/word/2010/wordprocessingShape">
                          <wps:wsp>
                            <wps:cNvSpPr txBox="1"/>
                            <wps:spPr>
                              <a:xfrm>
                                <a:off x="0" y="0"/>
                                <a:ext cx="478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73" name="Frame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0495" cy="175260"/>
                      <wp:effectExtent l="0" t="0" r="0" b="0"/>
                      <wp:wrapNone/>
                      <wp:docPr id="75" name="Frame7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7055" cy="175260"/>
                      <wp:effectExtent l="0" t="0" r="0" b="0"/>
                      <wp:wrapNone/>
                      <wp:docPr id="76" name="Frame76"/>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left"/>
              <w:rPr/>
            </w:pPr>
            <w:r>
              <w:rPr/>
              <w:t>​</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7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7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23,397</w:t>
            </w:r>
          </w:p>
        </w:tc>
      </w:tr>
      <w:tr>
        <w:trPr/>
        <w:tc>
          <w:tcPr>
            <w:tcW w:w="75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shown in the consolidated statement of cash flows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23,397</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w:t>
      </w:r>
      <w:r>
        <w:rPr>
          <w:rFonts w:ascii="Times New Roman;Times;serif" w:hAnsi="Times New Roman;Times;serif"/>
          <w:sz w:val="20"/>
        </w:rPr>
        <w:t>restricted</w:t>
      </w:r>
      <w:r>
        <w:rPr>
          <w:rFonts w:ascii="Times New Roman;Times;serif" w:hAnsi="Times New Roman;Times;serif"/>
          <w:sz w:val="20"/>
          <w:shd w:fill="FFFFFF" w:val="clear"/>
        </w:rPr>
        <w:t xml:space="preserve"> funds as restricted cash. Because these funds are held in trust for pass through to the utility’s customers and have no impact on the Company’s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0"/>
        <w:ind w:left="0" w:right="0" w:hanging="0"/>
        <w:jc w:val="left"/>
        <w:rPr/>
      </w:pPr>
      <w:r>
        <w:rPr/>
        <w:t>​</w:t>
      </w:r>
    </w:p>
    <w:tbl>
      <w:tblPr>
        <w:tblW w:w="6535" w:type="dxa"/>
        <w:jc w:val="left"/>
        <w:tblInd w:w="0" w:type="dxa"/>
        <w:tblLayout w:type="fixed"/>
        <w:tblCellMar>
          <w:top w:w="0" w:type="dxa"/>
          <w:left w:w="0" w:type="dxa"/>
          <w:bottom w:w="0" w:type="dxa"/>
          <w:right w:w="0" w:type="dxa"/>
        </w:tblCellMar>
      </w:tblPr>
      <w:tblGrid>
        <w:gridCol w:w="3736"/>
        <w:gridCol w:w="326"/>
        <w:gridCol w:w="211"/>
        <w:gridCol w:w="796"/>
        <w:gridCol w:w="326"/>
        <w:gridCol w:w="228"/>
        <w:gridCol w:w="912"/>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372360" cy="175260"/>
                      <wp:effectExtent l="0" t="0" r="0" b="0"/>
                      <wp:wrapNone/>
                      <wp:docPr id="77" name="Frame77"/>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05460" cy="175260"/>
                      <wp:effectExtent l="0" t="0" r="0" b="0"/>
                      <wp:wrapNone/>
                      <wp:docPr id="80" name="Frame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4780" cy="175260"/>
                      <wp:effectExtent l="0" t="0" r="0" b="0"/>
                      <wp:wrapNone/>
                      <wp:docPr id="82" name="Frame8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79120" cy="175260"/>
                      <wp:effectExtent l="0" t="0" r="0" b="0"/>
                      <wp:wrapNone/>
                      <wp:docPr id="83" name="Frame83"/>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48,252</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44,594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3,528</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under 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6,494</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trucks, and field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66,262</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(38,034)</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28,228</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27,097</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accumulated depreciation and amortization is $0.7 million and $1.3 million of amortization expense related to equipment held under finance leases for the six months ended June 28, 2024 and for fiscal year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bookmarkStart w:id="755" w:name="Tc_7TW6BGuzkUCv0bCGuHVoJA_11_11"/>
      <w:bookmarkStart w:id="756" w:name="Tc_85Hbd2Csd0iUc7zQO32H_A_11_8"/>
      <w:bookmarkStart w:id="757" w:name="Tc_RyHJDp1EnUeQLnYNoO7Qbw_11_5"/>
      <w:bookmarkStart w:id="758" w:name="Tc_BwXtEaIkE0WqIKV5D9dOJw_11_2"/>
      <w:bookmarkStart w:id="759" w:name="Tc_Se78-VQmk0SfIne94fgm2w_11_0"/>
      <w:bookmarkStart w:id="760" w:name="Tc_BHcAgB0JhU--f_CcpEHE9g_10_16"/>
      <w:bookmarkStart w:id="761" w:name="Tc_jzD2W4-NuEy9j67RGq7NYQ_10_0"/>
      <w:bookmarkStart w:id="762" w:name="Tc_pQnU-xzYeUGOvz-q7EVzbg_9_0"/>
      <w:bookmarkStart w:id="763" w:name="Tc_rtO5L--no0-_tvqweKFvHA_8_16"/>
      <w:bookmarkStart w:id="764" w:name="Tc_jfp2ukVVnUWDiVYea2eKKw_8_0"/>
      <w:bookmarkStart w:id="765" w:name="Tc_Y6UvZbLKtkKMa8iUNkEBEA_7_16"/>
      <w:bookmarkStart w:id="766" w:name="Tc_5zIg5ijHNE2j-7wGbuqODQ_7_0"/>
      <w:bookmarkStart w:id="767" w:name="Tc_Dz_pIp3brk-aaxBvF1WwYw_6_11"/>
      <w:bookmarkStart w:id="768" w:name="Tc_1wWqTqJ1sUOaUo3OZ1k7Gg_6_8"/>
      <w:bookmarkStart w:id="769" w:name="Tc_3_vyHpTJR0SrKmtv1GSqAQ_6_5"/>
      <w:bookmarkStart w:id="770" w:name="Tc_ZNe3RqRi-E-7hswl7-eC5w_6_2"/>
      <w:bookmarkStart w:id="771" w:name="Tc_x2Lj-nFQAUa_jOUeH-PrJg_6_0"/>
      <w:bookmarkStart w:id="772" w:name="Tc_lJir3m_U9UqjmgzC5Kuufg_5_0"/>
      <w:bookmarkStart w:id="773" w:name="Tc_yTdSJls1WEu9k0w1-sclBA_4_14"/>
      <w:bookmarkStart w:id="774" w:name="Tc_sjqbQVMvbkapuXo9WJP3Tw_4_2"/>
      <w:bookmarkStart w:id="775" w:name="Tc_A2owpCP2Eku3XBtQWGqhug_3_14"/>
      <w:bookmarkStart w:id="776" w:name="Tc_UbkJ5GC1VkyE5VB9uy5tLw_3_11"/>
      <w:bookmarkStart w:id="777" w:name="Tc_W46JwiVuX0qrWAQduZc7-w_3_8"/>
      <w:bookmarkStart w:id="778" w:name="Tc_o-ydWYl1zkmSAxHuemaYwQ_3_5"/>
      <w:bookmarkStart w:id="779" w:name="Tc_Fq71EGubD0GheJ-r8uojxw_3_2"/>
      <w:bookmarkStart w:id="780" w:name="Tc_FCco_aEGQEWPeF_RwVW2Pg_2_14"/>
      <w:bookmarkStart w:id="781" w:name="Tc_LtsBdVRlNkm5k8OB6Ppwlw_2_11"/>
      <w:bookmarkStart w:id="782" w:name="Tc_VmYFd_xnqUWvsYJvTGkLuw_2_8"/>
      <w:bookmarkStart w:id="783" w:name="Tc_TGZr5f24m0mONsCyn9RiGw_2_5"/>
      <w:bookmarkStart w:id="784" w:name="Tc_t5_HUPIZeEqdnL8Ni1_YHQ_2_2"/>
      <w:bookmarkStart w:id="785" w:name="Tc_ygbyv4lXZUCQ_MH02dRqpA_1_8"/>
      <w:bookmarkStart w:id="786" w:name="Tc_Y10mH0HK9EqhV62P_9gu1g_1_2"/>
      <w:bookmarkStart w:id="787" w:name="_1cd3588f_16f6_4fdc_a8cc_9eb9826051be"/>
      <w:bookmarkStart w:id="788" w:name="Tc_FzMLNIsJwE-S7oUiEduGzg_7_11"/>
      <w:bookmarkStart w:id="789" w:name="Tc_wEhB3VfZDE2t4xK3ohQ5HA_7_9"/>
      <w:bookmarkStart w:id="790" w:name="Tc_3zGGDGaz0USVrZkogasAEQ_7_8"/>
      <w:bookmarkStart w:id="791" w:name="Tc_oqy13TrMMUWLQEuO23pMbQ_7_6"/>
      <w:bookmarkStart w:id="792" w:name="Tc_iKwIH2QqtEuzYu_jGl9BAw_7_5"/>
      <w:bookmarkStart w:id="793" w:name="Tc_FzKN-GUWHEagwO62clE0fg_7_2"/>
      <w:bookmarkStart w:id="794" w:name="Tc_iVtTXd9C5EGfkgjAZeXHBw_6_9"/>
      <w:bookmarkStart w:id="795" w:name="Tc_WUAUWxD9nUq5IKWjmr6IRQ_6_6"/>
      <w:bookmarkStart w:id="796" w:name="Tc_i9ei-FctrUCXYMOOxMqjfQ_6_0"/>
      <w:bookmarkStart w:id="797" w:name="Tc_cd4SmAZshkKNYdL78Q05TQ_5_11"/>
      <w:bookmarkStart w:id="798" w:name="Tc_ullPytV0TUCBnhhJDWH4Bw_5_9"/>
      <w:bookmarkStart w:id="799" w:name="Tc_MNftq2nrlkW084DqlYSwxA_5_8"/>
      <w:bookmarkStart w:id="800" w:name="Tc_adMe64al2EielrGxgmqOiA_5_6"/>
      <w:bookmarkStart w:id="801" w:name="Tc_F_emMcwuvkGbbjCXme0yuw_5_5"/>
      <w:bookmarkStart w:id="802" w:name="Tc_gJK4tyHZsUKH9j_KWYg3tw_5_2"/>
      <w:bookmarkStart w:id="803" w:name="Tc_l1-0DypbA0ug0uZgiqLq9g_5_0"/>
      <w:bookmarkStart w:id="804" w:name="Tc_7DirsVkjhUSvxnSp0KKeCQ_4_0"/>
      <w:bookmarkStart w:id="805" w:name="Tc_tVAuczIFtUKYpnhfQgeCcQ_3_2"/>
      <w:bookmarkStart w:id="806" w:name="Tc_-WObDEhROU-BE9HzGiFknQ_2_11"/>
      <w:bookmarkStart w:id="807" w:name="Tc_aFJI7R-3ZE-Vf_WATj9Uug_2_8"/>
      <w:bookmarkStart w:id="808" w:name="Tc_ihP9mIcDLUKJ_BhAdmspBQ_2_5"/>
      <w:bookmarkStart w:id="809" w:name="Tc_6nHN1_14yUeeTyBPU0TBQg_2_2"/>
      <w:bookmarkStart w:id="810" w:name="Tc_Gl5LVuzx6EOBf0i1W7DeLw_1_11"/>
      <w:bookmarkStart w:id="811" w:name="Tc_slU1P88RHEuFBKonK_hKvQ_1_8"/>
      <w:bookmarkStart w:id="812" w:name="Tc_ce9_sFRodUqqarxoUe9fhg_1_5"/>
      <w:bookmarkStart w:id="813" w:name="Tc_REd9dUhG2Em0T6fLJHVZtg_1_2"/>
      <w:bookmarkStart w:id="814" w:name="_c85b4554_c045_4ea0_bbf4_63b84da8ef05"/>
      <w:bookmarkStart w:id="815" w:name="Tc_3pVmjjmlUUa0g3J1U_yzZA_10_5"/>
      <w:bookmarkStart w:id="816" w:name="Tc_kAzrDylgP0iWf-3GfvIYfA_10_2"/>
      <w:bookmarkStart w:id="817" w:name="Tc_KYywj1OW_kS0GrNtxWoysQ_10_0"/>
      <w:bookmarkStart w:id="818" w:name="Tc_x3Ed9X8SPUiBPktVL3NFuw_9_0"/>
      <w:bookmarkStart w:id="819" w:name="Tc_tKBeUtinBU6enKl7n4lgQg_8_3"/>
      <w:bookmarkStart w:id="820" w:name="Tc_MYOjgFFdoEaySScNzsNX-A_8_0"/>
      <w:bookmarkStart w:id="821" w:name="Tc_N_ONmixB7Um5tFIn4xSp1w_7_0"/>
      <w:bookmarkStart w:id="822" w:name="Tc_RZy0-RslaEeH6LdPwmH1Vg_6_0"/>
      <w:bookmarkStart w:id="823" w:name="Tc_Q7OBheXSI0qEs--0ClSKpQ_5_0"/>
      <w:bookmarkStart w:id="824" w:name="Tc_HV5zNFZl-Ey6VkRC5vnW6Q_4_5"/>
      <w:bookmarkStart w:id="825" w:name="Tc_1nsRKqx7J0qe4LJc5kNqSA_4_2"/>
      <w:bookmarkStart w:id="826" w:name="Tc_Qg_Cvz1RLk634PNvOT7Jug_4_0"/>
      <w:bookmarkStart w:id="827" w:name="Tc__C7Wts4kR0SDgWkPOrlASA_3_2"/>
      <w:bookmarkStart w:id="828" w:name="Tc_p37IflOdr0mkGsGcdVLe5A_2_5"/>
      <w:bookmarkStart w:id="829" w:name="Tc_yCuzQXqi9EyOs8JD_wFtEg_2_2"/>
      <w:bookmarkStart w:id="830" w:name="Tc_PhRd2ze1_k-R8ejvQhGrDg_1_5"/>
      <w:bookmarkStart w:id="831" w:name="Tc_qzM6nxkgNEuOOx48hwNKXA_1_2"/>
      <w:bookmarkStart w:id="832" w:name="_bd42a2c9_737b_415e_b15d_0fc85bb90588"/>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r>
        <w:rPr>
          <w:rFonts w:ascii="Times New Roman;Times;serif" w:hAnsi="Times New Roman;Times;serif"/>
          <w:i/>
          <w:sz w:val="20"/>
        </w:rPr>
        <w:t>Accrued Liabilities</w:t>
      </w:r>
    </w:p>
    <w:p>
      <w:pPr>
        <w:pStyle w:val="TextBody"/>
        <w:bidi w:val="0"/>
        <w:spacing w:before="0" w:after="0"/>
        <w:ind w:left="0" w:right="0" w:hanging="0"/>
        <w:jc w:val="left"/>
        <w:rPr/>
      </w:pPr>
      <w:r>
        <w:rPr/>
        <w:t>​</w:t>
      </w:r>
    </w:p>
    <w:tbl>
      <w:tblPr>
        <w:tblW w:w="5695" w:type="dxa"/>
        <w:jc w:val="left"/>
        <w:tblInd w:w="0" w:type="dxa"/>
        <w:tblLayout w:type="fixed"/>
        <w:tblCellMar>
          <w:top w:w="0" w:type="dxa"/>
          <w:left w:w="0" w:type="dxa"/>
          <w:bottom w:w="0" w:type="dxa"/>
          <w:right w:w="0" w:type="dxa"/>
        </w:tblCellMar>
      </w:tblPr>
      <w:tblGrid>
        <w:gridCol w:w="3016"/>
        <w:gridCol w:w="326"/>
        <w:gridCol w:w="211"/>
        <w:gridCol w:w="676"/>
        <w:gridCol w:w="326"/>
        <w:gridCol w:w="240"/>
        <w:gridCol w:w="900"/>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15160" cy="175260"/>
                      <wp:effectExtent l="0" t="0" r="0" b="0"/>
                      <wp:wrapNone/>
                      <wp:docPr id="84" name="Frame8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52400" cy="175260"/>
                      <wp:effectExtent l="0" t="0" r="0" b="0"/>
                      <wp:wrapNone/>
                      <wp:docPr id="89" name="Frame8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1500" cy="175260"/>
                      <wp:effectExtent l="0" t="0" r="0" b="0"/>
                      <wp:wrapNone/>
                      <wp:docPr id="90" name="Frame9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5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subcontractor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25,661</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30,196</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9,333</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withholdings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3,322</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payroll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3,172</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accounting costs and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3,817</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54,129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left"/>
        <w:rPr/>
      </w:pPr>
      <w:r>
        <w:rPr/>
        <w:t>​</w:t>
      </w:r>
    </w:p>
    <w:tbl>
      <w:tblPr>
        <w:tblW w:w="8083" w:type="dxa"/>
        <w:jc w:val="left"/>
        <w:tblInd w:w="0" w:type="dxa"/>
        <w:tblLayout w:type="fixed"/>
        <w:tblCellMar>
          <w:top w:w="0" w:type="dxa"/>
          <w:left w:w="0" w:type="dxa"/>
          <w:bottom w:w="0" w:type="dxa"/>
          <w:right w:w="0" w:type="dxa"/>
        </w:tblCellMar>
      </w:tblPr>
      <w:tblGrid>
        <w:gridCol w:w="2431"/>
        <w:gridCol w:w="326"/>
        <w:gridCol w:w="233"/>
        <w:gridCol w:w="862"/>
        <w:gridCol w:w="326"/>
        <w:gridCol w:w="430"/>
        <w:gridCol w:w="710"/>
        <w:gridCol w:w="326"/>
        <w:gridCol w:w="380"/>
        <w:gridCol w:w="626"/>
        <w:gridCol w:w="326"/>
        <w:gridCol w:w="211"/>
        <w:gridCol w:w="89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43685" cy="175260"/>
                      <wp:effectExtent l="0" t="0" r="0" b="0"/>
                      <wp:wrapNone/>
                      <wp:docPr id="91" name="Frame91"/>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7955" cy="175260"/>
                      <wp:effectExtent l="0" t="0" r="0" b="0"/>
                      <wp:wrapNone/>
                      <wp:docPr id="93" name="Frame9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47370" cy="175260"/>
                      <wp:effectExtent l="0" t="0" r="0" b="0"/>
                      <wp:wrapNone/>
                      <wp:docPr id="94" name="Frame94"/>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73050" cy="175260"/>
                      <wp:effectExtent l="0" t="0" r="0" b="0"/>
                      <wp:wrapNone/>
                      <wp:docPr id="96" name="Frame96"/>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50850" cy="175260"/>
                      <wp:effectExtent l="0" t="0" r="0" b="0"/>
                      <wp:wrapNone/>
                      <wp:docPr id="97" name="Frame97"/>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41300" cy="175260"/>
                      <wp:effectExtent l="0" t="0" r="0" b="0"/>
                      <wp:wrapNone/>
                      <wp:docPr id="99" name="Frame9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97510" cy="175260"/>
                      <wp:effectExtent l="0" t="0" r="0" b="0"/>
                      <wp:wrapNone/>
                      <wp:docPr id="100" name="Frame100"/>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68960" cy="175260"/>
                      <wp:effectExtent l="0" t="0" r="0" b="0"/>
                      <wp:wrapNone/>
                      <wp:docPr id="103" name="Frame10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26"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c>
          <w:tcPr>
            <w:tcW w:w="326"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326" w:type="dxa"/>
            <w:tcBorders/>
            <w:shd w:fill="CCEEFF" w:val="cle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131,144</w:t>
            </w:r>
          </w:p>
        </w:tc>
        <w:tc>
          <w:tcPr>
            <w:tcW w:w="326" w:type="dxa"/>
            <w:tcBorders/>
            <w:vAlign w:val="center"/>
          </w:tcPr>
          <w:p>
            <w:pPr>
              <w:pStyle w:val="TableContents"/>
              <w:bidi w:val="0"/>
              <w:spacing w:before="0" w:after="0"/>
              <w:ind w:left="0" w:right="0" w:hanging="0"/>
              <w:jc w:val="left"/>
              <w:rPr/>
            </w:pPr>
            <w:r>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131,144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tests its goodwill at least annually for possible impairment. The Company completes its annual testing of goodwill as of the last day of the first month of its fourth fiscal quarter each year to determine whether there is a potential impairment. In addition to the Company’s annual test, it regularly evaluates whether events and circumstances have occurred that may indicate a potential impairment of goodwill. The Company evaluated the current economic environment and noted that it does not believe it is more likely than not that goodwill was impaired as of June 28, 2024.</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Intangible Assets</w:t>
      </w:r>
    </w:p>
    <w:p>
      <w:pPr>
        <w:pStyle w:val="TextBody"/>
        <w:bidi w:val="0"/>
        <w:spacing w:before="0" w:after="0"/>
        <w:ind w:left="0" w:right="0" w:hanging="0"/>
        <w:jc w:val="left"/>
        <w:rPr/>
      </w:pPr>
      <w:r>
        <w:rPr/>
        <w:t>​</w:t>
      </w:r>
    </w:p>
    <w:tbl>
      <w:tblPr>
        <w:tblW w:w="8893" w:type="dxa"/>
        <w:jc w:val="left"/>
        <w:tblInd w:w="0" w:type="dxa"/>
        <w:tblLayout w:type="fixed"/>
        <w:tblCellMar>
          <w:top w:w="0" w:type="dxa"/>
          <w:left w:w="0" w:type="dxa"/>
          <w:bottom w:w="0" w:type="dxa"/>
          <w:right w:w="0" w:type="dxa"/>
        </w:tblCellMar>
      </w:tblPr>
      <w:tblGrid>
        <w:gridCol w:w="2176"/>
        <w:gridCol w:w="326"/>
        <w:gridCol w:w="211"/>
        <w:gridCol w:w="676"/>
        <w:gridCol w:w="326"/>
        <w:gridCol w:w="257"/>
        <w:gridCol w:w="824"/>
        <w:gridCol w:w="326"/>
        <w:gridCol w:w="211"/>
        <w:gridCol w:w="676"/>
        <w:gridCol w:w="326"/>
        <w:gridCol w:w="257"/>
        <w:gridCol w:w="824"/>
        <w:gridCol w:w="326"/>
        <w:gridCol w:w="361"/>
        <w:gridCol w:w="109"/>
        <w:gridCol w:w="166"/>
        <w:gridCol w:w="109"/>
        <w:gridCol w:w="40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81760" cy="175260"/>
                      <wp:effectExtent l="0" t="0" r="0" b="0"/>
                      <wp:wrapNone/>
                      <wp:docPr id="104" name="Frame104"/>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2024</w:t>
            </w:r>
          </w:p>
        </w:tc>
        <w:tc>
          <w:tcPr>
            <w:tcW w:w="326" w:type="dxa"/>
            <w:tcBorders/>
            <w:vAlign w:val="center"/>
          </w:tcPr>
          <w:p>
            <w:pPr>
              <w:pStyle w:val="TableContents"/>
              <w:bidi w:val="0"/>
              <w:spacing w:before="0" w:after="0"/>
              <w:ind w:left="0" w:right="0" w:hanging="0"/>
              <w:jc w:val="center"/>
              <w:rPr/>
            </w:pPr>
            <w:r>
              <w:rPr/>
              <w:t>​</w:t>
            </w:r>
          </w:p>
        </w:tc>
        <w:tc>
          <w:tcPr>
            <w:tcW w:w="22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 2023</w:t>
            </w:r>
          </w:p>
        </w:tc>
        <w:tc>
          <w:tcPr>
            <w:tcW w:w="32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1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Finite:</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w:t>
            </w:r>
          </w:p>
        </w:tc>
        <w:tc>
          <w:tcPr>
            <w:tcW w:w="326" w:type="dxa"/>
            <w:tcBorders/>
            <w:vAlign w:val="center"/>
          </w:tcPr>
          <w:p>
            <w:pPr>
              <w:pStyle w:val="TableContents"/>
              <w:bidi w:val="0"/>
              <w:spacing w:before="0" w:after="0"/>
              <w:ind w:left="0" w:right="0" w:hanging="0"/>
              <w:jc w:val="left"/>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15,936</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15,936</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12,695</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14,521</w:t>
            </w:r>
          </w:p>
        </w:tc>
        <w:tc>
          <w:tcPr>
            <w:tcW w:w="326" w:type="dxa"/>
            <w:tcBorders/>
            <w:shd w:fill="CCEEFF" w:val="clear"/>
            <w:vAlign w:val="center"/>
          </w:tcPr>
          <w:p>
            <w:pPr>
              <w:pStyle w:val="TableContents"/>
              <w:bidi w:val="0"/>
              <w:spacing w:before="0" w:after="0"/>
              <w:ind w:left="0" w:right="0" w:hanging="0"/>
              <w:jc w:val="left"/>
              <w:rPr/>
            </w:pPr>
            <w:r>
              <w:rPr/>
              <w:t>​</w:t>
            </w:r>
          </w:p>
        </w:tc>
        <w:tc>
          <w:tcPr>
            <w:tcW w:w="1151" w:type="dxa"/>
            <w:gridSpan w:val="5"/>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58,149</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58,149</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31,107</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99,814</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99,814</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67,858</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833" w:name="Tc_wRk3sOqnf0-TtGICdjOaeg_6_0"/>
      <w:bookmarkStart w:id="834" w:name="Tc_UWMR9csaKk-E7Pipt9zJfQ_5_7"/>
      <w:bookmarkStart w:id="835" w:name="Tc_rb__hPiBLUS4gs4G4jlLeA_5_4"/>
      <w:bookmarkStart w:id="836" w:name="Tc_7PrM798oxESzLOeegkjzYA_5_0"/>
      <w:bookmarkStart w:id="837" w:name="Tc_idd6uHA8iUKgdt3BQ8sTjQ_4_4"/>
      <w:bookmarkStart w:id="838" w:name="Tc_-Abr4ngg9k2NIvSMqyCFHw_3_7"/>
      <w:bookmarkStart w:id="839" w:name="Tc_2r2aXTjke0Ouz5igVqFgTQ_3_4"/>
      <w:bookmarkStart w:id="840" w:name="Tc_w3QfisGH0EWziKAEUaqfCg_3_2"/>
      <w:bookmarkStart w:id="841" w:name="Tc__G6W-BbOkkSOurMSBmwkQQ_2_4"/>
      <w:bookmarkStart w:id="842" w:name="Tc_XscoB98Jb0G-Eu2tyBdRuQ_1_4"/>
      <w:bookmarkStart w:id="843" w:name="_c4bba330_b332_4019_81a7_7baae4aa8798"/>
      <w:bookmarkEnd w:id="833"/>
      <w:bookmarkEnd w:id="834"/>
      <w:bookmarkEnd w:id="835"/>
      <w:bookmarkEnd w:id="836"/>
      <w:bookmarkEnd w:id="837"/>
      <w:bookmarkEnd w:id="838"/>
      <w:bookmarkEnd w:id="839"/>
      <w:bookmarkEnd w:id="840"/>
      <w:bookmarkEnd w:id="841"/>
      <w:bookmarkEnd w:id="842"/>
      <w:bookmarkEnd w:id="843"/>
      <w:r>
        <w:rPr>
          <w:rFonts w:ascii="Times New Roman;Times;serif" w:hAnsi="Times New Roman;Times;serif"/>
          <w:b/>
          <w:sz w:val="20"/>
        </w:rPr>
        <w:t>5. DERIVATIVE FINANCIAL INSTRUMENTS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uses certain interest rate derivative contracts to hedge interest rate exposures on its variable rate debt. The Company’s hedging program is not designated for trading or speculative purposes.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derivative instruments as either assets or liabilities on the accompanying condensed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unrealized gain or loss on derivative contracts. All related cash flows are reported in the operating activities section of the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30, 2023, the Company entered into an interest rate swap agreement that the Company designated as cash flow hedge to fix the variable interest rate on a portion of the Company’s term loan (see Note 6, “</w:t>
      </w:r>
      <w:r>
        <w:rPr>
          <w:rFonts w:ascii="Times New Roman;Times;serif" w:hAnsi="Times New Roman;Times;serif"/>
          <w:i/>
          <w:sz w:val="20"/>
        </w:rPr>
        <w:t xml:space="preserve">Debt Obligations” </w:t>
      </w:r>
      <w:r>
        <w:rPr>
          <w:rFonts w:ascii="Times New Roman;Times;serif" w:hAnsi="Times New Roman;Times;serif"/>
          <w:sz w:val="20"/>
        </w:rPr>
        <w:t>for information regarding our indebtedness). The interest rate swap agreement has a total notional amount of $50.0 million, has a fixed annual interest rate of 4.77%, and expires on September 29, 2026. As of June 28, 2024, the effective portion of the Company’s interest rate swap agreement designated as a cash flow hedge before tax effects was $0.7 million, of which no amounts were reclassified from accumulated other comprehensive income (loss) to interest expense</w:t>
      </w:r>
      <w:r>
        <w:rPr>
          <w:rFonts w:ascii="Times New Roman;Times;serif" w:hAnsi="Times New Roman;Times;serif"/>
          <w:sz w:val="20"/>
          <w:shd w:fill="FFFFFF" w:val="clear"/>
        </w:rPr>
        <w:t> in the six months ended June 28, 2024</w:t>
      </w:r>
      <w:r>
        <w:rPr>
          <w:rFonts w:ascii="Times New Roman;Times;serif" w:hAnsi="Times New Roman;Times;serif"/>
          <w:sz w:val="20"/>
        </w:rPr>
        <w:t>. The Company expects to reclassify $0.1 million from accumulated other comprehensive income (loss) to interest expense within the next twelve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values of the Company’s outstanding derivatives designated as hedging instruments were as follows:</w:t>
      </w:r>
    </w:p>
    <w:p>
      <w:pPr>
        <w:pStyle w:val="TextBody"/>
        <w:bidi w:val="0"/>
        <w:spacing w:before="0" w:after="0"/>
        <w:ind w:left="0" w:right="0" w:hanging="0"/>
        <w:jc w:val="left"/>
        <w:rPr/>
      </w:pPr>
      <w:r>
        <w:rPr/>
        <w:t>​</w:t>
      </w:r>
    </w:p>
    <w:tbl>
      <w:tblPr>
        <w:tblW w:w="8161" w:type="dxa"/>
        <w:jc w:val="left"/>
        <w:tblInd w:w="0" w:type="dxa"/>
        <w:tblLayout w:type="fixed"/>
        <w:tblCellMar>
          <w:top w:w="0" w:type="dxa"/>
          <w:left w:w="0" w:type="dxa"/>
          <w:bottom w:w="0" w:type="dxa"/>
          <w:right w:w="0" w:type="dxa"/>
        </w:tblCellMar>
      </w:tblPr>
      <w:tblGrid>
        <w:gridCol w:w="2401"/>
        <w:gridCol w:w="326"/>
        <w:gridCol w:w="2311"/>
        <w:gridCol w:w="326"/>
        <w:gridCol w:w="315"/>
        <w:gridCol w:w="810"/>
        <w:gridCol w:w="127"/>
        <w:gridCol w:w="408"/>
        <w:gridCol w:w="1137"/>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24635" cy="175895"/>
                      <wp:effectExtent l="0" t="0" r="0" b="0"/>
                      <wp:wrapNone/>
                      <wp:docPr id="107" name="Frame107"/>
                      <a:graphic xmlns:a="http://schemas.openxmlformats.org/drawingml/2006/main">
                        <a:graphicData uri="http://schemas.microsoft.com/office/word/2010/wordprocessingShape">
                          <wps:wsp>
                            <wps:cNvSpPr txBox="1"/>
                            <wps:spPr>
                              <a:xfrm>
                                <a:off x="0" y="0"/>
                                <a:ext cx="15246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895"/>
                      <wp:effectExtent l="0" t="0" r="0" b="0"/>
                      <wp:wrapNone/>
                      <wp:docPr id="108" name="Frame10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67485" cy="175895"/>
                      <wp:effectExtent l="0" t="0" r="0" b="0"/>
                      <wp:wrapNone/>
                      <wp:docPr id="109" name="Frame109"/>
                      <a:graphic xmlns:a="http://schemas.openxmlformats.org/drawingml/2006/main">
                        <a:graphicData uri="http://schemas.microsoft.com/office/word/2010/wordprocessingShape">
                          <wps:wsp>
                            <wps:cNvSpPr txBox="1"/>
                            <wps:spPr>
                              <a:xfrm>
                                <a:off x="0" y="0"/>
                                <a:ext cx="1467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895"/>
                      <wp:effectExtent l="0" t="0" r="0" b="0"/>
                      <wp:wrapNone/>
                      <wp:docPr id="110" name="Frame11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0025" cy="175895"/>
                      <wp:effectExtent l="0" t="0" r="0" b="0"/>
                      <wp:wrapNone/>
                      <wp:docPr id="111" name="Frame111"/>
                      <a:graphic xmlns:a="http://schemas.openxmlformats.org/drawingml/2006/main">
                        <a:graphicData uri="http://schemas.microsoft.com/office/word/2010/wordprocessingShape">
                          <wps:wsp>
                            <wps:cNvSpPr txBox="1"/>
                            <wps:spPr>
                              <a:xfrm>
                                <a:off x="0" y="0"/>
                                <a:ext cx="2000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14350" cy="175895"/>
                      <wp:effectExtent l="0" t="0" r="0" b="0"/>
                      <wp:wrapNone/>
                      <wp:docPr id="112" name="Frame112"/>
                      <a:graphic xmlns:a="http://schemas.openxmlformats.org/drawingml/2006/main">
                        <a:graphicData uri="http://schemas.microsoft.com/office/word/2010/wordprocessingShape">
                          <wps:wsp>
                            <wps:cNvSpPr txBox="1"/>
                            <wps:spPr>
                              <a:xfrm>
                                <a:off x="0" y="0"/>
                                <a:ext cx="5143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80645" cy="175895"/>
                      <wp:effectExtent l="0" t="0" r="0" b="0"/>
                      <wp:wrapNone/>
                      <wp:docPr id="113" name="Frame113"/>
                      <a:graphic xmlns:a="http://schemas.openxmlformats.org/drawingml/2006/main">
                        <a:graphicData uri="http://schemas.microsoft.com/office/word/2010/wordprocessingShape">
                          <wps:wsp>
                            <wps:cNvSpPr txBox="1"/>
                            <wps:spPr>
                              <a:xfrm>
                                <a:off x="0" y="0"/>
                                <a:ext cx="806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59080" cy="175895"/>
                      <wp:effectExtent l="0" t="0" r="0" b="0"/>
                      <wp:wrapNone/>
                      <wp:docPr id="114" name="Frame114"/>
                      <a:graphic xmlns:a="http://schemas.openxmlformats.org/drawingml/2006/main">
                        <a:graphicData uri="http://schemas.microsoft.com/office/word/2010/wordprocessingShape">
                          <wps:wsp>
                            <wps:cNvSpPr txBox="1"/>
                            <wps:spPr>
                              <a:xfrm>
                                <a:off x="0" y="0"/>
                                <a:ext cx="2590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21995" cy="175895"/>
                      <wp:effectExtent l="0" t="0" r="0" b="0"/>
                      <wp:wrapNone/>
                      <wp:docPr id="115" name="Frame115"/>
                      <a:graphic xmlns:a="http://schemas.openxmlformats.org/drawingml/2006/main">
                        <a:graphicData uri="http://schemas.microsoft.com/office/word/2010/wordprocessingShape">
                          <wps:wsp>
                            <wps:cNvSpPr txBox="1"/>
                            <wps:spPr>
                              <a:xfrm>
                                <a:off x="0" y="0"/>
                                <a:ext cx="7219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23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    </w:t>
            </w:r>
          </w:p>
        </w:tc>
        <w:tc>
          <w:tcPr>
            <w:tcW w:w="2797"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Fair Value of Derivative</w: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23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    </w:t>
            </w:r>
          </w:p>
        </w:tc>
        <w:tc>
          <w:tcPr>
            <w:tcW w:w="2797"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Instruments as of</w: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31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1"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28, 2024</w:t>
            </w:r>
          </w:p>
        </w:tc>
        <w:tc>
          <w:tcPr>
            <w:tcW w:w="127"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29, 2023</w: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3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797"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0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26" w:type="dxa"/>
            <w:tcBorders/>
            <w:shd w:fill="CCEEFF" w:val="clear"/>
            <w:vAlign w:val="center"/>
          </w:tcPr>
          <w:p>
            <w:pPr>
              <w:pStyle w:val="TableContents"/>
              <w:bidi w:val="0"/>
              <w:spacing w:before="1" w:after="1"/>
              <w:ind w:left="0" w:right="0" w:hanging="0"/>
              <w:jc w:val="left"/>
              <w:rPr/>
            </w:pPr>
            <w:r>
              <w:rPr/>
              <w:t>​</w:t>
            </w:r>
          </w:p>
        </w:tc>
        <w:tc>
          <w:tcPr>
            <w:tcW w:w="2311" w:type="dxa"/>
            <w:tcBorders/>
            <w:shd w:fill="CCEEFF" w:val="cle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326" w:type="dxa"/>
            <w:tcBorders/>
            <w:shd w:fill="CCEEFF" w:val="clear"/>
            <w:vAlign w:val="center"/>
          </w:tcPr>
          <w:p>
            <w:pPr>
              <w:pStyle w:val="TableContents"/>
              <w:bidi w:val="0"/>
              <w:spacing w:before="1" w:after="1"/>
              <w:ind w:left="0" w:right="0" w:hanging="0"/>
              <w:jc w:val="left"/>
              <w:rPr/>
            </w:pPr>
            <w:r>
              <w:rPr/>
              <w:t>​</w:t>
            </w:r>
          </w:p>
        </w:tc>
        <w:tc>
          <w:tcPr>
            <w:tcW w:w="31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127" w:type="dxa"/>
            <w:tcBorders/>
            <w:shd w:fill="CCEEFF" w:val="clear"/>
            <w:vAlign w:val="center"/>
          </w:tcPr>
          <w:p>
            <w:pPr>
              <w:pStyle w:val="TableContents"/>
              <w:bidi w:val="0"/>
              <w:spacing w:before="1" w:after="1"/>
              <w:ind w:left="0" w:right="0" w:hanging="0"/>
              <w:jc w:val="left"/>
              <w:rPr/>
            </w:pPr>
            <w:r>
              <w:rPr/>
              <w:t>​</w:t>
            </w:r>
          </w:p>
        </w:tc>
        <w:tc>
          <w:tcPr>
            <w:tcW w:w="40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40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26" w:type="dxa"/>
            <w:tcBorders/>
            <w:vAlign w:val="center"/>
          </w:tcPr>
          <w:p>
            <w:pPr>
              <w:pStyle w:val="TableContents"/>
              <w:bidi w:val="0"/>
              <w:spacing w:before="1" w:after="1"/>
              <w:ind w:left="0" w:right="0" w:hanging="0"/>
              <w:jc w:val="left"/>
              <w:rPr/>
            </w:pPr>
            <w:r>
              <w:rPr/>
              <w:t>​</w:t>
            </w:r>
          </w:p>
        </w:tc>
        <w:tc>
          <w:tcPr>
            <w:tcW w:w="2311" w:type="dxa"/>
            <w:tcBorders/>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326" w:type="dxa"/>
            <w:tcBorders/>
            <w:vAlign w:val="center"/>
          </w:tcPr>
          <w:p>
            <w:pPr>
              <w:pStyle w:val="TableContents"/>
              <w:bidi w:val="0"/>
              <w:spacing w:before="1" w:after="1"/>
              <w:ind w:left="0" w:right="0" w:hanging="0"/>
              <w:jc w:val="left"/>
              <w:rPr/>
            </w:pPr>
            <w:r>
              <w:rPr/>
              <w:t>​</w:t>
            </w:r>
          </w:p>
        </w:tc>
        <w:tc>
          <w:tcPr>
            <w:tcW w:w="315" w:type="dxa"/>
            <w:tcBorders/>
            <w:vAlign w:val="center"/>
          </w:tcPr>
          <w:p>
            <w:pPr>
              <w:pStyle w:val="TableContents"/>
              <w:bidi w:val="0"/>
              <w:spacing w:before="1" w:after="1"/>
              <w:ind w:left="0" w:right="0" w:hanging="0"/>
              <w:jc w:val="left"/>
              <w:rPr/>
            </w:pPr>
            <w:r>
              <w:rPr/>
              <w:t>​</w:t>
            </w:r>
          </w:p>
        </w:tc>
        <w:tc>
          <w:tcPr>
            <w:tcW w:w="81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127" w:type="dxa"/>
            <w:tcBorders/>
            <w:vAlign w:val="center"/>
          </w:tcPr>
          <w:p>
            <w:pPr>
              <w:pStyle w:val="TableContents"/>
              <w:bidi w:val="0"/>
              <w:spacing w:before="1" w:after="1"/>
              <w:ind w:left="0" w:right="0" w:hanging="0"/>
              <w:jc w:val="left"/>
              <w:rPr/>
            </w:pPr>
            <w:r>
              <w:rPr/>
              <w:t>​</w:t>
            </w:r>
          </w:p>
        </w:tc>
        <w:tc>
          <w:tcPr>
            <w:tcW w:w="408" w:type="dxa"/>
            <w:tcBorders/>
            <w:vAlign w:val="center"/>
          </w:tcPr>
          <w:p>
            <w:pPr>
              <w:pStyle w:val="TableContents"/>
              <w:bidi w:val="0"/>
              <w:spacing w:before="1" w:after="1"/>
              <w:ind w:left="0" w:right="0" w:hanging="0"/>
              <w:jc w:val="left"/>
              <w:rPr/>
            </w:pPr>
            <w:r>
              <w:rPr/>
              <w:t>​</w:t>
            </w:r>
          </w:p>
        </w:tc>
        <w:tc>
          <w:tcPr>
            <w:tcW w:w="113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(887)</w:t>
            </w:r>
          </w:p>
        </w:tc>
      </w:tr>
    </w:tbl>
    <w:p>
      <w:pPr>
        <w:pStyle w:val="TextBody"/>
        <w:shd w:fill="FFFFFF" w:val="clear"/>
        <w:bidi w:val="0"/>
        <w:spacing w:before="0" w:after="0"/>
        <w:ind w:left="0" w:right="0" w:hanging="0"/>
        <w:jc w:val="left"/>
        <w:rPr/>
      </w:pPr>
      <w:r>
        <w:rPr/>
        <w:t> </w:t>
      </w:r>
    </w:p>
    <w:p>
      <w:pPr>
        <w:pStyle w:val="TextBody"/>
        <w:shd w:fill="FFFFFF" w:val="clear"/>
        <w:bidi w:val="0"/>
        <w:spacing w:before="100" w:after="10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impact of the effective portions of derivative instruments in cash flow hedging relationships and fair value relationships on other comprehensive income (loss) were $0.1 million and $0.5 million for the three and six months ended June 28,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shd w:fill="FFFFFF" w:val="clear"/>
        <w:bidi w:val="0"/>
        <w:spacing w:before="0" w:after="240"/>
        <w:ind w:left="0" w:right="0" w:firstLine="720"/>
        <w:jc w:val="left"/>
        <w:rPr>
          <w:rFonts w:ascii="Times New Roman;Times;serif" w:hAnsi="Times New Roman;Times;serif"/>
          <w:sz w:val="20"/>
        </w:rPr>
      </w:pPr>
      <w:bookmarkStart w:id="844" w:name="Tc_umaU_N1NGES2eW2fje464w_14_5"/>
      <w:bookmarkStart w:id="845" w:name="Tc_hvTxYLlt-USJxnov8I-c8A_14_2"/>
      <w:bookmarkStart w:id="846" w:name="Tc_KCm_1S6GJ02uvb_ceXYvcQ_14_0"/>
      <w:bookmarkStart w:id="847" w:name="Tc_fPszgMK3CU2_L-08fgB3RQ_13_0"/>
      <w:bookmarkStart w:id="848" w:name="Tc_i0F9NH4EIUq-2eplhf1Fhg_12_0"/>
      <w:bookmarkStart w:id="849" w:name="Tc_Ggp1pzP__kCEPD83iRdU5A_11_6"/>
      <w:bookmarkStart w:id="850" w:name="Tc_K-MYe827h0C0pqYm3WlaZw_11_3"/>
      <w:bookmarkStart w:id="851" w:name="Tc_MOVJM-oNukGP-QQHtJVVOA_11_0"/>
      <w:bookmarkStart w:id="852" w:name="Tc_xx7h9GWLkUe9VopysfuTGg_10_0"/>
      <w:bookmarkStart w:id="853" w:name="Tc_kDWRwvNFtUOGuMt7n3hXOw_9_5"/>
      <w:bookmarkStart w:id="854" w:name="Tc_qbnWFTxWaUObt0mDRh54gQ_9_2"/>
      <w:bookmarkStart w:id="855" w:name="Tc_hoR-tv5z7kqKMQZGjGuTWQ_9_0"/>
      <w:bookmarkStart w:id="856" w:name="Tc_O3aussuWh0KdbH4dSBQtTA_8_0"/>
      <w:bookmarkStart w:id="857" w:name="Tc_zSS4IC3lEUGBSVu4oFADcw_7_0"/>
      <w:bookmarkStart w:id="858" w:name="Tc_dJL0WxbplkGOywtbw_aCng_6_6"/>
      <w:bookmarkStart w:id="859" w:name="Tc_7S8rt3qjtEiIKSiZfE1ayQ_6_3"/>
      <w:bookmarkStart w:id="860" w:name="Tc_LcB00B-lf0a9o65b3R0HGA_6_0"/>
      <w:bookmarkStart w:id="861" w:name="Tc_Wn9mECiZJkOT4uYCf3bgaA_5_0"/>
      <w:bookmarkStart w:id="862" w:name="Tc_8PSyzRpC20KBBtcSFK9MoQ_4_5"/>
      <w:bookmarkStart w:id="863" w:name="Tc_kxW-piJYnk-zhy_J7fJgAw_4_2"/>
      <w:bookmarkStart w:id="864" w:name="Tc_MHnpMJ1ktEWBH9oI6QcvZw_4_0"/>
      <w:bookmarkStart w:id="865" w:name="Tc_CfG6BY1hzECBfZ_qA5u_dg_3_2"/>
      <w:bookmarkStart w:id="866" w:name="Tc_3pFFrt2gH0qY0PzWDnbweA_2_5"/>
      <w:bookmarkStart w:id="867" w:name="Tc_JnWmwkgHtEK3hPpo3gCUPw_2_2"/>
      <w:bookmarkStart w:id="868" w:name="Tc_tNEzUDUF9UeE1VCOlMVU7w_1_5"/>
      <w:bookmarkStart w:id="869" w:name="Tc_Ttkbgwg2wUShbk7cfCPWsw_1_2"/>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sz w:val="20"/>
        </w:rPr>
        <w:t>The accumulated balances and reporting period activities for the periods below related to reclassifications out of accumulated other comprehensive income (loss) are summarized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41"/>
        <w:gridCol w:w="326"/>
        <w:gridCol w:w="538"/>
        <w:gridCol w:w="1233"/>
        <w:gridCol w:w="326"/>
        <w:gridCol w:w="640"/>
        <w:gridCol w:w="1601"/>
      </w:tblGrid>
      <w:tr>
        <w:trPr/>
        <w:tc>
          <w:tcPr>
            <w:tcW w:w="5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left"/>
              <w:rPr/>
            </w:pPr>
            <w:r>
              <w:rPr/>
              <w:t>​</w:t>
            </w:r>
          </w:p>
        </w:tc>
        <w:tc>
          <w:tcPr>
            <w:tcW w:w="1601" w:type="dxa"/>
            <w:tcBorders/>
            <w:vAlign w:val="center"/>
          </w:tcPr>
          <w:p>
            <w:pPr>
              <w:pStyle w:val="TableContents"/>
              <w:bidi w:val="0"/>
              <w:spacing w:before="0" w:after="0"/>
              <w:ind w:left="0" w:right="0" w:hanging="0"/>
              <w:jc w:val="left"/>
              <w:rPr/>
            </w:pPr>
            <w:r>
              <w:rPr/>
              <w:t>​</w:t>
            </w:r>
          </w:p>
        </w:tc>
      </w:tr>
      <w:tr>
        <w:trPr/>
        <w:tc>
          <w:tcPr>
            <w:tcW w:w="5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26" w:type="dxa"/>
            <w:tcBorders/>
            <w:vAlign w:val="center"/>
          </w:tcPr>
          <w:p>
            <w:pPr>
              <w:pStyle w:val="TableContents"/>
              <w:bidi w:val="0"/>
              <w:spacing w:before="0" w:after="0"/>
              <w:ind w:left="0" w:right="0" w:hanging="0"/>
              <w:jc w:val="left"/>
              <w:rPr/>
            </w:pPr>
            <w:r>
              <w:rPr/>
              <w:t>​</w:t>
            </w:r>
          </w:p>
        </w:tc>
        <w:tc>
          <w:tcPr>
            <w:tcW w:w="22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5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Instruments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Income (Loss)</w:t>
            </w:r>
          </w:p>
        </w:tc>
      </w:tr>
      <w:tr>
        <w:trPr/>
        <w:tc>
          <w:tcPr>
            <w:tcW w:w="5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8"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December 29, 2023</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2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left"/>
              <w:rPr/>
            </w:pPr>
            <w:r>
              <w:rPr/>
              <w:t>​</w:t>
            </w:r>
          </w:p>
        </w:tc>
        <w:tc>
          <w:tcPr>
            <w:tcW w:w="1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549 </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pPr>
            <w:r>
              <w:rPr/>
              <w:t>​</w:t>
            </w:r>
          </w:p>
        </w:tc>
        <w:tc>
          <w:tcPr>
            <w:tcW w:w="1601" w:type="dxa"/>
            <w:tcBorders/>
            <w:shd w:fill="CCEEFF" w:val="clear"/>
            <w:vAlign w:val="center"/>
          </w:tcPr>
          <w:p>
            <w:pPr>
              <w:pStyle w:val="TableContents"/>
              <w:bidi w:val="0"/>
              <w:spacing w:before="0" w:after="0"/>
              <w:ind w:left="0" w:right="0" w:hanging="0"/>
              <w:jc w:val="right"/>
              <w:rPr/>
            </w:pPr>
            <w:r>
              <w:rPr/>
              <w:t>—</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March 29, 2024</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6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pPr>
            <w:r>
              <w:rPr/>
              <w:t>​</w:t>
            </w:r>
          </w:p>
        </w:tc>
        <w:tc>
          <w:tcPr>
            <w:tcW w:w="1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127 </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left"/>
              <w:rPr/>
            </w:pPr>
            <w:r>
              <w:rPr/>
              <w:t>​</w:t>
            </w:r>
          </w:p>
        </w:tc>
        <w:tc>
          <w:tcPr>
            <w:tcW w:w="1601" w:type="dxa"/>
            <w:tcBorders/>
            <w:vAlign w:val="center"/>
          </w:tcPr>
          <w:p>
            <w:pPr>
              <w:pStyle w:val="TableContents"/>
              <w:bidi w:val="0"/>
              <w:spacing w:before="0" w:after="0"/>
              <w:ind w:left="0" w:right="0" w:hanging="0"/>
              <w:jc w:val="right"/>
              <w:rPr/>
            </w:pPr>
            <w:r>
              <w:rPr/>
              <w:t>—</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55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June 28, 2024</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870" w:name="Tc_DxWD7FmVAkqkwb7oQ343rA_11_5"/>
      <w:bookmarkStart w:id="871" w:name="Tc_WiEjvgI6pkmBoNdHbpzNXA_11_2"/>
      <w:bookmarkStart w:id="872" w:name="Tc_adZfrw2Hp0Sc-qcBwHD2GQ_11_0"/>
      <w:bookmarkStart w:id="873" w:name="Tc_AqSU89BeUUeaiXRE_Gey2w_10_0"/>
      <w:bookmarkStart w:id="874" w:name="Tc_b5-YjteUFEaSZIKB8PjP4A_9_0"/>
      <w:bookmarkStart w:id="875" w:name="Tc_uVIRj1vOmE2Hp-6Z0xjWMg_8_0"/>
      <w:bookmarkStart w:id="876" w:name="Tc_6yviWbxvIka4yhTLFKN3aQ_7_0"/>
      <w:bookmarkStart w:id="877" w:name="Tc_psqFRLqD0USwHE0q3_xL5A_6_0"/>
      <w:bookmarkStart w:id="878" w:name="Tc_Kd1YhHQzskuM6EKUGDPdIQ_5_6"/>
      <w:bookmarkStart w:id="879" w:name="Tc_hRmyzaSfVEi9utlpVoBkHQ_5_3"/>
      <w:bookmarkStart w:id="880" w:name="Tc_k_LZmm3CAUySPS5G5LqqmQ_5_0"/>
      <w:bookmarkStart w:id="881" w:name="Tc_MZe5JxCD5UuX-lBRhgyVuQ_4_5"/>
      <w:bookmarkStart w:id="882" w:name="Tc_bnIO_p2H4kOqFUXVwBTaXg_4_2"/>
      <w:bookmarkStart w:id="883" w:name="Tc_joUU70tPHkO_fLzzBUsaTA_4_0"/>
      <w:bookmarkStart w:id="884" w:name="Tc_U09LJ5qcBkq4m1aPpqGhZA_3_2"/>
      <w:bookmarkStart w:id="885" w:name="Tc_20_fUefTb0m6BHUZCiUuIw_2_5"/>
      <w:bookmarkStart w:id="886" w:name="Tc_PTG8cpiMVU6IiDO6SXvUgQ_2_2"/>
      <w:bookmarkStart w:id="887" w:name="Tc_wbGUHmiJQEa-71g5L259gg_1_5"/>
      <w:bookmarkStart w:id="888" w:name="Tc_NyEEn5_x40e8MvDJxKfSVg_1_2"/>
      <w:bookmarkStart w:id="889" w:name="_312434a6_89dd_444a_a51f_21c2cb80edd3"/>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rFonts w:ascii="Times New Roman;Times;serif" w:hAnsi="Times New Roman;Times;serif"/>
          <w:b/>
          <w:sz w:val="20"/>
        </w:rPr>
        <w:t>6. DEBT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Debt obligations, excluding obligations under finance leases (see Note 7, </w:t>
      </w:r>
      <w:r>
        <w:rPr>
          <w:rFonts w:ascii="Times New Roman;Times;serif" w:hAnsi="Times New Roman;Times;serif"/>
          <w:i/>
          <w:sz w:val="20"/>
        </w:rPr>
        <w:t>Leases,</w:t>
      </w:r>
      <w:r>
        <w:rPr>
          <w:rFonts w:ascii="Times New Roman;Times;serif" w:hAnsi="Times New Roman;Times;serif"/>
          <w:sz w:val="20"/>
        </w:rPr>
        <w:t xml:space="preserve"> below), consisted of the following:</w:t>
      </w:r>
    </w:p>
    <w:p>
      <w:pPr>
        <w:pStyle w:val="TextBody"/>
        <w:bidi w:val="0"/>
        <w:spacing w:before="0" w:after="0"/>
        <w:ind w:left="0" w:right="0" w:hanging="0"/>
        <w:jc w:val="left"/>
        <w:rPr/>
      </w:pPr>
      <w:r>
        <w:rPr/>
        <w:t>​</w:t>
      </w:r>
    </w:p>
    <w:tbl>
      <w:tblPr>
        <w:tblW w:w="7165" w:type="dxa"/>
        <w:jc w:val="left"/>
        <w:tblInd w:w="0" w:type="dxa"/>
        <w:tblLayout w:type="fixed"/>
        <w:tblCellMar>
          <w:top w:w="0" w:type="dxa"/>
          <w:left w:w="0" w:type="dxa"/>
          <w:bottom w:w="0" w:type="dxa"/>
          <w:right w:w="0" w:type="dxa"/>
        </w:tblCellMar>
      </w:tblPr>
      <w:tblGrid>
        <w:gridCol w:w="4486"/>
        <w:gridCol w:w="326"/>
        <w:gridCol w:w="211"/>
        <w:gridCol w:w="676"/>
        <w:gridCol w:w="326"/>
        <w:gridCol w:w="240"/>
        <w:gridCol w:w="900"/>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848610" cy="175260"/>
                      <wp:effectExtent l="0" t="0" r="0" b="0"/>
                      <wp:wrapNone/>
                      <wp:docPr id="117" name="Frame11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20"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2400" cy="175260"/>
                      <wp:effectExtent l="0" t="0" r="0" b="0"/>
                      <wp:wrapNone/>
                      <wp:docPr id="122" name="Frame12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1500" cy="175260"/>
                      <wp:effectExtent l="0" t="0" r="0" b="0"/>
                      <wp:wrapNone/>
                      <wp:docPr id="123" name="Frame12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98,125</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94,530</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98,452</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Subtotal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93,694</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97,431</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current portion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84,164</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88,979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credit agreement governing the Company’s Term Loan and Revolving Credit Facility require the Company to comply with certain financial obligations, including a maximum Net Leverage Ratio and a minimum Fixed Charge Coverage Ratio (as defined in the credit agreement governing the Term Loan and Revolving Credit Facility). The credit agreement also contains customary restrictive covenants. As of June 28, 2024, the Company was in compliance with all these covenants.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as of June 28, 2024, </w:t>
      </w:r>
      <w:r>
        <w:rPr>
          <w:rFonts w:ascii="Times New Roman;Times;serif" w:hAnsi="Times New Roman;Times;serif"/>
          <w:sz w:val="20"/>
          <w:shd w:fill="FFFFFF" w:val="clear"/>
        </w:rPr>
        <w:t>the Company’s composite interest rate, exclusive of the effects of upfront fees, undrawn fees and issuance cost amortization, was 7.7%.</w:t>
      </w:r>
    </w:p>
    <w:p>
      <w:pPr>
        <w:pStyle w:val="TextBody"/>
        <w:bidi w:val="0"/>
        <w:spacing w:before="100" w:after="100"/>
        <w:ind w:left="0" w:right="0" w:hanging="0"/>
        <w:jc w:val="left"/>
        <w:rPr/>
      </w:pPr>
      <w:r>
        <w:rPr/>
        <w:t>​</w:t>
      </w:r>
    </w:p>
    <w:p>
      <w:pPr>
        <w:pStyle w:val="TextBody"/>
        <w:bidi w:val="0"/>
        <w:spacing w:before="0" w:after="0"/>
        <w:ind w:left="0" w:right="0" w:firstLine="720"/>
        <w:jc w:val="left"/>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890" w:name="xxx"/>
      <w:bookmarkEnd w:id="890"/>
      <w:r>
        <w:rPr>
          <w:rFonts w:ascii="Times New Roman;Times;serif" w:hAnsi="Times New Roman;Times;serif"/>
          <w:b/>
          <w:sz w:val="20"/>
        </w:rPr>
        <w:t>7.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office facilities under long-term, non-cancellable operating leases that expire at various dates through 2029. In addition, the Company is obligated under finance leases for certain furniture and office equipment that expire at various dates through 2028.</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 xml:space="preserve">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eight years, some of which may include options to extend</w:t>
      </w:r>
      <w:r>
        <w:rPr>
          <w:rFonts w:ascii="Times New Roman;Times;serif" w:hAnsi="Times New Roman;Times;serif"/>
          <w:sz w:val="24"/>
        </w:rPr>
        <w:t xml:space="preserve"> </w:t>
      </w:r>
      <w:r>
        <w:rPr>
          <w:rFonts w:ascii="Times New Roman;Times;serif" w:hAnsi="Times New Roman;Times;serif"/>
          <w:sz w:val="20"/>
        </w:rPr>
        <w:t>the leases for up to five years, and some of which may include options to terminate</w:t>
      </w:r>
      <w:r>
        <w:rPr>
          <w:rFonts w:ascii="Times New Roman;Times;serif" w:hAnsi="Times New Roman;Times;serif"/>
          <w:sz w:val="24"/>
        </w:rPr>
        <w:t xml:space="preserve"> </w:t>
      </w:r>
      <w:r>
        <w:rPr>
          <w:rFonts w:ascii="Times New Roman;Times;serif" w:hAnsi="Times New Roman;Times;serif"/>
          <w:sz w:val="20"/>
        </w:rPr>
        <w:t>the leases within one year. Currently, all of the Company’s leases contain fixed payment terms. The Company may decide to cancel or terminate a lease before the end of its term, in which case the Company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June 28, 2024, the Company had no</w:t>
      </w:r>
      <w:r>
        <w:rPr>
          <w:rFonts w:ascii="Times New Roman;Times;serif" w:hAnsi="Times New Roman;Times;serif"/>
          <w:sz w:val="24"/>
        </w:rPr>
        <w:t xml:space="preserve"> </w:t>
      </w:r>
      <w:r>
        <w:rPr>
          <w:rFonts w:ascii="Times New Roman;Times;serif" w:hAnsi="Times New Roman;Times;serif"/>
          <w:sz w:val="20"/>
        </w:rPr>
        <w:t>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Financing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Right-of-use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w:t>
      </w:r>
    </w:p>
    <w:p>
      <w:pPr>
        <w:pStyle w:val="TextBody"/>
        <w:bidi w:val="0"/>
        <w:spacing w:before="100" w:after="10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891" w:name="Tc_sfZfTiraXkOHojMLc9qmKw_26_7"/>
      <w:bookmarkStart w:id="892" w:name="Tc_rAdNI62OIEGGvqA3cU3vRA_26_4"/>
      <w:bookmarkStart w:id="893" w:name="Tc_qr1qM_EmaECs2ul1ZEAEJw_26_0"/>
      <w:bookmarkStart w:id="894" w:name="Tc_PbomjuJ3EUaW1kgCy7SZcw_25_7"/>
      <w:bookmarkStart w:id="895" w:name="Tc_8cw1x0M3qkmZajqv_HTI5w_25_4"/>
      <w:bookmarkStart w:id="896" w:name="Tc_LolGomM2SkSQqwl8dOn4tA_25_0"/>
      <w:bookmarkStart w:id="897" w:name="Tc_CPsXU36UZkWV2lJCEmgWgw_24_0"/>
      <w:bookmarkStart w:id="898" w:name="Tc_YsPfGlUNDUK5Yqz4QM4LNg_22_0"/>
      <w:bookmarkStart w:id="899" w:name="Tc_RJDozujJmEqvETtA9jaKsw_21_0"/>
      <w:bookmarkStart w:id="900" w:name="Tc_PMeAu3xb7Uqk2jrcU77ZeQ_20_0"/>
      <w:bookmarkStart w:id="901" w:name="Tc_vFlmTbjXzk2vxjlaZc21ag_18_5"/>
      <w:bookmarkStart w:id="902" w:name="Tc_VzISK6gSXUuQDEKxzLSQxg_18_2"/>
      <w:bookmarkStart w:id="903" w:name="Tc_4JIFYa0OpUan9Pp6VUja6g_18_0"/>
      <w:bookmarkStart w:id="904" w:name="Tc_GZSn3KR5SUSLtUz3v5gKng_17_0"/>
      <w:bookmarkStart w:id="905" w:name="Tc_OMkClLjjR0u6ih1n2r1iDg_16_5"/>
      <w:bookmarkStart w:id="906" w:name="Tc_4lltE6QniUC2moQT8x9r8g_16_2"/>
      <w:bookmarkStart w:id="907" w:name="Tc__TIMnPGsi0ST0LzxduHZcg_16_0"/>
      <w:bookmarkStart w:id="908" w:name="Tc__8cQg5q7vkGxp9jeZaI5Jw_14_5"/>
      <w:bookmarkStart w:id="909" w:name="Tc_GT3ApLpWl0W4G0CqohR_YQ_14_2"/>
      <w:bookmarkStart w:id="910" w:name="Tc_qiCSNx4zfEyKnkNknY1jKw_13_0"/>
      <w:bookmarkStart w:id="911" w:name="Tc_NC7cNoFzNkWxiiws_D1e0Q_12_5"/>
      <w:bookmarkStart w:id="912" w:name="Tc_sd2VE4txukus6kkJV56CYQ_12_2"/>
      <w:bookmarkStart w:id="913" w:name="Tc_HgWTPWmPKkuy9dbqXGhYvQ_12_0"/>
      <w:bookmarkStart w:id="914" w:name="Tc_CbqUNsKK-U2T-0OmopZ68w_11_0"/>
      <w:bookmarkStart w:id="915" w:name="Tc_4BRgvGZRZUCVKNutTyOeeA_9_5"/>
      <w:bookmarkStart w:id="916" w:name="Tc_sujDyVWVVUiq0RhQkyHq1g_9_2"/>
      <w:bookmarkStart w:id="917" w:name="Tc_BG2EdpydVUG2CRnUlIweqA_9_0"/>
      <w:bookmarkStart w:id="918" w:name="Tc_E9ZbvlVJZU2TRjrOX8TkLQ_8_0"/>
      <w:bookmarkStart w:id="919" w:name="Tc_f5Bw27dnXE2B_yulrARauw_7_5"/>
      <w:bookmarkStart w:id="920" w:name="Tc_hDC-uPbKmk-QK5NJqmg7ZA_7_2"/>
      <w:bookmarkStart w:id="921" w:name="Tc_Fx8vwjqJbU27Bs8mkX4BMA_7_0"/>
      <w:bookmarkStart w:id="922" w:name="Tc_9aLthCL2lE6HBlsZ9ODdTw_5_5"/>
      <w:bookmarkStart w:id="923" w:name="Tc_oVFi_Xha00C1FzvWMAtn7A_5_2"/>
      <w:bookmarkStart w:id="924" w:name="Tc_6D-AHhH0PUqagJip_93p7g_5_0"/>
      <w:bookmarkStart w:id="925" w:name="Tc_GWDbpZy7tkakvu4ACtugmA_4_0"/>
      <w:bookmarkStart w:id="926" w:name="Tc_eyF8xVHapE2R27f74b0DGg_3_2"/>
      <w:bookmarkStart w:id="927" w:name="Tc_8I4_X5Id00KQfJdTh0q3hg_2_5"/>
      <w:bookmarkStart w:id="928" w:name="Tc_cPl1oYYuAki8xVZV-SBBlQ_2_2"/>
      <w:bookmarkStart w:id="929" w:name="Tc_XZgOBBW_vkK6pui7hsIELA_1_5"/>
      <w:bookmarkStart w:id="930" w:name="Tc_TVgIwMzGZEmEqZrvNxxfew_1_2"/>
      <w:bookmarkStart w:id="931" w:name="_5c1f5a99_fb42_44fe_9155_061cb791ebd0"/>
      <w:bookmarkStart w:id="932" w:name="Tc_t4MPKQjBZEeF51smv_dLpA_10_10"/>
      <w:bookmarkStart w:id="933" w:name="Tc_alFtarOHOEWRKwCKWyeknA_10_7"/>
      <w:bookmarkStart w:id="934" w:name="Tc_EkLnKIVwN0yHD_zhQfXhfw_10_4"/>
      <w:bookmarkStart w:id="935" w:name="Tc_rBq5lfIzlUWn3UEivgTfDw_10_1"/>
      <w:bookmarkStart w:id="936" w:name="Tc_TPP8fKSXJkORdkoYqShBhg_10_0"/>
      <w:bookmarkStart w:id="937" w:name="Tc_vH2JRkh3AUGSC2slSSR9PA_9_0"/>
      <w:bookmarkStart w:id="938" w:name="Tc_VCoElsKIdke0KxYqsVgxPw_8_0"/>
      <w:bookmarkStart w:id="939" w:name="Tc_fpAZk0pQSUCP0kOW2qyR9A_7_0"/>
      <w:bookmarkStart w:id="940" w:name="Tc_bt8o8j_o-kGzXIJexVnKnw_6_11"/>
      <w:bookmarkStart w:id="941" w:name="Tc_b_a2FiSDgUiU-Cax5UxiRw_6_5"/>
      <w:bookmarkStart w:id="942" w:name="Tc_QRenrOHhWkK9jGcyh2IF1g_6_0"/>
      <w:bookmarkStart w:id="943" w:name="Tc_BQ3YaOZelUimRxKYyARAAA_5_10"/>
      <w:bookmarkStart w:id="944" w:name="Tc_dSiwOuQUoU-1quZKxfHPvg_5_7"/>
      <w:bookmarkStart w:id="945" w:name="Tc_eTGACobpLkyE3_9iomGhag_5_4"/>
      <w:bookmarkStart w:id="946" w:name="Tc_fciNzLdVv066UnBXfgjppA_5_1"/>
      <w:bookmarkStart w:id="947" w:name="Tc_lxeqLupnvEO8KT6roAVqRw_5_0"/>
      <w:bookmarkStart w:id="948" w:name="Tc_pwlMUYt-I0iTSTWGeHpvGw_4_7"/>
      <w:bookmarkStart w:id="949" w:name="Tc_NACZrevb7UGumzRfiuYTug_4_1"/>
      <w:bookmarkStart w:id="950" w:name="Tc_N9FTfSQioEuJ9AfgVweGCQ_3_10"/>
      <w:bookmarkStart w:id="951" w:name="Tc_nHF-kprwME2GmhZG0pe3ug_3_7"/>
      <w:bookmarkStart w:id="952" w:name="Tc_2px2Ycnh5kObVJ-eyCr-zg_3_4"/>
      <w:bookmarkStart w:id="953" w:name="Tc_cHLKZlNKWEOlbyvqAR1Beg_3_1"/>
      <w:bookmarkStart w:id="954" w:name="Tc_LH9YyZUT60uJ9sC2GPfRqQ_2_10"/>
      <w:bookmarkStart w:id="955" w:name="Tc_yFuxWVRKIkGiY65Yeql55w_2_7"/>
      <w:bookmarkStart w:id="956" w:name="Tc_CyNcMSFtAkydZbJNwUdnhQ_2_4"/>
      <w:bookmarkStart w:id="957" w:name="Tc_fmzz-Icz-kqF3Cr04FQcvg_2_1"/>
      <w:bookmarkStart w:id="958" w:name="Tc_C40xT3NLQ0emsj9f6uuBHA_1_7"/>
      <w:bookmarkStart w:id="959" w:name="Tc_SpGiCNvt_EiOSKgQ6Tdx7A_1_1"/>
      <w:bookmarkStart w:id="960" w:name="_9ee4b882_7b2c_4a23_9a8c_86e8929a3c68"/>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Times New Roman;Times;serif" w:hAnsi="Times New Roman;Times;serif"/>
          <w:sz w:val="20"/>
        </w:rPr>
        <w:t>The following is a summary of the Company’s lease expense:</w:t>
      </w:r>
    </w:p>
    <w:p>
      <w:pPr>
        <w:pStyle w:val="TextBody"/>
        <w:bidi w:val="0"/>
        <w:spacing w:before="0" w:after="0"/>
        <w:ind w:left="0" w:right="0" w:firstLine="720"/>
        <w:jc w:val="left"/>
        <w:rPr/>
      </w:pPr>
      <w:r>
        <w:rPr/>
        <w:t>​</w:t>
      </w:r>
    </w:p>
    <w:tbl>
      <w:tblPr>
        <w:tblW w:w="6472" w:type="dxa"/>
        <w:jc w:val="left"/>
        <w:tblInd w:w="0" w:type="dxa"/>
        <w:tblLayout w:type="fixed"/>
        <w:tblCellMar>
          <w:top w:w="0" w:type="dxa"/>
          <w:left w:w="0" w:type="dxa"/>
          <w:bottom w:w="0" w:type="dxa"/>
          <w:right w:w="0" w:type="dxa"/>
        </w:tblCellMar>
      </w:tblPr>
      <w:tblGrid>
        <w:gridCol w:w="2251"/>
        <w:gridCol w:w="211"/>
        <w:gridCol w:w="571"/>
        <w:gridCol w:w="326"/>
        <w:gridCol w:w="211"/>
        <w:gridCol w:w="571"/>
        <w:gridCol w:w="326"/>
        <w:gridCol w:w="211"/>
        <w:gridCol w:w="571"/>
        <w:gridCol w:w="326"/>
        <w:gridCol w:w="211"/>
        <w:gridCol w:w="68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29385" cy="175260"/>
                      <wp:effectExtent l="0" t="0" r="0" b="0"/>
                      <wp:wrapNone/>
                      <wp:docPr id="124" name="Frame124"/>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2585" cy="175260"/>
                      <wp:effectExtent l="0" t="0" r="0" b="0"/>
                      <wp:wrapNone/>
                      <wp:docPr id="126" name="Frame1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62585" cy="175260"/>
                      <wp:effectExtent l="0" t="0" r="0" b="0"/>
                      <wp:wrapNone/>
                      <wp:docPr id="129" name="Frame1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2585" cy="175260"/>
                      <wp:effectExtent l="0" t="0" r="0" b="0"/>
                      <wp:wrapNone/>
                      <wp:docPr id="132" name="Frame1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35610" cy="175260"/>
                      <wp:effectExtent l="0" t="0" r="0" b="0"/>
                      <wp:wrapNone/>
                      <wp:docPr id="135" name="Frame13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0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251"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25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51"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200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3,157</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assets</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lease cost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lease information presented on the Company’s consolidated balance sheet:</w:t>
      </w:r>
    </w:p>
    <w:p>
      <w:pPr>
        <w:pStyle w:val="TextBody"/>
        <w:bidi w:val="0"/>
        <w:spacing w:before="0" w:after="0"/>
        <w:ind w:left="0" w:right="0" w:firstLine="720"/>
        <w:jc w:val="left"/>
        <w:rPr/>
      </w:pPr>
      <w:r>
        <w:rPr/>
        <w:t>​</w:t>
      </w:r>
    </w:p>
    <w:tbl>
      <w:tblPr>
        <w:tblW w:w="8824" w:type="dxa"/>
        <w:jc w:val="left"/>
        <w:tblInd w:w="0" w:type="dxa"/>
        <w:tblLayout w:type="fixed"/>
        <w:tblCellMar>
          <w:top w:w="0" w:type="dxa"/>
          <w:left w:w="0" w:type="dxa"/>
          <w:bottom w:w="0" w:type="dxa"/>
          <w:right w:w="0" w:type="dxa"/>
        </w:tblCellMar>
      </w:tblPr>
      <w:tblGrid>
        <w:gridCol w:w="6076"/>
        <w:gridCol w:w="109"/>
        <w:gridCol w:w="211"/>
        <w:gridCol w:w="691"/>
        <w:gridCol w:w="326"/>
        <w:gridCol w:w="256"/>
        <w:gridCol w:w="839"/>
        <w:gridCol w:w="316"/>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858260" cy="175260"/>
                      <wp:effectExtent l="0" t="0" r="0" b="0"/>
                      <wp:wrapNone/>
                      <wp:docPr id="136" name="Frame136"/>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8785" cy="175260"/>
                      <wp:effectExtent l="0" t="0" r="0" b="0"/>
                      <wp:wrapNone/>
                      <wp:docPr id="139" name="Frame1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2560" cy="175260"/>
                      <wp:effectExtent l="0" t="0" r="0" b="0"/>
                      <wp:wrapNone/>
                      <wp:docPr id="141" name="Frame14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32765" cy="175260"/>
                      <wp:effectExtent l="0" t="0" r="0" b="0"/>
                      <wp:wrapNone/>
                      <wp:docPr id="142" name="Frame14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0660" cy="175260"/>
                      <wp:effectExtent l="0" t="0" r="0" b="0"/>
                      <wp:wrapNone/>
                      <wp:docPr id="143" name="Frame1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15,338</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12,465</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11,604</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9,758</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17,119</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14,295</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 (included in equipment and leasehold improvements,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6,494</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(4,358)</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(3,837)</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 less current portion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Rent expense was $1.8 million and $3.5 million for the three and six months ended June 28, 2024, respectively, as compared to $1.8 million and $3.4 million for the three and six months ended June 30, 2023,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961" w:name="Tc_uPU6FI-_WESa0u5WvRgH9w_14_5"/>
      <w:bookmarkStart w:id="962" w:name="Tc_TnOScMnOs0SvivfU_OBhSQ_14_2"/>
      <w:bookmarkStart w:id="963" w:name="Tc_0Ry2R8xSSUm2C2-pgC1rjg_14_0"/>
      <w:bookmarkStart w:id="964" w:name="Tc_dsQFiTnKqUKQxXPmFkhIIA_13_0"/>
      <w:bookmarkStart w:id="965" w:name="Tc_vhMqzpuan0eQAOhcLSfX3w_12_0"/>
      <w:bookmarkStart w:id="966" w:name="Tc_ptX0M5o6Dk-fLKU5LehUnA_11_0"/>
      <w:bookmarkStart w:id="967" w:name="Tc_5uU6f6wYpEW2OhsLlzpM5w_10_0"/>
      <w:bookmarkStart w:id="968" w:name="Tc_LdK2kPxp002FN_HVG-Ox-g_9_0"/>
      <w:bookmarkStart w:id="969" w:name="Tc_s98ZTgATHEC1z659tKXXIA_8_0"/>
      <w:bookmarkStart w:id="970" w:name="Tc_LuRIOZWYQUKVVs4y3l5opQ_7_0"/>
      <w:bookmarkStart w:id="971" w:name="Tc_nXjzq2tcxEW2c18__C2mXA_6_0"/>
      <w:bookmarkStart w:id="972" w:name="Tc_Q6uNQvuBDEWeXv0JClNAwg_5_0"/>
      <w:bookmarkStart w:id="973" w:name="Tc_BZSTcNWdxk28kxnvA2E4Fg_4_5"/>
      <w:bookmarkStart w:id="974" w:name="Tc_3OsbjHU4XEacTt9AcL8mQw_4_2"/>
      <w:bookmarkStart w:id="975" w:name="Tc_j7FeBcO5iUWyNcyHKa5ldg_4_0"/>
      <w:bookmarkStart w:id="976" w:name="Tc_KLT4G_D9F0ymn5ZbtARtEg_3_0"/>
      <w:bookmarkStart w:id="977" w:name="Tc_quOy_Vp-rEaBc-J3PLS1oA_2_2"/>
      <w:bookmarkStart w:id="978" w:name="Tc_u3gs4JImwUeZgWSLUIRyXw_1_5"/>
      <w:bookmarkStart w:id="979" w:name="Tc_7xp-odhTo069IZtUknkqMQ_1_2"/>
      <w:bookmarkStart w:id="980" w:name="_1e3a943f_a13e_4b2f_85fa_69288b81f6cd"/>
      <w:bookmarkStart w:id="981" w:name="Tc_LKTIxDkK-kac9eNy-Rk4hQ_11_5"/>
      <w:bookmarkStart w:id="982" w:name="Tc_6AKH91-K9EmbYI5PnP_p7g_11_2"/>
      <w:bookmarkStart w:id="983" w:name="Tc_ju9RWYKF3UqPx1Tv1jnrmQ_11_0"/>
      <w:bookmarkStart w:id="984" w:name="Tc_wq_2UwRVbkeK3eYRaVN5Fg_10_0"/>
      <w:bookmarkStart w:id="985" w:name="Tc_7bpB-PIztUu1wwASITm-Wg_8_0"/>
      <w:bookmarkStart w:id="986" w:name="Tc_OPb2C7oZZEuPW3GBcYKTSA_7_0"/>
      <w:bookmarkStart w:id="987" w:name="Tc_NziOtTGiwE65GD3Srn1bRw_6_5"/>
      <w:bookmarkStart w:id="988" w:name="Tc_vU0zfD6bs0eSd7thkqhviQ_6_2"/>
      <w:bookmarkStart w:id="989" w:name="Tc_IyHdXUzyGEOuysvbEyu96A_6_0"/>
      <w:bookmarkStart w:id="990" w:name="Tc_1L0TLCp_QkCNE3cyQPxMaA_5_0"/>
      <w:bookmarkStart w:id="991" w:name="Tc_LFHAEAnxyk2LiGbGdDDVgw_4_2"/>
      <w:bookmarkStart w:id="992" w:name="Tc_sh4CRdw4KkSdX1xb1cevIA_3_5"/>
      <w:bookmarkStart w:id="993" w:name="Tc_WEcsiHVn20yiLWF_0YnqBA_3_2"/>
      <w:bookmarkStart w:id="994" w:name="Tc_YSJls_TjkUeBK2ZmQ5sOoQ_2_5"/>
      <w:bookmarkStart w:id="995" w:name="Tc_D46TmPHlJESoA5io7iMCFQ_2_2"/>
      <w:bookmarkStart w:id="996" w:name="Tc_9el6MhBk4k-VyxaZ_xJ6xA_1_2"/>
      <w:bookmarkStart w:id="997" w:name="_49b25e5b_8c25_4169_902e_110e24caa58e"/>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r>
        <w:rPr>
          <w:rFonts w:ascii="Times New Roman;Times;serif" w:hAnsi="Times New Roman;Times;serif"/>
          <w:sz w:val="20"/>
        </w:rPr>
        <w:t xml:space="preserve">The following is a summary of other information and supplemental cash flow information related to finance and operating leases: </w:t>
      </w:r>
    </w:p>
    <w:p>
      <w:pPr>
        <w:pStyle w:val="TextBody"/>
        <w:bidi w:val="0"/>
        <w:spacing w:before="0" w:after="0"/>
        <w:ind w:left="0" w:right="0" w:hanging="0"/>
        <w:jc w:val="left"/>
        <w:rPr/>
      </w:pPr>
      <w:r>
        <w:rPr/>
        <w:t>​</w:t>
      </w:r>
    </w:p>
    <w:tbl>
      <w:tblPr>
        <w:tblW w:w="7980" w:type="dxa"/>
        <w:jc w:val="left"/>
        <w:tblInd w:w="0" w:type="dxa"/>
        <w:tblLayout w:type="fixed"/>
        <w:tblCellMar>
          <w:top w:w="0" w:type="dxa"/>
          <w:left w:w="0" w:type="dxa"/>
          <w:bottom w:w="0" w:type="dxa"/>
          <w:right w:w="0" w:type="dxa"/>
        </w:tblCellMar>
      </w:tblPr>
      <w:tblGrid>
        <w:gridCol w:w="5866"/>
        <w:gridCol w:w="109"/>
        <w:gridCol w:w="211"/>
        <w:gridCol w:w="571"/>
        <w:gridCol w:w="326"/>
        <w:gridCol w:w="211"/>
        <w:gridCol w:w="68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724910" cy="175260"/>
                      <wp:effectExtent l="0" t="0" r="0" b="0"/>
                      <wp:wrapNone/>
                      <wp:docPr id="144" name="Frame144"/>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260"/>
                      <wp:effectExtent l="0" t="0" r="0" b="0"/>
                      <wp:wrapNone/>
                      <wp:docPr id="147" name="Frame1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35610" cy="175260"/>
                      <wp:effectExtent l="0" t="0" r="0" b="0"/>
                      <wp:wrapNone/>
                      <wp:docPr id="150" name="Frame15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 from finance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4,264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the maturities of lease liabilities as of June 28, 2024:</w:t>
      </w:r>
    </w:p>
    <w:p>
      <w:pPr>
        <w:pStyle w:val="TextBody"/>
        <w:bidi w:val="0"/>
        <w:spacing w:before="100" w:after="100"/>
        <w:ind w:left="0" w:right="0" w:firstLine="720"/>
        <w:jc w:val="left"/>
        <w:rPr/>
      </w:pPr>
      <w:r>
        <w:rPr/>
        <w:t>​</w:t>
      </w:r>
    </w:p>
    <w:tbl>
      <w:tblPr>
        <w:tblW w:w="4988" w:type="dxa"/>
        <w:jc w:val="left"/>
        <w:tblInd w:w="0" w:type="dxa"/>
        <w:tblLayout w:type="fixed"/>
        <w:tblCellMar>
          <w:top w:w="0" w:type="dxa"/>
          <w:left w:w="0" w:type="dxa"/>
          <w:bottom w:w="0" w:type="dxa"/>
          <w:right w:w="0" w:type="dxa"/>
        </w:tblCellMar>
      </w:tblPr>
      <w:tblGrid>
        <w:gridCol w:w="2461"/>
        <w:gridCol w:w="326"/>
        <w:gridCol w:w="211"/>
        <w:gridCol w:w="691"/>
        <w:gridCol w:w="326"/>
        <w:gridCol w:w="211"/>
        <w:gridCol w:w="571"/>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62735" cy="175895"/>
                      <wp:effectExtent l="0" t="0" r="0" b="0"/>
                      <wp:wrapNone/>
                      <wp:docPr id="151" name="Frame151"/>
                      <a:graphic xmlns:a="http://schemas.openxmlformats.org/drawingml/2006/main">
                        <a:graphicData uri="http://schemas.microsoft.com/office/word/2010/wordprocessingShape">
                          <wps:wsp>
                            <wps:cNvSpPr txBox="1"/>
                            <wps:spPr>
                              <a:xfrm>
                                <a:off x="0" y="0"/>
                                <a:ext cx="1562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895"/>
                      <wp:effectExtent l="0" t="0" r="0" b="0"/>
                      <wp:wrapNone/>
                      <wp:docPr id="152" name="Frame15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895"/>
                      <wp:effectExtent l="0" t="0" r="0" b="0"/>
                      <wp:wrapNone/>
                      <wp:docPr id="153" name="Frame15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8785" cy="175895"/>
                      <wp:effectExtent l="0" t="0" r="0" b="0"/>
                      <wp:wrapNone/>
                      <wp:docPr id="154" name="Frame154"/>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895"/>
                      <wp:effectExtent l="0" t="0" r="0" b="0"/>
                      <wp:wrapNone/>
                      <wp:docPr id="155" name="Frame15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895"/>
                      <wp:effectExtent l="0" t="0" r="0" b="0"/>
                      <wp:wrapNone/>
                      <wp:docPr id="156" name="Frame15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62585" cy="175895"/>
                      <wp:effectExtent l="0" t="0" r="0" b="0"/>
                      <wp:wrapNone/>
                      <wp:docPr id="157" name="Frame157"/>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1285" cy="175895"/>
                      <wp:effectExtent l="0" t="0" r="0" b="0"/>
                      <wp:wrapNone/>
                      <wp:docPr id="158" name="Frame158"/>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91" w:type="dxa"/>
            <w:tcBorders/>
            <w:vAlign w:val="center"/>
          </w:tcPr>
          <w:p>
            <w:pPr>
              <w:pStyle w:val="TableContents"/>
              <w:bidi w:val="0"/>
              <w:spacing w:before="1" w:after="1"/>
              <w:ind w:left="0" w:right="0" w:hanging="0"/>
              <w:jc w:val="center"/>
              <w:rPr/>
            </w:pPr>
            <w:r>
              <w:rPr/>
              <w:t> </w:t>
            </w:r>
          </w:p>
        </w:tc>
      </w:tr>
      <w:tr>
        <w:trPr/>
        <w:tc>
          <w:tcPr>
            <w:tcW w:w="24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010"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1" w:after="1"/>
              <w:ind w:left="0" w:right="0" w:hanging="0"/>
              <w:jc w:val="center"/>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3,127</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6,175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4,982</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576</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2,568</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1,673</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19,275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2,388</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(2,156)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17,119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2,228</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Current obligations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5,515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1,096</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Noncurrent lease obligations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11,604</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1,132</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100" w:after="1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VARIABLE INTEREST ENTITIES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Employee Benefit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qualified profit sharing plan pursuant to Code Section 401(a) and </w:t>
      </w:r>
      <w:r>
        <w:rPr>
          <w:rFonts w:ascii="Times New Roman;Times;serif" w:hAnsi="Times New Roman;Times;serif"/>
          <w:b w:val="false"/>
          <w:i w:val="false"/>
          <w:caps w:val="false"/>
          <w:smallCaps w:val="false"/>
          <w:sz w:val="20"/>
        </w:rPr>
        <w:t>qualified</w:t>
      </w:r>
      <w:r>
        <w:rPr>
          <w:rFonts w:ascii="Times New Roman;Times;serif" w:hAnsi="Times New Roman;Times;serif"/>
          <w:sz w:val="20"/>
        </w:rPr>
        <w:t xml:space="preserve">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and subject to a maximum of $3,000 per employee. Under the Plan, the Company may make discretionary contributions to employee accounts.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28, 2024 and June 30, 2023, the Company made matching contributions of $1.7 million and </w:t>
      </w:r>
      <w:r>
        <w:rPr>
          <w:rFonts w:ascii="Times New Roman;Times;serif" w:hAnsi="Times New Roman;Times;serif"/>
          <w:sz w:val="20"/>
          <w:shd w:fill="FFFFFF" w:val="clear"/>
        </w:rPr>
        <w:t>$1.6 million, respectively.</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March 4, 2016, the Company and the Company’s wholly-owned subsidiary, WES, acquired substantially all of the assets of Genesys 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June 28, 2024, the Company had one VIE — Genesys.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998" w:name="Tc_4EtOtHcbW02WL0fTdGlsCA_35_0"/>
      <w:bookmarkStart w:id="999" w:name="Tc_gVMcEjl-IEC5B--voJK7uw_34_12"/>
      <w:bookmarkStart w:id="1000" w:name="Tc_eTLsU7Cgm0eedDE6TPL-9A_34_0"/>
      <w:bookmarkStart w:id="1001" w:name="Tc_0zuyZwN9_E-sWXMe54x05A_33_12"/>
      <w:bookmarkStart w:id="1002" w:name="Tc_4ofTOmKc0E6Hdvdb4l9XpA_33_0"/>
      <w:bookmarkStart w:id="1003" w:name="Tc_3OLZ41TId06TPUmsulclkQ_32_12"/>
      <w:bookmarkStart w:id="1004" w:name="Tc_dfNC231N60y81ATsufjUUg_32_0"/>
      <w:bookmarkStart w:id="1005" w:name="Tc_h0WNtisJSkWrk291LCFU9Q_31_12"/>
      <w:bookmarkStart w:id="1006" w:name="Tc_xF4zz_YHdEiNzi5zxaXRbQ_31_6"/>
      <w:bookmarkStart w:id="1007" w:name="Tc_NAfmXCkaVUeZ8EWUBsKruA_31_0"/>
      <w:bookmarkStart w:id="1008" w:name="Tc_-fhdD0k1zEm74AuUg5Aigw_30_12"/>
      <w:bookmarkStart w:id="1009" w:name="Tc_hSK95rgs90mS9TvdG4wUYg_30_9"/>
      <w:bookmarkStart w:id="1010" w:name="Tc_3bawnf2yrEq4RqB1dsqcXQ_30_0"/>
      <w:bookmarkStart w:id="1011" w:name="Tc_y0bL3ynVKEWfRrkBmJRKqw_29_14"/>
      <w:bookmarkStart w:id="1012" w:name="Tc_P2gzHtJrlUmxI4shAMGHRQ_29_12"/>
      <w:bookmarkStart w:id="1013" w:name="Tc_D_adzC81SU2Fhc8Ge-kPkQ_29_11"/>
      <w:bookmarkStart w:id="1014" w:name="Tc_kM3UAWiAHE65-PemRw8klA_29_9"/>
      <w:bookmarkStart w:id="1015" w:name="Tc_GV1cobL8lUe4suipnDOuXw_29_8"/>
      <w:bookmarkStart w:id="1016" w:name="Tc_mbroSQgzgEqSiGPHc9ck0Q_29_5"/>
      <w:bookmarkStart w:id="1017" w:name="Tc_OM35wne6AEGwHmo93aRiWA_29_2"/>
      <w:bookmarkStart w:id="1018" w:name="Tc_HbuHD6jesU6SEnDsIyVZUw_29_0"/>
      <w:bookmarkStart w:id="1019" w:name="Tc_8W-t6U8MpkaC-xAU9VM-Ag_28_0"/>
      <w:bookmarkStart w:id="1020" w:name="Tc_KjUbStM7I0WGSQeB536Lqw_27_0"/>
      <w:bookmarkStart w:id="1021" w:name="Tc_ijJPww3YRUisepFPO_vMRQ_26_12"/>
      <w:bookmarkStart w:id="1022" w:name="Tc_PIOwrt-Vv0-R5qeuTwEmfw_26_0"/>
      <w:bookmarkStart w:id="1023" w:name="Tc_8NeCzo-tzEeXsLBTnQ3ihw_25_12"/>
      <w:bookmarkStart w:id="1024" w:name="Tc__pkOP9Dj80ajhvolNT25tg_25_0"/>
      <w:bookmarkStart w:id="1025" w:name="Tc_VdBw5oVmL068lWUywn6fBA_24_12"/>
      <w:bookmarkStart w:id="1026" w:name="Tc__k-kes15GEKAVkagLsxtjA_24_0"/>
      <w:bookmarkStart w:id="1027" w:name="Tc_F2bP-EMfn0iIT0FaVW-aWw_23_12"/>
      <w:bookmarkStart w:id="1028" w:name="Tc_aUmOMm08fEGgHGMaxWD-tA_23_6"/>
      <w:bookmarkStart w:id="1029" w:name="Tc_06VB-_2tQUaZAddU1D5Xgw_23_0"/>
      <w:bookmarkStart w:id="1030" w:name="Tc__dvGyMLMxU6pUNcs0YHIKg_22_12"/>
      <w:bookmarkStart w:id="1031" w:name="Tc_uMO1pUz6sE2hlJ0xVD5rKA_22_9"/>
      <w:bookmarkStart w:id="1032" w:name="Tc_bS6QmMf64UKPWnkAua6etA_22_0"/>
      <w:bookmarkStart w:id="1033" w:name="Tc_SAfTHavMtk6xClPyqAy_-w_21_14"/>
      <w:bookmarkStart w:id="1034" w:name="Tc_iVcBVpn7WUymK84WIPyJNA_21_12"/>
      <w:bookmarkStart w:id="1035" w:name="Tc_MCerg2GbZkiWqJMLzQZDww_21_11"/>
      <w:bookmarkStart w:id="1036" w:name="Tc_Bj4lK8Q6vEiEYcIoUstcOQ_21_9"/>
      <w:bookmarkStart w:id="1037" w:name="Tc_CN79M_nS7kyNPEWwFgKGpQ_21_8"/>
      <w:bookmarkStart w:id="1038" w:name="Tc_CdNS9ff1LU62i4wjx2b1NA_21_5"/>
      <w:bookmarkStart w:id="1039" w:name="Tc_lBQWPNGnwU6KaJ0OhTRkdA_21_2"/>
      <w:bookmarkStart w:id="1040" w:name="Tc_B7yxZSNNH0aNXUAfzPhQWQ_21_0"/>
      <w:bookmarkStart w:id="1041" w:name="Tc_DScvcDXakUKizR0XdnD6lQ_20_0"/>
      <w:bookmarkStart w:id="1042" w:name="Tc_0icSAF4jb0SS6ueu_o9xVw_19_0"/>
      <w:bookmarkStart w:id="1043" w:name="Tc_XvnGRkofP0q7QBIhRhSI4Q_18_12"/>
      <w:bookmarkStart w:id="1044" w:name="Tc_YooRka0esEOKP3nhvn9zEQ_18_0"/>
      <w:bookmarkStart w:id="1045" w:name="Tc_m-d_MYUfckitBcZTV9tlwA_17_12"/>
      <w:bookmarkStart w:id="1046" w:name="Tc_bjJ1vOk8j0yNE0ZZmlqfKw_17_0"/>
      <w:bookmarkStart w:id="1047" w:name="Tc_s5Y4wuy3FkeaHSWbXTa5iQ_16_12"/>
      <w:bookmarkStart w:id="1048" w:name="Tc_BMSdufZ5ekSWVlYRA9wUsw_16_0"/>
      <w:bookmarkStart w:id="1049" w:name="Tc_2x1HZrC-FEipxfvgpqMBVg_15_12"/>
      <w:bookmarkStart w:id="1050" w:name="Tc_1lAuoTx2QE-hkQboe1-_4Q_15_6"/>
      <w:bookmarkStart w:id="1051" w:name="Tc_GCy3mn5mz0eCj6HQEJTWyQ_15_0"/>
      <w:bookmarkStart w:id="1052" w:name="Tc_DXMneXXo4UCe6fp83xcRHA_14_12"/>
      <w:bookmarkStart w:id="1053" w:name="Tc_BvdwvxPGSkevHETREOb_hQ_14_9"/>
      <w:bookmarkStart w:id="1054" w:name="Tc_g9x17IhU-kuU_m-w08Ppzg_14_0"/>
      <w:bookmarkStart w:id="1055" w:name="Tc_wGUfaxtdcEWoOlF_UEGluQ_13_14"/>
      <w:bookmarkStart w:id="1056" w:name="Tc_VQZhjHbC2ke1EdLELMhInw_13_12"/>
      <w:bookmarkStart w:id="1057" w:name="Tc_EmNzX_o1KEe9K-wA7ybJBA_13_11"/>
      <w:bookmarkStart w:id="1058" w:name="Tc_EKwoUZF5q0uVcAdhuoxTKA_13_9"/>
      <w:bookmarkStart w:id="1059" w:name="Tc_0Pp1L954-U6NT6Vb5WDYzg_13_8"/>
      <w:bookmarkStart w:id="1060" w:name="Tc_IV6bjHwecU2Dn36Vxwicvg_13_5"/>
      <w:bookmarkStart w:id="1061" w:name="Tc_BhOQ51N9c026dJmzk7i07Q_13_2"/>
      <w:bookmarkStart w:id="1062" w:name="Tc_2yQLwYPtMEudDA4fxeIUdw_13_0"/>
      <w:bookmarkStart w:id="1063" w:name="Tc_F1d6rOLuN02oJT2-ALLj4A_12_0"/>
      <w:bookmarkStart w:id="1064" w:name="Tc_3WJXlniT40KSfYUDRMKPaA_11_0"/>
      <w:bookmarkStart w:id="1065" w:name="Tc_F9Qrt9d_hkC3CU7w9K7RkA_10_12"/>
      <w:bookmarkStart w:id="1066" w:name="Tc_Idpv1rdQ9EikmKodZJqqeg_10_0"/>
      <w:bookmarkStart w:id="1067" w:name="Tc_4g0ZF7vkSEG1jEjLDdFdBw_9_12"/>
      <w:bookmarkStart w:id="1068" w:name="Tc_OHrcBVNGN0G_pmxVrnvWgA_9_0"/>
      <w:bookmarkStart w:id="1069" w:name="Tc_U71kmc35dk6Gr0X8fhhcBw_8_12"/>
      <w:bookmarkStart w:id="1070" w:name="Tc_22ls3zlubEGAqyL8UqVpww_8_0"/>
      <w:bookmarkStart w:id="1071" w:name="Tc_tjA5E2dx-kqry9wylryaZA_7_12"/>
      <w:bookmarkStart w:id="1072" w:name="Tc_GqtZBcJT5EihlSR3MdVjpA_7_6"/>
      <w:bookmarkStart w:id="1073" w:name="Tc_-Dviy77o50aBIpQ2wRVG4g_7_3"/>
      <w:bookmarkStart w:id="1074" w:name="Tc_jbpsK_cJu0CoTX-U0vbaFg_7_0"/>
      <w:bookmarkStart w:id="1075" w:name="Tc_axulHY8L2UmAk1x3FGg4Uw_6_12"/>
      <w:bookmarkStart w:id="1076" w:name="Tc_Gkg4Oip3wE2RuSYwy21s-Q_6_9"/>
      <w:bookmarkStart w:id="1077" w:name="Tc_pVA6z-yUbEisgqUit_SHHg_6_0"/>
      <w:bookmarkStart w:id="1078" w:name="Tc_tOopJQCe7UmWKrKvLkZ4og_5_14"/>
      <w:bookmarkStart w:id="1079" w:name="Tc_0qSKQUkYpkenr0oZADiUrQ_5_12"/>
      <w:bookmarkStart w:id="1080" w:name="Tc_mXnLEvMvAEaplpGhm5Jzxw_5_11"/>
      <w:bookmarkStart w:id="1081" w:name="Tc_88ytaWtfSUOF-srw0R1N9w_5_9"/>
      <w:bookmarkStart w:id="1082" w:name="Tc_axDSoBHj_EmP-fDCCGjayA_5_8"/>
      <w:bookmarkStart w:id="1083" w:name="Tc_2fFJchTCgk6fLJQBcwdK7A_5_5"/>
      <w:bookmarkStart w:id="1084" w:name="Tc_-YpoCqy_M0OfiOBiRopV7A_5_2"/>
      <w:bookmarkStart w:id="1085" w:name="Tc_Bkeon9-_d0-KugbDHUKHpA_5_0"/>
      <w:bookmarkStart w:id="1086" w:name="Tc_PCIdLQmEt0SmlJWUZjPjFg_4_0"/>
      <w:bookmarkStart w:id="1087" w:name="Tc_EIvt-Mtgb0iKCnQgrb5YwQ_3_2"/>
      <w:bookmarkStart w:id="1088" w:name="Tc_oUvunUiiWkSVEmUZ7AQokQ_2_14"/>
      <w:bookmarkStart w:id="1089" w:name="Tc_KdNgqookKEuW0Y7FU4Dxpw_2_11"/>
      <w:bookmarkStart w:id="1090" w:name="Tc_-vjMtzwyikWMWY5uGrMuSA_2_8"/>
      <w:bookmarkStart w:id="1091" w:name="Tc_0g99h8XHt0ikHDuvCgD1dg_2_5"/>
      <w:bookmarkStart w:id="1092" w:name="Tc_hY2m_dXqt0iEGqdmU66kqg_2_2"/>
      <w:bookmarkStart w:id="1093" w:name="Tc_I3pk7JWFlkCzdmwEGxsr1w_1_14"/>
      <w:bookmarkStart w:id="1094" w:name="Tc_XlhGeB-ipEixFefEJGCXAQ_1_8"/>
      <w:bookmarkStart w:id="1095" w:name="Tc_-D5gyB8DPEmklkiQCDQtsQ_1_5"/>
      <w:bookmarkStart w:id="1096" w:name="_480b5bb5_6d26_4495_8028_979b089540af"/>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r>
        <w:rPr>
          <w:rFonts w:ascii="Times New Roman;Times;serif" w:hAnsi="Times New Roman;Times;serif"/>
          <w:b/>
          <w:sz w:val="20"/>
        </w:rPr>
        <w:t>9. SEGMENT AND GEOGRAPHICAL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two segments are Energy, and Engineering and Consulting, and the Company’s chief operating decision maker, which continues to be its chief executive officer, receives and reviews financial information in this format.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intersegment sales during the three and six months ended June 28, 2024 and June 30, 2023. The Company’s chief operating decision maker evaluates the performance of each segment based upon income or loss from operations before income taxes. Certain segment asset information including expenditures for long-lived assets has not been presented as it is not reported to or reviewed by the chief operating decision maker. In addition, enterprise-wide service line contract revenue is not included as it is impracticable to report this information for each group of similar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information with respect to the reportable segments and reconciliation to the amounts reported in the Company’s Condensed Consolidated Financial Statements is as follows:</w:t>
      </w:r>
    </w:p>
    <w:p>
      <w:pPr>
        <w:pStyle w:val="TextBody"/>
        <w:bidi w:val="0"/>
        <w:spacing w:before="0" w:after="0"/>
        <w:ind w:left="0" w:right="0" w:hanging="0"/>
        <w:jc w:val="left"/>
        <w:rPr/>
      </w:pPr>
      <w:r>
        <w:rPr/>
        <w:t>​</w:t>
      </w:r>
    </w:p>
    <w:tbl>
      <w:tblPr>
        <w:tblW w:w="9625" w:type="dxa"/>
        <w:jc w:val="left"/>
        <w:tblInd w:w="0" w:type="dxa"/>
        <w:tblLayout w:type="fixed"/>
        <w:tblCellMar>
          <w:top w:w="0" w:type="dxa"/>
          <w:left w:w="0" w:type="dxa"/>
          <w:bottom w:w="0" w:type="dxa"/>
          <w:right w:w="0" w:type="dxa"/>
        </w:tblCellMar>
      </w:tblPr>
      <w:tblGrid>
        <w:gridCol w:w="3481"/>
        <w:gridCol w:w="326"/>
        <w:gridCol w:w="196"/>
        <w:gridCol w:w="691"/>
        <w:gridCol w:w="326"/>
        <w:gridCol w:w="220"/>
        <w:gridCol w:w="681"/>
        <w:gridCol w:w="326"/>
        <w:gridCol w:w="196"/>
        <w:gridCol w:w="631"/>
        <w:gridCol w:w="326"/>
        <w:gridCol w:w="196"/>
        <w:gridCol w:w="721"/>
        <w:gridCol w:w="326"/>
        <w:gridCol w:w="196"/>
        <w:gridCol w:w="78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10435" cy="175260"/>
                      <wp:effectExtent l="0" t="0" r="0" b="0"/>
                      <wp:wrapNone/>
                      <wp:docPr id="159" name="Frame15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4460" cy="175260"/>
                      <wp:effectExtent l="0" t="0" r="0" b="0"/>
                      <wp:wrapNone/>
                      <wp:docPr id="161" name="Frame1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8785" cy="175260"/>
                      <wp:effectExtent l="0" t="0" r="0" b="0"/>
                      <wp:wrapNone/>
                      <wp:docPr id="162" name="Frame1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9700" cy="175260"/>
                      <wp:effectExtent l="0" t="0" r="0" b="0"/>
                      <wp:wrapNone/>
                      <wp:docPr id="164" name="Frame16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2435" cy="175260"/>
                      <wp:effectExtent l="0" t="0" r="0" b="0"/>
                      <wp:wrapNone/>
                      <wp:docPr id="165" name="Frame165"/>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00685" cy="175260"/>
                      <wp:effectExtent l="0" t="0" r="0" b="0"/>
                      <wp:wrapNone/>
                      <wp:docPr id="168" name="Frame16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57835" cy="175260"/>
                      <wp:effectExtent l="0" t="0" r="0" b="0"/>
                      <wp:wrapNone/>
                      <wp:docPr id="171" name="Frame17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3"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9110" cy="175260"/>
                      <wp:effectExtent l="0" t="0" r="0" b="0"/>
                      <wp:wrapNone/>
                      <wp:docPr id="174" name="Frame174"/>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26"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18"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June 28,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3,629</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5,314</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4,594</w:t>
            </w:r>
          </w:p>
        </w:tc>
      </w:tr>
      <w:tr>
        <w:trPr/>
        <w:tc>
          <w:tcPr>
            <w:tcW w:w="348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328,031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30,989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421,289</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98,015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119,077</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2,207</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w:t>
            </w:r>
          </w:p>
        </w:tc>
      </w:tr>
      <w:tr>
        <w:trPr/>
        <w:tc>
          <w:tcPr>
            <w:tcW w:w="348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333,136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60,963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394,820</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Six Months Ended June 28,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6,463</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7,221</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4,097</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9,242</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1,706</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7,917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7,536</w:t>
            </w:r>
          </w:p>
        </w:tc>
      </w:tr>
      <w:tr>
        <w:trPr/>
        <w:tc>
          <w:tcPr>
            <w:tcW w:w="348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328,031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30,989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421,289</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Six Months Ended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181,300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221,680</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8,328</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4,673</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2,328</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1,329</w:t>
            </w:r>
          </w:p>
        </w:tc>
      </w:tr>
      <w:tr>
        <w:trPr/>
        <w:tc>
          <w:tcPr>
            <w:tcW w:w="348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333,136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60,963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394,820</w:t>
            </w:r>
          </w:p>
        </w:tc>
      </w:tr>
    </w:tbl>
    <w:tbl>
      <w:tblPr>
        <w:tblW w:w="4817" w:type="dxa"/>
        <w:jc w:val="left"/>
        <w:tblInd w:w="0" w:type="dxa"/>
        <w:tblLayout w:type="fixed"/>
        <w:tblCellMar>
          <w:top w:w="0" w:type="dxa"/>
          <w:left w:w="0" w:type="dxa"/>
          <w:bottom w:w="0" w:type="dxa"/>
          <w:right w:w="0" w:type="dxa"/>
        </w:tblCellMar>
      </w:tblPr>
      <w:tblGrid>
        <w:gridCol w:w="286"/>
        <w:gridCol w:w="453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45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Segment assets are presented net of intercompany receivables.</w:t>
            </w:r>
          </w:p>
        </w:tc>
      </w:tr>
    </w:tbl>
    <w:p>
      <w:pPr>
        <w:pStyle w:val="TextBody"/>
        <w:bidi w:val="0"/>
        <w:spacing w:before="0" w:after="0"/>
        <w:ind w:left="0" w:right="0" w:hanging="0"/>
        <w:jc w:val="left"/>
        <w:rPr/>
      </w:pPr>
      <w:r>
        <w:rPr/>
        <w:t> </w:t>
      </w:r>
    </w:p>
    <w:p>
      <w:pPr>
        <w:pStyle w:val="TextBody"/>
        <w:bidi w:val="0"/>
        <w:spacing w:before="0" w:after="2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097" w:name="Tc_GUMb86YMLU6I61xyjibv8g_35_8"/>
      <w:bookmarkStart w:id="1098" w:name="Tc_63gldKf7akOq5Pw2T6bvjA_35_5"/>
      <w:bookmarkStart w:id="1099" w:name="Tc_bTnJOCNt7EiYfe-0PNSKOA_35_2"/>
      <w:bookmarkStart w:id="1100" w:name="Tc__L8T6NLU1k2kiWtk0RM-Jw_35_0"/>
      <w:bookmarkStart w:id="1101" w:name="Tc_H_KAuY7Q0EOXZXXasxMvfg_34_0"/>
      <w:bookmarkStart w:id="1102" w:name="Tc_ycgutIz5pkS7t2qmaS8efQ_32_8"/>
      <w:bookmarkStart w:id="1103" w:name="Tc_GZqAjx0lYEK_DaQbDZjcgw_32_5"/>
      <w:bookmarkStart w:id="1104" w:name="Tc_kyHplJQNuE63Z4k1K4JEtg_32_2"/>
      <w:bookmarkStart w:id="1105" w:name="Tc_YBWFzKTnnkedP6CvJ29zig_32_0"/>
      <w:bookmarkStart w:id="1106" w:name="Tc_kQp4Yul7rkGvODuhZatRyw_31_0"/>
      <w:bookmarkStart w:id="1107" w:name="Tc_gcv0oTfdEkqyfZ9AM-A6JQ_30_0"/>
      <w:bookmarkStart w:id="1108" w:name="Tc_61AIVwZLXkyXwkFGC_3s6Q_29_8"/>
      <w:bookmarkStart w:id="1109" w:name="Tc_wofkLuuiVUq8KQ4dDNt07Q_29_5"/>
      <w:bookmarkStart w:id="1110" w:name="Tc_mvChkVMr3Uyqf57RSsr61w_29_2"/>
      <w:bookmarkStart w:id="1111" w:name="Tc_58TIQ6CabkyWTQDuJkIuDw_29_0"/>
      <w:bookmarkStart w:id="1112" w:name="Tc_MBJWKjXAME-IgGUriiVMnQ_28_0"/>
      <w:bookmarkStart w:id="1113" w:name="Tc_ESazf11H80-5UdJ7_I0xyQ_26_8"/>
      <w:bookmarkStart w:id="1114" w:name="Tc_-qw_5kwNWEO2UkifhF2dMw_26_5"/>
      <w:bookmarkStart w:id="1115" w:name="Tc_tgOcTXn2502cheYfVyu4Zw_26_2"/>
      <w:bookmarkStart w:id="1116" w:name="Tc_sQJJOckWgUq0EVTSHAcwVA_26_0"/>
      <w:bookmarkStart w:id="1117" w:name="Tc_PpFKtJB2UEWfrRVuNibOIw_25_0"/>
      <w:bookmarkStart w:id="1118" w:name="Tc_cNftWMXE1ESxDl3zTkv7TA_24_0"/>
      <w:bookmarkStart w:id="1119" w:name="Tc_IVmlm9-OsEC4Gw-N78tiTQ_23_8"/>
      <w:bookmarkStart w:id="1120" w:name="Tc_ww_ErmZzyUm_5Jdz0DjRyQ_23_5"/>
      <w:bookmarkStart w:id="1121" w:name="Tc_ij-LlH4mWUmjLtpBZa0tKQ_23_2"/>
      <w:bookmarkStart w:id="1122" w:name="Tc_gh58uOJmtkC4yVQcjdDUNQ_23_0"/>
      <w:bookmarkStart w:id="1123" w:name="Tc_gkgLQfx43UKA1IVakMwQxQ_22_0"/>
      <w:bookmarkStart w:id="1124" w:name="Tc_TIN5RXxzeEedgIPTJRQBVA_21_2"/>
      <w:bookmarkStart w:id="1125" w:name="Tc_7jJp_QqxDEqfAsHRP6JQkQ_20_8"/>
      <w:bookmarkStart w:id="1126" w:name="Tc_rLmt2HL8RkWGLzfa3aknbA_20_5"/>
      <w:bookmarkStart w:id="1127" w:name="Tc_J2rH02PJqka0C0fwiy3-Pw_20_2"/>
      <w:bookmarkStart w:id="1128" w:name="Tc_8oe5nVCXeEeDcePKzDJ41A_19_2"/>
      <w:bookmarkStart w:id="1129" w:name="Tc_vaubuAVly0GU9rQH7Rz-Vg_17_8"/>
      <w:bookmarkStart w:id="1130" w:name="Tc_7tzJUjt_q0WMzZ4L8onpcw_17_5"/>
      <w:bookmarkStart w:id="1131" w:name="Tc_Lp5QXOqJE0K7tAAw_Z_Wxw_17_2"/>
      <w:bookmarkStart w:id="1132" w:name="Tc_CbH-SJ1mG0uObPpYEWRCUA_17_0"/>
      <w:bookmarkStart w:id="1133" w:name="Tc_TC0AGQkVYka3LBCVtbXUbg_16_0"/>
      <w:bookmarkStart w:id="1134" w:name="Tc_m5y1bgWZ8EmOaaym2WIaeg_14_8"/>
      <w:bookmarkStart w:id="1135" w:name="Tc_NnjQmtDcPk2mb-ZRImwIng_14_5"/>
      <w:bookmarkStart w:id="1136" w:name="Tc_bTYf5tiohUCTU2-DUmPPZw_14_2"/>
      <w:bookmarkStart w:id="1137" w:name="Tc_2N0Mb91BgESCPzvGDXefKg_14_0"/>
      <w:bookmarkStart w:id="1138" w:name="Tc_50mSQghhsUaZUdLRxZfTfw_13_0"/>
      <w:bookmarkStart w:id="1139" w:name="Tc_J8kcy-GOiE-k3gujIry1vw_12_0"/>
      <w:bookmarkStart w:id="1140" w:name="Tc_11Z_djhK9ECK_88gEkxEqw_11_8"/>
      <w:bookmarkStart w:id="1141" w:name="Tc_pXy9IZzHpECg50osWkIaMw_11_5"/>
      <w:bookmarkStart w:id="1142" w:name="Tc_sflOukF3F0Gupp2lI_sIkw_11_2"/>
      <w:bookmarkStart w:id="1143" w:name="Tc_Crepke6eHU6_uwTXlsjLUw_11_0"/>
      <w:bookmarkStart w:id="1144" w:name="Tc_rJ__DomEVkKRDqHshF9pvg_10_0"/>
      <w:bookmarkStart w:id="1145" w:name="Tc_VrcC1nJtT0iaAN9gEAL4TQ_8_8"/>
      <w:bookmarkStart w:id="1146" w:name="Tc_TQhopEp_vEynF8Ynu5Jjyw_8_5"/>
      <w:bookmarkStart w:id="1147" w:name="Tc_uJnd1-yHwEubPbEwpSJF5A_8_2"/>
      <w:bookmarkStart w:id="1148" w:name="Tc_VPgG2CsmCkSUL51cGwQk-Q_8_0"/>
      <w:bookmarkStart w:id="1149" w:name="Tc_bIko59bR_kCRTkgtm4yKxQ_7_0"/>
      <w:bookmarkStart w:id="1150" w:name="Tc_f2-GrZQTQEqHGV0sEaemAA_6_0"/>
      <w:bookmarkStart w:id="1151" w:name="Tc_mG4fRcsRKEeiP8ZKPJAgpg_5_8"/>
      <w:bookmarkStart w:id="1152" w:name="Tc_ZJXQSI_Uw0Sw4ouL5IpXpw_5_5"/>
      <w:bookmarkStart w:id="1153" w:name="Tc_QYYFFPOevEa8D8q44ORlYw_5_2"/>
      <w:bookmarkStart w:id="1154" w:name="Tc_GgSqSUkqiECME415F_HDbA_5_0"/>
      <w:bookmarkStart w:id="1155" w:name="Tc_NUNAAFxTVkaGVWV91cJXEQ_4_0"/>
      <w:bookmarkStart w:id="1156" w:name="Tc_Xitw4FPzKkyjfMm16KsC1g_3_2"/>
      <w:bookmarkStart w:id="1157" w:name="Tc_fVnwZnYUMUSzIMV9G-ZynQ_2_8"/>
      <w:bookmarkStart w:id="1158" w:name="Tc_0XodXhxajUGuk1PZlv3hKQ_2_5"/>
      <w:bookmarkStart w:id="1159" w:name="Tc_zFoZ67ZUMUO_FShBvcV6Nw_2_2"/>
      <w:bookmarkStart w:id="1160" w:name="Tc_6etPPl3neUOTmL8JEbNxZg_1_2"/>
      <w:bookmarkStart w:id="1161" w:name="_bdfc8955_9955_4268_8b06_3cffbdbe1f12"/>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r>
        <w:rPr>
          <w:rFonts w:ascii="Times New Roman;Times;serif" w:hAnsi="Times New Roman;Times;serif"/>
          <w:sz w:val="20"/>
        </w:rPr>
        <w:t xml:space="preserve">The following tables provide information about disaggregated revenue by contract type, client type and geographical region: </w:t>
      </w:r>
    </w:p>
    <w:p>
      <w:pPr>
        <w:pStyle w:val="TextBody"/>
        <w:bidi w:val="0"/>
        <w:spacing w:before="1" w:after="0"/>
        <w:ind w:left="0" w:right="0" w:firstLine="720"/>
        <w:jc w:val="left"/>
        <w:rPr/>
      </w:pPr>
      <w:r>
        <w:rPr/>
        <w:t>​</w:t>
      </w:r>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34085" cy="175260"/>
                      <wp:effectExtent l="0" t="0" r="0" b="0"/>
                      <wp:wrapNone/>
                      <wp:docPr id="175" name="Frame17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7" name="Frame1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38785" cy="175260"/>
                      <wp:effectExtent l="0" t="0" r="0" b="0"/>
                      <wp:wrapNone/>
                      <wp:docPr id="178" name="Frame1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1295" cy="175260"/>
                      <wp:effectExtent l="0" t="0" r="0" b="0"/>
                      <wp:wrapNone/>
                      <wp:docPr id="180" name="Frame18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18490" cy="175260"/>
                      <wp:effectExtent l="0" t="0" r="0" b="0"/>
                      <wp:wrapNone/>
                      <wp:docPr id="181" name="Frame18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05460" cy="175260"/>
                      <wp:effectExtent l="0" t="0" r="0" b="0"/>
                      <wp:wrapNone/>
                      <wp:docPr id="184" name="Frame1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28,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8,700</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25,727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47,578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52,449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61,574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62,820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8,691</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10,424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51,468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72,829</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57,693</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57,743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28,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17,237</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50,663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94,535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103,917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106,826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108,905</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15,894</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19,207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87,288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128,747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115,416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115,531</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263,485</w:t>
            </w:r>
          </w:p>
        </w:tc>
      </w:tr>
    </w:tbl>
    <w:p>
      <w:pPr>
        <w:pStyle w:val="TextBody"/>
        <w:bidi w:val="0"/>
        <w:spacing w:before="1"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Normal"/>
        <w:bidi w:val="0"/>
        <w:spacing w:before="0" w:after="0"/>
        <w:jc w:val="left"/>
        <w:rPr>
          <w:sz w:val="4"/>
          <w:szCs w:val="4"/>
        </w:rPr>
      </w:pPr>
      <w:r>
        <w:rPr>
          <w:sz w:val="4"/>
          <w:szCs w:val="4"/>
        </w:rPr>
      </w:r>
      <w:bookmarkStart w:id="1162" w:name="Tc_CpCAfZ8M-0yVhuT8uAj-7Q_35_8"/>
      <w:bookmarkStart w:id="1163" w:name="Tc_Ha9-6sNGkUSH4qO3lXpQnQ_35_5"/>
      <w:bookmarkStart w:id="1164" w:name="Tc_QshuTZinUEaj7jXPkUm5jA_35_2"/>
      <w:bookmarkStart w:id="1165" w:name="Tc_WJ6xzCYRHEm1cPx9wDlj2g_35_0"/>
      <w:bookmarkStart w:id="1166" w:name="Tc_ymbfHEfcikOovOp5dMpG7g_34_0"/>
      <w:bookmarkStart w:id="1167" w:name="Tc_J7Wqsa0o7kiRIIUHZ6R1cA_32_8"/>
      <w:bookmarkStart w:id="1168" w:name="Tc_z2GJpo_c-0aP98lmRK_uFA_32_5"/>
      <w:bookmarkStart w:id="1169" w:name="Tc_s02VENHGcEOxveEj2wCQSg_32_2"/>
      <w:bookmarkStart w:id="1170" w:name="Tc_KWbUCx4cW0Kz0aI9-MmI1g_32_0"/>
      <w:bookmarkStart w:id="1171" w:name="Tc_07aq6rxKCEOpaw9ncO5MkA_31_0"/>
      <w:bookmarkStart w:id="1172" w:name="Tc_erK0tNxNOEaKZDlaMz5g_A_30_0"/>
      <w:bookmarkStart w:id="1173" w:name="Tc_BcSwFGzFqUOAHx_WZTdJRw_29_8"/>
      <w:bookmarkStart w:id="1174" w:name="Tc_HPnfCFPv1ECRH37cEFLJ1A_29_5"/>
      <w:bookmarkStart w:id="1175" w:name="Tc_hDiIZT359ku19g8kvKhKwg_29_2"/>
      <w:bookmarkStart w:id="1176" w:name="Tc_Ti7zWtoiMUW30kyDtMk2rQ_29_0"/>
      <w:bookmarkStart w:id="1177" w:name="Tc_pH0GwafxJ0Gmp4OXWXJHTg_28_0"/>
      <w:bookmarkStart w:id="1178" w:name="Tc_bJZ0koxJqkC2p_Mur681fg_26_8"/>
      <w:bookmarkStart w:id="1179" w:name="Tc_XtwPtwvowkK7QBkxgE_7mg_26_5"/>
      <w:bookmarkStart w:id="1180" w:name="Tc_mqPOpINRUk-JP9_HH0nIHA_26_2"/>
      <w:bookmarkStart w:id="1181" w:name="Tc_oMh9rhb1MkmTneVz2RpY6g_26_0"/>
      <w:bookmarkStart w:id="1182" w:name="Tc_yg6SgI4WB0aqB3BhK9pUmA_25_0"/>
      <w:bookmarkStart w:id="1183" w:name="Tc_vIFJ-oLse0eWkpFoSBIFuA_24_0"/>
      <w:bookmarkStart w:id="1184" w:name="Tc_yFdjVZFlIEOyKPVtsWz8jQ_23_8"/>
      <w:bookmarkStart w:id="1185" w:name="Tc_xb0o966o7U6FNUhPYsxnaw_23_5"/>
      <w:bookmarkStart w:id="1186" w:name="Tc_zFAiUt3R4UmWhev9uKdNew_23_2"/>
      <w:bookmarkStart w:id="1187" w:name="Tc_mcS8sSyYk0iwUYgp37wy0w_23_0"/>
      <w:bookmarkStart w:id="1188" w:name="Tc_0jrmV2nOZE64xhjzHe_sug_22_0"/>
      <w:bookmarkStart w:id="1189" w:name="Tc_IsL5CdFPNk2eEP2wkK5KKQ_21_2"/>
      <w:bookmarkStart w:id="1190" w:name="Tc_y-2sLDzFOkCtk9t6SC4mzA_20_8"/>
      <w:bookmarkStart w:id="1191" w:name="Tc_JgylmpeGZU-7sE2lwC04qA_20_5"/>
      <w:bookmarkStart w:id="1192" w:name="Tc_05cqhzu-tEe_JdblJqHFuw_20_2"/>
      <w:bookmarkStart w:id="1193" w:name="Tc_WIxfyQCL8U-U5HvXOrieVg_19_2"/>
      <w:bookmarkStart w:id="1194" w:name="Tc_wU9PAUkCukOYlIO7x35qYQ_17_8"/>
      <w:bookmarkStart w:id="1195" w:name="Tc_oPQU1nghUU-i_gfGEZersg_17_5"/>
      <w:bookmarkStart w:id="1196" w:name="Tc_Md71trcBukuIpYzaU41rUg_17_2"/>
      <w:bookmarkStart w:id="1197" w:name="Tc_Rogmi6ftgUK6XvREPGypbQ_17_0"/>
      <w:bookmarkStart w:id="1198" w:name="Tc_SI4zLwYnNkSHeUxn8oRshw_16_0"/>
      <w:bookmarkStart w:id="1199" w:name="Tc_v9wvqoednEmcEu-c0eI4kQ_14_8"/>
      <w:bookmarkStart w:id="1200" w:name="Tc_AsYMPHKOtkOQLoPJ89Tr8A_14_5"/>
      <w:bookmarkStart w:id="1201" w:name="Tc_c2E_7cBNBk6ScuRZuDOeRg_14_2"/>
      <w:bookmarkStart w:id="1202" w:name="Tc_pvVxjam_kEusfxuYl1A8Cg_14_0"/>
      <w:bookmarkStart w:id="1203" w:name="Tc_3ZIw6PsbH06qVgoMywYqvw_13_0"/>
      <w:bookmarkStart w:id="1204" w:name="Tc_KEVN73DfuUeppfUNCol8Ow_12_0"/>
      <w:bookmarkStart w:id="1205" w:name="Tc_GwEZ12zcjk6PZ9nwrWzzpw_11_8"/>
      <w:bookmarkStart w:id="1206" w:name="Tc_HnOVDrN1YEu1jsVmEEgSFw_11_5"/>
      <w:bookmarkStart w:id="1207" w:name="Tc_j7pQtTD5YESFqWRPqitgiw_11_2"/>
      <w:bookmarkStart w:id="1208" w:name="Tc_R8vmBTq4Oka-yg8wOyqCgQ_11_0"/>
      <w:bookmarkStart w:id="1209" w:name="Tc_ek3fkU2VzUKDjpSNTZXtCQ_10_0"/>
      <w:bookmarkStart w:id="1210" w:name="Tc_KKTSt69_9kqS0JSWn5yXjw_8_8"/>
      <w:bookmarkStart w:id="1211" w:name="Tc_DGdVwmVbxUCMhvQx964Bkw_8_5"/>
      <w:bookmarkStart w:id="1212" w:name="Tc_E-5MC-ruI0WDl-p_hdIQ7A_8_2"/>
      <w:bookmarkStart w:id="1213" w:name="Tc_Vsp8l0tm0Emq0fS7AO6i8w_8_0"/>
      <w:bookmarkStart w:id="1214" w:name="Tc_co9kbhil8Uq_7eAfNm_zsg_7_0"/>
      <w:bookmarkStart w:id="1215" w:name="Tc_WZUKDvnKpEKWW7UAF2YerA_6_0"/>
      <w:bookmarkStart w:id="1216" w:name="Tc_mUFfIWgP1Uq33KbYGRzeqg_5_8"/>
      <w:bookmarkStart w:id="1217" w:name="Tc_ns8ci6UqPUWMXujDButDvQ_5_5"/>
      <w:bookmarkStart w:id="1218" w:name="Tc_6cfGziEdJEKvXe0OjDh9wQ_5_2"/>
      <w:bookmarkStart w:id="1219" w:name="Tc_lGMEi2xcckSNffzTg9ItBA_5_0"/>
      <w:bookmarkStart w:id="1220" w:name="Tc_w2mmMtzB9kybMVb6L-VvSw_4_0"/>
      <w:bookmarkStart w:id="1221" w:name="Tc_6KnBHG_30k2mFqprd0pDXg_3_2"/>
      <w:bookmarkStart w:id="1222" w:name="Tc_aAQ0rDj2B0Ov8wp61yLpeg_2_8"/>
      <w:bookmarkStart w:id="1223" w:name="Tc_Nid-9LGox06maSi4N3u29Q_2_5"/>
      <w:bookmarkStart w:id="1224" w:name="Tc_pNYZlLfyYUSk_dPd_LocTQ_2_2"/>
      <w:bookmarkStart w:id="1225" w:name="Tc_RvOz9xVw102LrGJmPE2VIQ_1_2"/>
      <w:bookmarkStart w:id="1226" w:name="_b4ecc437_d451_4d48_b549_8d56edaeb5d9"/>
      <w:bookmarkStart w:id="1227" w:name="Tc_CpCAfZ8M-0yVhuT8uAj-7Q_35_8"/>
      <w:bookmarkStart w:id="1228" w:name="Tc_Ha9-6sNGkUSH4qO3lXpQnQ_35_5"/>
      <w:bookmarkStart w:id="1229" w:name="Tc_QshuTZinUEaj7jXPkUm5jA_35_2"/>
      <w:bookmarkStart w:id="1230" w:name="Tc_WJ6xzCYRHEm1cPx9wDlj2g_35_0"/>
      <w:bookmarkStart w:id="1231" w:name="Tc_ymbfHEfcikOovOp5dMpG7g_34_0"/>
      <w:bookmarkStart w:id="1232" w:name="Tc_J7Wqsa0o7kiRIIUHZ6R1cA_32_8"/>
      <w:bookmarkStart w:id="1233" w:name="Tc_z2GJpo_c-0aP98lmRK_uFA_32_5"/>
      <w:bookmarkStart w:id="1234" w:name="Tc_s02VENHGcEOxveEj2wCQSg_32_2"/>
      <w:bookmarkStart w:id="1235" w:name="Tc_KWbUCx4cW0Kz0aI9-MmI1g_32_0"/>
      <w:bookmarkStart w:id="1236" w:name="Tc_07aq6rxKCEOpaw9ncO5MkA_31_0"/>
      <w:bookmarkStart w:id="1237" w:name="Tc_erK0tNxNOEaKZDlaMz5g_A_30_0"/>
      <w:bookmarkStart w:id="1238" w:name="Tc_BcSwFGzFqUOAHx_WZTdJRw_29_8"/>
      <w:bookmarkStart w:id="1239" w:name="Tc_HPnfCFPv1ECRH37cEFLJ1A_29_5"/>
      <w:bookmarkStart w:id="1240" w:name="Tc_hDiIZT359ku19g8kvKhKwg_29_2"/>
      <w:bookmarkStart w:id="1241" w:name="Tc_Ti7zWtoiMUW30kyDtMk2rQ_29_0"/>
      <w:bookmarkStart w:id="1242" w:name="Tc_pH0GwafxJ0Gmp4OXWXJHTg_28_0"/>
      <w:bookmarkStart w:id="1243" w:name="Tc_bJZ0koxJqkC2p_Mur681fg_26_8"/>
      <w:bookmarkStart w:id="1244" w:name="Tc_XtwPtwvowkK7QBkxgE_7mg_26_5"/>
      <w:bookmarkStart w:id="1245" w:name="Tc_mqPOpINRUk-JP9_HH0nIHA_26_2"/>
      <w:bookmarkStart w:id="1246" w:name="Tc_oMh9rhb1MkmTneVz2RpY6g_26_0"/>
      <w:bookmarkStart w:id="1247" w:name="Tc_yg6SgI4WB0aqB3BhK9pUmA_25_0"/>
      <w:bookmarkStart w:id="1248" w:name="Tc_vIFJ-oLse0eWkpFoSBIFuA_24_0"/>
      <w:bookmarkStart w:id="1249" w:name="Tc_yFdjVZFlIEOyKPVtsWz8jQ_23_8"/>
      <w:bookmarkStart w:id="1250" w:name="Tc_xb0o966o7U6FNUhPYsxnaw_23_5"/>
      <w:bookmarkStart w:id="1251" w:name="Tc_zFAiUt3R4UmWhev9uKdNew_23_2"/>
      <w:bookmarkStart w:id="1252" w:name="Tc_mcS8sSyYk0iwUYgp37wy0w_23_0"/>
      <w:bookmarkStart w:id="1253" w:name="Tc_0jrmV2nOZE64xhjzHe_sug_22_0"/>
      <w:bookmarkStart w:id="1254" w:name="Tc_IsL5CdFPNk2eEP2wkK5KKQ_21_2"/>
      <w:bookmarkStart w:id="1255" w:name="Tc_y-2sLDzFOkCtk9t6SC4mzA_20_8"/>
      <w:bookmarkStart w:id="1256" w:name="Tc_JgylmpeGZU-7sE2lwC04qA_20_5"/>
      <w:bookmarkStart w:id="1257" w:name="Tc_05cqhzu-tEe_JdblJqHFuw_20_2"/>
      <w:bookmarkStart w:id="1258" w:name="Tc_WIxfyQCL8U-U5HvXOrieVg_19_2"/>
      <w:bookmarkStart w:id="1259" w:name="Tc_wU9PAUkCukOYlIO7x35qYQ_17_8"/>
      <w:bookmarkStart w:id="1260" w:name="Tc_oPQU1nghUU-i_gfGEZersg_17_5"/>
      <w:bookmarkStart w:id="1261" w:name="Tc_Md71trcBukuIpYzaU41rUg_17_2"/>
      <w:bookmarkStart w:id="1262" w:name="Tc_Rogmi6ftgUK6XvREPGypbQ_17_0"/>
      <w:bookmarkStart w:id="1263" w:name="Tc_SI4zLwYnNkSHeUxn8oRshw_16_0"/>
      <w:bookmarkStart w:id="1264" w:name="Tc_v9wvqoednEmcEu-c0eI4kQ_14_8"/>
      <w:bookmarkStart w:id="1265" w:name="Tc_AsYMPHKOtkOQLoPJ89Tr8A_14_5"/>
      <w:bookmarkStart w:id="1266" w:name="Tc_c2E_7cBNBk6ScuRZuDOeRg_14_2"/>
      <w:bookmarkStart w:id="1267" w:name="Tc_pvVxjam_kEusfxuYl1A8Cg_14_0"/>
      <w:bookmarkStart w:id="1268" w:name="Tc_3ZIw6PsbH06qVgoMywYqvw_13_0"/>
      <w:bookmarkStart w:id="1269" w:name="Tc_KEVN73DfuUeppfUNCol8Ow_12_0"/>
      <w:bookmarkStart w:id="1270" w:name="Tc_GwEZ12zcjk6PZ9nwrWzzpw_11_8"/>
      <w:bookmarkStart w:id="1271" w:name="Tc_HnOVDrN1YEu1jsVmEEgSFw_11_5"/>
      <w:bookmarkStart w:id="1272" w:name="Tc_j7pQtTD5YESFqWRPqitgiw_11_2"/>
      <w:bookmarkStart w:id="1273" w:name="Tc_R8vmBTq4Oka-yg8wOyqCgQ_11_0"/>
      <w:bookmarkStart w:id="1274" w:name="Tc_ek3fkU2VzUKDjpSNTZXtCQ_10_0"/>
      <w:bookmarkStart w:id="1275" w:name="Tc_KKTSt69_9kqS0JSWn5yXjw_8_8"/>
      <w:bookmarkStart w:id="1276" w:name="Tc_DGdVwmVbxUCMhvQx964Bkw_8_5"/>
      <w:bookmarkStart w:id="1277" w:name="Tc_E-5MC-ruI0WDl-p_hdIQ7A_8_2"/>
      <w:bookmarkStart w:id="1278" w:name="Tc_Vsp8l0tm0Emq0fS7AO6i8w_8_0"/>
      <w:bookmarkStart w:id="1279" w:name="Tc_co9kbhil8Uq_7eAfNm_zsg_7_0"/>
      <w:bookmarkStart w:id="1280" w:name="Tc_WZUKDvnKpEKWW7UAF2YerA_6_0"/>
      <w:bookmarkStart w:id="1281" w:name="Tc_mUFfIWgP1Uq33KbYGRzeqg_5_8"/>
      <w:bookmarkStart w:id="1282" w:name="Tc_ns8ci6UqPUWMXujDButDvQ_5_5"/>
      <w:bookmarkStart w:id="1283" w:name="Tc_6cfGziEdJEKvXe0OjDh9wQ_5_2"/>
      <w:bookmarkStart w:id="1284" w:name="Tc_lGMEi2xcckSNffzTg9ItBA_5_0"/>
      <w:bookmarkStart w:id="1285" w:name="Tc_w2mmMtzB9kybMVb6L-VvSw_4_0"/>
      <w:bookmarkStart w:id="1286" w:name="Tc_6KnBHG_30k2mFqprd0pDXg_3_2"/>
      <w:bookmarkStart w:id="1287" w:name="Tc_aAQ0rDj2B0Ov8wp61yLpeg_2_8"/>
      <w:bookmarkStart w:id="1288" w:name="Tc_Nid-9LGox06maSi4N3u29Q_2_5"/>
      <w:bookmarkStart w:id="1289" w:name="Tc_pNYZlLfyYUSk_dPd_LocTQ_2_2"/>
      <w:bookmarkStart w:id="1290" w:name="Tc_RvOz9xVw102LrGJmPE2VIQ_1_2"/>
      <w:bookmarkStart w:id="1291" w:name="_b4ecc437_d451_4d48_b549_8d56edaeb5d9"/>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p>
    <w:tbl>
      <w:tblPr>
        <w:tblW w:w="560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34085" cy="175260"/>
                      <wp:effectExtent l="0" t="0" r="0" b="0"/>
                      <wp:wrapNone/>
                      <wp:docPr id="185" name="Frame18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4460" cy="175260"/>
                      <wp:effectExtent l="0" t="0" r="0" b="0"/>
                      <wp:wrapNone/>
                      <wp:docPr id="187" name="Frame1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38785" cy="175260"/>
                      <wp:effectExtent l="0" t="0" r="0" b="0"/>
                      <wp:wrapNone/>
                      <wp:docPr id="188" name="Frame1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1295" cy="175260"/>
                      <wp:effectExtent l="0" t="0" r="0" b="0"/>
                      <wp:wrapNone/>
                      <wp:docPr id="190" name="Frame19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18490" cy="175260"/>
                      <wp:effectExtent l="0" t="0" r="0" b="0"/>
                      <wp:wrapNone/>
                      <wp:docPr id="191" name="Frame19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9110" cy="175260"/>
                      <wp:effectExtent l="0" t="0" r="0" b="0"/>
                      <wp:wrapNone/>
                      <wp:docPr id="194" name="Frame194"/>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8,947</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25,390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39,900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43,718</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49,168</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49,969</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98,015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119,077</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7,440</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8,816</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40,543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60,153</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50,032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50,108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98,015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119,077</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98,015</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119,077</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16,656</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47,653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84,827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92,261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79,817</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81,766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181,300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221,680</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14,159</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16,699</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66,618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104,323</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100,523</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100,658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181,300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221,680</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181,300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40,380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221,680</w:t>
            </w:r>
          </w:p>
        </w:tc>
      </w:tr>
    </w:tbl>
    <w:tbl>
      <w:tblPr>
        <w:tblW w:w="4131" w:type="dxa"/>
        <w:jc w:val="left"/>
        <w:tblInd w:w="0" w:type="dxa"/>
        <w:tblLayout w:type="fixed"/>
        <w:tblCellMar>
          <w:top w:w="28" w:type="dxa"/>
          <w:left w:w="28" w:type="dxa"/>
          <w:bottom w:w="28" w:type="dxa"/>
          <w:right w:w="28" w:type="dxa"/>
        </w:tblCellMar>
      </w:tblPr>
      <w:tblGrid>
        <w:gridCol w:w="124"/>
        <w:gridCol w:w="271"/>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296" w:type="dxa"/>
        <w:jc w:val="left"/>
        <w:tblInd w:w="0" w:type="dxa"/>
        <w:tblLayout w:type="fixed"/>
        <w:tblCellMar>
          <w:top w:w="28" w:type="dxa"/>
          <w:left w:w="28" w:type="dxa"/>
          <w:bottom w:w="28" w:type="dxa"/>
          <w:right w:w="28" w:type="dxa"/>
        </w:tblCellMar>
      </w:tblPr>
      <w:tblGrid>
        <w:gridCol w:w="124"/>
        <w:gridCol w:w="271"/>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10071" w:type="dxa"/>
        <w:jc w:val="left"/>
        <w:tblInd w:w="0" w:type="dxa"/>
        <w:tblLayout w:type="fixed"/>
        <w:tblCellMar>
          <w:top w:w="28" w:type="dxa"/>
          <w:left w:w="28" w:type="dxa"/>
          <w:bottom w:w="28" w:type="dxa"/>
          <w:right w:w="28" w:type="dxa"/>
        </w:tblCellMar>
      </w:tblPr>
      <w:tblGrid>
        <w:gridCol w:w="124"/>
        <w:gridCol w:w="271"/>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 xml:space="preserve">Revenue from the Company’s foreign operations were not material for the three and six months ended June 28, 2024 and June 30, 2023.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Geographical Information</w:t>
      </w:r>
    </w:p>
    <w:p>
      <w:pPr>
        <w:pStyle w:val="TextBody"/>
        <w:bidi w:val="0"/>
        <w:spacing w:before="0" w:after="0"/>
        <w:ind w:left="0" w:right="0" w:firstLine="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Substantially all of the Company’s consolidated revenue was derived from its operations in the U.S. The Company operates through a network of offices spread across 22 U.S. states, the District of Columbia, the Commonwealth of Puerto Rico, and Canada. Revenues from the Company’s Puerto Rican and Canadian operations were not material for the three and six months ended June 28, 2024 nor for the three and six months ended June 30,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Customer Concentration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six months ended June 28, 2024, the Company’s top 10 customers accounted for 52.4%, and 49.8%, respectively, of the Company’s consolidated contract revenue. </w:t>
      </w:r>
      <w:r>
        <w:rPr>
          <w:rFonts w:ascii="Times New Roman;Times;serif" w:hAnsi="Times New Roman;Times;serif"/>
          <w:sz w:val="20"/>
          <w:shd w:fill="FFFFFF" w:val="clear"/>
        </w:rPr>
        <w:t>For the three and six months ended June 30, 2023, the Company’s top 10 customers accounted for 51.7%, and 51.4%, respectively, of the Company’s consolidated contract revenue.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June 28, 2024, the Company had no individual customers that accounted for more than 10% of its consolidated contract revenue</w:t>
      </w:r>
      <w:r>
        <w:rPr>
          <w:rFonts w:ascii="Times New Roman;Times;serif" w:hAnsi="Times New Roman;Times;serif"/>
          <w:sz w:val="20"/>
          <w:shd w:fill="FFFFFF" w:val="clear"/>
        </w:rPr>
        <w:t>.</w:t>
      </w:r>
      <w:r>
        <w:rPr>
          <w:rFonts w:ascii="Times New Roman;Times;serif" w:hAnsi="Times New Roman;Times;serif"/>
          <w:sz w:val="20"/>
        </w:rPr>
        <w:t xml:space="preserve"> For the three months ended June 30, 2023, the Company had two customers, Dormitory Authority-State New York (“DASNY”) and the Los Angeles Department of Water and Power (“LADWP”), that accounted for 10.7% and 10.3% of its consolidated contract revenues, respectively</w:t>
      </w:r>
      <w:r>
        <w:rPr>
          <w:rFonts w:ascii="Times New Roman;Times;serif" w:hAnsi="Times New Roman;Times;serif"/>
          <w:sz w:val="20"/>
          <w:shd w:fill="FFFFFF" w:val="clear"/>
        </w:rPr>
        <w:t>.</w:t>
      </w:r>
      <w:r>
        <w:rPr>
          <w:rFonts w:ascii="Times New Roman;Times;serif" w:hAnsi="Times New Roman;Times;serif"/>
          <w:sz w:val="20"/>
        </w:rPr>
        <w:t> For the six months ended June 30, 2023, the Company had one customer, LADWP, that accounted for 10.6% of its consolidated contract revenues</w:t>
      </w:r>
      <w:r>
        <w:rPr>
          <w:rFonts w:ascii="Times New Roman;Times;serif" w:hAnsi="Times New Roman;Times;serif"/>
          <w:sz w:val="20"/>
          <w:shd w:fill="FFFFFF" w:val="clear"/>
        </w:rPr>
        <w:t>.</w:t>
      </w:r>
      <w:r>
        <w:rPr>
          <w:rFonts w:ascii="Times New Roman;Times;serif" w:hAnsi="Times New Roman;Times;serif"/>
          <w:sz w:val="20"/>
        </w:rPr>
        <w:t> </w:t>
      </w:r>
    </w:p>
    <w:p>
      <w:pPr>
        <w:pStyle w:val="TextBody"/>
        <w:pBdr/>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On a segment basis, the Company reports if it had customers that accounted for more than 10% of its segment contract revenues. F</w:t>
      </w:r>
      <w:r>
        <w:rPr>
          <w:rFonts w:ascii="Times New Roman;Times;serif" w:hAnsi="Times New Roman;Times;serif"/>
          <w:sz w:val="20"/>
          <w:shd w:fill="FFFFFF" w:val="clear"/>
        </w:rPr>
        <w:t>or the three and six months ended June 28, 2024, no single customer accounted for 10% or more of its Energy segment revenues.</w:t>
      </w:r>
      <w:r>
        <w:rPr>
          <w:rFonts w:ascii="Times New Roman;Times;serif" w:hAnsi="Times New Roman;Times;serif"/>
          <w:sz w:val="20"/>
        </w:rPr>
        <w:t xml:space="preserve"> </w:t>
      </w:r>
      <w:r>
        <w:rPr>
          <w:rFonts w:ascii="Times New Roman;Times;serif" w:hAnsi="Times New Roman;Times;serif"/>
          <w:sz w:val="20"/>
          <w:shd w:fill="FFFFFF" w:val="clear"/>
        </w:rPr>
        <w:t>For the three and six months ended June 28, 2024, no single customer accounted for 10% or more of its Engineering and Consulting segment revenues.</w:t>
      </w:r>
      <w:r>
        <w:rPr>
          <w:rFonts w:ascii="Times New Roman;Times;serif" w:hAnsi="Times New Roman;Times;serif"/>
          <w:sz w:val="20"/>
        </w:rPr>
        <w:t xml:space="preserve"> </w:t>
      </w:r>
      <w:r>
        <w:rPr>
          <w:rFonts w:ascii="Times New Roman;Times;serif" w:hAnsi="Times New Roman;Times;serif"/>
          <w:sz w:val="20"/>
          <w:shd w:fill="FFFFFF" w:val="clear"/>
        </w:rPr>
        <w:t xml:space="preserve">For the three months ended June 30, 2023, the Company had two customers, DASNY and LADWP, that accounted for 13.0% and 12.5% of its Energy segment revenues, respectively. For the six months ended June 30, 2023, the Company had two customers, LADWP and DASNY, that accounted for 13.0% and 11.6% of its Energy segment revenues, respectively. For the three and six months ended June 30, 2023, no single customer accounted for 10% or more of its Engineering and Consulting segment revenues. </w:t>
      </w:r>
    </w:p>
    <w:p>
      <w:pPr>
        <w:pStyle w:val="TextBody"/>
        <w:shd w:fill="FFFFFF" w:val="clear"/>
        <w:bidi w:val="0"/>
        <w:spacing w:before="40" w:after="0"/>
        <w:ind w:left="0" w:right="0" w:firstLine="720"/>
        <w:jc w:val="left"/>
        <w:rPr>
          <w:rFonts w:ascii="Times New Roman;Times;serif" w:hAnsi="Times New Roman;Times;serif"/>
          <w:sz w:val="20"/>
        </w:rPr>
      </w:pPr>
      <w:r>
        <w:rPr>
          <w:rFonts w:ascii="Times New Roman;Times;serif" w:hAnsi="Times New Roman;Times;serif"/>
          <w:sz w:val="20"/>
        </w:rPr>
        <w:t xml:space="preserve">On a geographical basis, the Company’s largest clients are based in California and New York. For the three and six months ended June 28, 2024, services provided to clients in California accounted for 44.3% and 43.9%, respectively, of the Company’s consolidated contract revenue, and services provided to clients in New York accounted for 23.7% and 25.3%, respectively, of the Company’s consolidated contract revenue. For the three and six months ended June 30, 2023, services provided to clients in California accounted for 41.4% and 41.9%, respectively, of the Company’s contract revenue and services provided to clients in New York accounted for 26.1% and 25.3%, respectively, of the Company’s contract revenue.   </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10. INCOME TAXES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the Company’s consideration of future taxable income which is driven by verifiable signed contracts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the end of fiscal year 2023, the Company’s total valuation allowance was $1.2 million, remaining unchanged from the end of fiscal year 2022. As of June 28, 2024, the Company assessed all available positive and negative evidence available to determine whether, based on the weight of that evidence, there was a change in judgment related to the utilization of deferred tax assets in future years. The Company concluded that as of June 28, 2024, the valuation allowance for the Company’s deferred tax assets was appropriate in accordance with ASC 740. Consequently, there was no change to the valuation allowance during the three and six months ended June 28, 2024.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During the three and six months ended June 28, 2024, and the three and six months ended June 30, 2023, the Company did not record a liability for uncertain tax positions.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Based on the Company’s estimates and determination of an effective tax rate for the year, the Company recorded an income tax expense of $0.7 million and $1.7 million for the three and six months ended June 28, 2024, respectively, compared to an income tax expense of $0.2 million and $1.0 million for the three and six months ended June 30, 2023, respectively. During the three and six months ended June 28, 2024, the difference between the effective tax rate and the federal statutory rate was primarily attributable to state taxes, non-deductible stock compensation, nondeductible executive compensation, research and development tax credits, and the commercial building energy efficiency deduction. During the three and six months ended June 30, 2023, the difference between the effective tax rate and the federal statutory rate was primarily attributable to state taxes, non-deductible stock compensation, nondeductible executive compensation, research and development tax credits, and the commercial building energy efficiency deduction.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292" w:name="Tc_rGAYkX3LiUyjk3XwpiKlSA_11_11"/>
      <w:bookmarkStart w:id="1293" w:name="Tc_kraiFzKH6UeOaNG6zBJiyg_11_8"/>
      <w:bookmarkStart w:id="1294" w:name="Tc_qmnYdBBtrEqOmb-irUqtpQ_11_5"/>
      <w:bookmarkStart w:id="1295" w:name="Tc_u0rTIkWf5kygDcnGV_m-MA_11_2"/>
      <w:bookmarkStart w:id="1296" w:name="Tc_s5tgq6Dj9ESKj8etKm4oug_11_0"/>
      <w:bookmarkStart w:id="1297" w:name="Tc_Qovatgq2l0G-fq9fBlXxiA_10_11"/>
      <w:bookmarkStart w:id="1298" w:name="Tc_E_X2ayxRRUOZqxJLCPXd3Q_10_8"/>
      <w:bookmarkStart w:id="1299" w:name="Tc_IWD1pCHN1EuwVdhk7ihsdQ_10_5"/>
      <w:bookmarkStart w:id="1300" w:name="Tc_L1lPVcbBWkC2ibnMCmuGxQ_10_2"/>
      <w:bookmarkStart w:id="1301" w:name="Tc_6h-ObBvhfUeQ_umVAW-s8g_10_0"/>
      <w:bookmarkStart w:id="1302" w:name="Tc_FlmONH1IK0qCw6U3dkTYAw_9_0"/>
      <w:bookmarkStart w:id="1303" w:name="Tc_oS3_QPKsZEaZUkZD2oL2YA_8_0"/>
      <w:bookmarkStart w:id="1304" w:name="Tc_NO8AOwnR3Um2WeLBgpfqYQ_7_0"/>
      <w:bookmarkStart w:id="1305" w:name="Tc_QOv53bLndEizvnPZcYfPhw_6_0"/>
      <w:bookmarkStart w:id="1306" w:name="Tc_tEyqPha17UyFse755JMO_g_5_11"/>
      <w:bookmarkStart w:id="1307" w:name="Tc_Y_EZICdT0EmzWccX08UP7Q_5_8"/>
      <w:bookmarkStart w:id="1308" w:name="Tc_6fARnQEcaUqHB2UPdJKlaw_5_5"/>
      <w:bookmarkStart w:id="1309" w:name="Tc_alI4CbvEekWZ73Q65VI_lg_5_2"/>
      <w:bookmarkStart w:id="1310" w:name="Tc_LqRKFodL1UCgQKl1eC6VHw_5_0"/>
      <w:bookmarkStart w:id="1311" w:name="Tc_WdrzeRJa1keFjHdnLgllmA_4_2"/>
      <w:bookmarkStart w:id="1312" w:name="Tc_lZqMnN7lqUqzegDrW2pJSw_3_11"/>
      <w:bookmarkStart w:id="1313" w:name="Tc_vLO3xcDzTkyM3gBHfOZGHQ_3_8"/>
      <w:bookmarkStart w:id="1314" w:name="Tc_T1bhIfmI4Uimu_JCLBmhLQ_3_5"/>
      <w:bookmarkStart w:id="1315" w:name="Tc_rGM56XCG_kW-tenatt0hkg_3_2"/>
      <w:bookmarkStart w:id="1316" w:name="Tc_lTmKEGMLPUy47nHjkR_lKg_2_11"/>
      <w:bookmarkStart w:id="1317" w:name="Tc_I_DOJK1xLUCXTmtJOkTd0g_2_8"/>
      <w:bookmarkStart w:id="1318" w:name="Tc_xH28rYLWwkyBZ-Qrp-rBQw_2_5"/>
      <w:bookmarkStart w:id="1319" w:name="Tc_ChKIyj7-zEiplUIROBeYPw_2_2"/>
      <w:bookmarkStart w:id="1320" w:name="Tc_tKlH5pb5skCsIAfi3IViLA_1_8"/>
      <w:bookmarkStart w:id="1321" w:name="Tc_bFYL54AJlECMPrs9zyNqEw_1_2"/>
      <w:bookmarkStart w:id="1322" w:name="_d6162344_f958_4411_9488_f538b1cbcc31"/>
      <w:bookmarkStart w:id="1323" w:name="_2a1d0ec2_c041_4215_9911_0c5f6d95054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r>
        <w:rPr>
          <w:rFonts w:ascii="Times New Roman;Times;serif" w:hAnsi="Times New Roman;Times;serif"/>
          <w:b/>
          <w:sz w:val="20"/>
        </w:rPr>
        <w:t>11. EARNINGS PER SHARE (“EPS”)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weighted-average common shares outstanding used to compute basic and diluted EPS:</w:t>
      </w:r>
    </w:p>
    <w:p>
      <w:pPr>
        <w:pStyle w:val="TextBody"/>
        <w:bidi w:val="0"/>
        <w:spacing w:before="0" w:after="0"/>
        <w:ind w:left="0" w:right="0" w:hanging="0"/>
        <w:jc w:val="left"/>
        <w:rPr/>
      </w:pPr>
      <w:r>
        <w:rPr/>
        <w:t>​</w:t>
      </w:r>
    </w:p>
    <w:tbl>
      <w:tblPr>
        <w:tblW w:w="9758" w:type="dxa"/>
        <w:jc w:val="left"/>
        <w:tblInd w:w="0" w:type="dxa"/>
        <w:tblLayout w:type="fixed"/>
        <w:tblCellMar>
          <w:top w:w="0" w:type="dxa"/>
          <w:left w:w="0" w:type="dxa"/>
          <w:bottom w:w="0" w:type="dxa"/>
          <w:right w:w="0" w:type="dxa"/>
        </w:tblCellMar>
      </w:tblPr>
      <w:tblGrid>
        <w:gridCol w:w="4861"/>
        <w:gridCol w:w="326"/>
        <w:gridCol w:w="211"/>
        <w:gridCol w:w="676"/>
        <w:gridCol w:w="326"/>
        <w:gridCol w:w="211"/>
        <w:gridCol w:w="676"/>
        <w:gridCol w:w="326"/>
        <w:gridCol w:w="211"/>
        <w:gridCol w:w="676"/>
        <w:gridCol w:w="326"/>
        <w:gridCol w:w="211"/>
        <w:gridCol w:w="721"/>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086735" cy="175260"/>
                      <wp:effectExtent l="0" t="0" r="0" b="0"/>
                      <wp:wrapNone/>
                      <wp:docPr id="195" name="Frame195"/>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29260" cy="175260"/>
                      <wp:effectExtent l="0" t="0" r="0" b="0"/>
                      <wp:wrapNone/>
                      <wp:docPr id="198" name="Frame1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9260" cy="175260"/>
                      <wp:effectExtent l="0" t="0" r="0" b="0"/>
                      <wp:wrapNone/>
                      <wp:docPr id="201" name="Frame2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4" name="Frame2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57835" cy="175260"/>
                      <wp:effectExtent l="0" t="0" r="0" b="0"/>
                      <wp:wrapNone/>
                      <wp:docPr id="207" name="Frame20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71"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13,305</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 awards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13,481</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June 28, 2024, the Company excluded 273,000 and 409,000 common shares subject to outstanding equity awards, respectively, from the calculation of diluted shares because their impact would have been anti-dilutive. For the three and six months ended June 30, 2023, the Company excluded 451,000 and 433,000 common shares subject to outstanding equity awards, respectively, from the calculation of diluted shares because their impact would have been anti-dilutive.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12. CONTINGENCIES</w:t>
      </w:r>
    </w:p>
    <w:p>
      <w:pPr>
        <w:pStyle w:val="TextBody"/>
        <w:pBdr/>
        <w:bidi w:val="0"/>
        <w:spacing w:lineRule="atLeast" w:line="220" w:before="0" w:after="24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13. SUBSEQUENT EVENTS</w:t>
      </w:r>
    </w:p>
    <w:p>
      <w:pPr>
        <w:pStyle w:val="TextBody"/>
        <w:bidi w:val="0"/>
        <w:spacing w:lineRule="atLeast" w:line="220"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accordance with ASC Topic 855, Subsequent Events, the Company evaluates subsequent events up until the date the Condensed Consolidated Financial Statements are issued. As of August 1, 2024, there were no subsequent events required to be reported.</w:t>
      </w:r>
    </w:p>
    <w:p>
      <w:pPr>
        <w:pStyle w:val="TextBody"/>
        <w:bidi w:val="0"/>
        <w:spacing w:before="100" w:after="100"/>
        <w:ind w:left="0" w:right="0" w:firstLine="720"/>
        <w:jc w:val="left"/>
        <w:rPr>
          <w:shd w:fill="FFFFFF" w:val="clear"/>
        </w:rPr>
      </w:pPr>
      <w:r>
        <w:rPr>
          <w:shd w:fill="FFFFFF" w:val="clear"/>
        </w:rPr>
        <w:t>​</w:t>
      </w:r>
    </w:p>
    <w:p>
      <w:pPr>
        <w:pStyle w:val="TextBody"/>
        <w:bidi w:val="0"/>
        <w:spacing w:before="100" w:after="100"/>
        <w:ind w:left="0" w:right="0" w:firstLine="720"/>
        <w:jc w:val="left"/>
        <w:rPr>
          <w:shd w:fill="FFFFFF" w:val="clear"/>
        </w:rPr>
      </w:pPr>
      <w:r>
        <w:rPr>
          <w:shd w:fill="FFFFFF" w:val="clear"/>
        </w:rPr>
        <w:t>​</w:t>
      </w:r>
    </w:p>
    <w:p>
      <w:pPr>
        <w:pStyle w:val="TextBody"/>
        <w:bidi w:val="0"/>
        <w:spacing w:before="0" w:after="0"/>
        <w:ind w:left="0" w:right="0" w:firstLine="720"/>
        <w:jc w:val="left"/>
        <w:rPr/>
      </w:pPr>
      <w:r>
        <w:rPr/>
        <w:t> </w:t>
      </w:r>
    </w:p>
    <w:p>
      <w:pPr>
        <w:pStyle w:val="TextBody"/>
        <w:bidi w:val="0"/>
        <w:spacing w:before="100" w:after="100"/>
        <w:ind w:left="0" w:right="0" w:firstLine="720"/>
        <w:jc w:val="left"/>
        <w:rPr>
          <w:shd w:fill="FFFFFF" w:val="clear"/>
        </w:rPr>
      </w:pPr>
      <w:r>
        <w:rPr>
          <w:shd w:fill="FFFFFF" w:val="clear"/>
        </w:rPr>
        <w:t>​</w:t>
      </w:r>
    </w:p>
    <w:p>
      <w:pPr>
        <w:pStyle w:val="TextBody"/>
        <w:bidi w:val="0"/>
        <w:spacing w:before="100" w:after="100"/>
        <w:ind w:left="0" w:right="0" w:firstLine="72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60"/>
        <w:ind w:left="72" w:right="0" w:hanging="828"/>
        <w:jc w:val="left"/>
        <w:rPr>
          <w:rFonts w:ascii="Times New Roman;Times;serif" w:hAnsi="Times New Roman;Times;serif"/>
          <w:sz w:val="20"/>
        </w:rPr>
      </w:pPr>
      <w:bookmarkStart w:id="1324" w:name="ITEM7MANAGEMENTSDISCUSSION_533905"/>
      <w:bookmarkStart w:id="1325" w:name="_77673820_f017_4430_9884_d5cb9416f30e"/>
      <w:bookmarkEnd w:id="1324"/>
      <w:bookmarkEnd w:id="1325"/>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management, we plan, design and deliver trusted, comprehensive, innovative, and proven solutions to improve efficiency, resiliency, and sustainability in energy and infrastructure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Energy segment provides specialized, innovative, comprehensive energy solutions to businesses, utilities, state agencies, municipalities, and non-profit organizations in the U.S. Our experienced engineers, consultants, and staff help our clients realize cost and energy savings by tailoring efficient and cost-effective solutions to assist in optimizing energy spend. Our energy efficiency services include comprehensive audit and surveys, program design, master planning, demand reduction, grid optimization, benchmarking analyses, design engineering, construction management, performance contracting, installation, alternative financing, measurement and verification services, and advances in software and data analytics for long-term planning.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Engineering and Consulting segment provides civil engineering-related construction management, building and safety, city engineering office management, city planning, civil design, geotechnical, material testing and other engineering consulting services to our clients. Our engineering services include traffic, bridges, rail, port, water, mining and other civil engineering projects. We also provide economic and financial consulting to public agencies. Lastly, we supplement the engineering services that we offer our clients by offering expertise and support for the various financing techniques public agencies utilize to finance their operations and infrastructure. We also support the mandated reporting and other requirements associated with these financings. We provide financial advisory services for municipal securities but do not provide underwriting services.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60"/>
        <w:ind w:left="0" w:right="0" w:firstLine="180"/>
        <w:jc w:val="left"/>
        <w:rPr>
          <w:rFonts w:ascii="Times New Roman;Times;serif" w:hAnsi="Times New Roman;Times;serif"/>
          <w:i/>
          <w:sz w:val="20"/>
        </w:rPr>
      </w:pPr>
      <w:r>
        <w:rPr>
          <w:rFonts w:ascii="Times New Roman;Times;serif" w:hAnsi="Times New Roman;Times;serif"/>
          <w:i/>
          <w:sz w:val="20"/>
        </w:rPr>
        <w:t>Second Quarter and First Half Overview</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certain information derived from our condensed consolidated statements of comprehensive income</w:t>
      </w:r>
      <w:r>
        <w:rPr>
          <w:rFonts w:ascii="Times New Roman;Times;serif" w:hAnsi="Times New Roman;Times;serif"/>
          <w:sz w:val="15"/>
        </w:rPr>
        <w:t>(1)</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2420"/>
        <w:gridCol w:w="386"/>
        <w:gridCol w:w="196"/>
        <w:gridCol w:w="691"/>
        <w:gridCol w:w="386"/>
        <w:gridCol w:w="531"/>
        <w:gridCol w:w="241"/>
        <w:gridCol w:w="386"/>
        <w:gridCol w:w="196"/>
        <w:gridCol w:w="691"/>
        <w:gridCol w:w="386"/>
        <w:gridCol w:w="531"/>
        <w:gridCol w:w="241"/>
        <w:gridCol w:w="386"/>
        <w:gridCol w:w="196"/>
        <w:gridCol w:w="796"/>
        <w:gridCol w:w="386"/>
        <w:gridCol w:w="871"/>
        <w:gridCol w:w="288"/>
      </w:tblGrid>
      <w:tr>
        <w:trPr/>
        <w:tc>
          <w:tcPr>
            <w:tcW w:w="2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36700" cy="175260"/>
                      <wp:effectExtent l="0" t="0" r="0" b="0"/>
                      <wp:wrapNone/>
                      <wp:docPr id="208" name="Frame208"/>
                      <a:graphic xmlns:a="http://schemas.openxmlformats.org/drawingml/2006/main">
                        <a:graphicData uri="http://schemas.microsoft.com/office/word/2010/wordprocessingShape">
                          <wps:wsp>
                            <wps:cNvSpPr txBox="1"/>
                            <wps:spPr>
                              <a:xfrm>
                                <a:off x="0" y="0"/>
                                <a:ext cx="153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45110" cy="175260"/>
                      <wp:effectExtent l="0" t="0" r="0" b="0"/>
                      <wp:wrapNone/>
                      <wp:docPr id="209" name="Frame20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24460" cy="175260"/>
                      <wp:effectExtent l="0" t="0" r="0" b="0"/>
                      <wp:wrapNone/>
                      <wp:docPr id="210"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8785" cy="175260"/>
                      <wp:effectExtent l="0" t="0" r="0" b="0"/>
                      <wp:wrapNone/>
                      <wp:docPr id="211" name="Frame2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45110" cy="175260"/>
                      <wp:effectExtent l="0" t="0" r="0" b="0"/>
                      <wp:wrapNone/>
                      <wp:docPr id="212" name="Frame21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37185" cy="175260"/>
                      <wp:effectExtent l="0" t="0" r="0" b="0"/>
                      <wp:wrapNone/>
                      <wp:docPr id="213" name="Frame213"/>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53035" cy="175260"/>
                      <wp:effectExtent l="0" t="0" r="0" b="0"/>
                      <wp:wrapNone/>
                      <wp:docPr id="214" name="Frame21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5110" cy="175260"/>
                      <wp:effectExtent l="0" t="0" r="0" b="0"/>
                      <wp:wrapNone/>
                      <wp:docPr id="215" name="Frame21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24460" cy="175260"/>
                      <wp:effectExtent l="0" t="0" r="0" b="0"/>
                      <wp:wrapNone/>
                      <wp:docPr id="216" name="Frame2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38785" cy="175260"/>
                      <wp:effectExtent l="0" t="0" r="0" b="0"/>
                      <wp:wrapNone/>
                      <wp:docPr id="217" name="Frame2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45110" cy="175260"/>
                      <wp:effectExtent l="0" t="0" r="0" b="0"/>
                      <wp:wrapNone/>
                      <wp:docPr id="218" name="Frame21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37185" cy="175260"/>
                      <wp:effectExtent l="0" t="0" r="0" b="0"/>
                      <wp:wrapNone/>
                      <wp:docPr id="219" name="Frame219"/>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53035" cy="175260"/>
                      <wp:effectExtent l="0" t="0" r="0" b="0"/>
                      <wp:wrapNone/>
                      <wp:docPr id="220" name="Frame22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45110" cy="175260"/>
                      <wp:effectExtent l="0" t="0" r="0" b="0"/>
                      <wp:wrapNone/>
                      <wp:docPr id="221" name="Frame22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4460" cy="175260"/>
                      <wp:effectExtent l="0" t="0" r="0" b="0"/>
                      <wp:wrapNone/>
                      <wp:docPr id="222" name="Frame2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05460" cy="175260"/>
                      <wp:effectExtent l="0" t="0" r="0" b="0"/>
                      <wp:wrapNone/>
                      <wp:docPr id="223" name="Frame2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45110" cy="175260"/>
                      <wp:effectExtent l="0" t="0" r="0" b="0"/>
                      <wp:wrapNone/>
                      <wp:docPr id="224" name="Frame22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53085" cy="175260"/>
                      <wp:effectExtent l="0" t="0" r="0" b="0"/>
                      <wp:wrapNone/>
                      <wp:docPr id="225" name="Frame22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82880" cy="175260"/>
                      <wp:effectExtent l="0" t="0" r="0" b="0"/>
                      <wp:wrapNone/>
                      <wp:docPr id="226" name="Frame226"/>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111"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86" w:type="dxa"/>
            <w:tcBorders/>
            <w:vAlign w:val="center"/>
          </w:tcPr>
          <w:p>
            <w:pPr>
              <w:pStyle w:val="TableContents"/>
              <w:bidi w:val="0"/>
              <w:spacing w:before="0" w:after="0"/>
              <w:ind w:left="0" w:right="0" w:hanging="0"/>
              <w:jc w:val="center"/>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before="0" w:after="0"/>
              <w:ind w:left="0" w:right="0" w:hanging="0"/>
              <w:jc w:val="center"/>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8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8"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111"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c>
          <w:tcPr>
            <w:tcW w:w="386" w:type="dxa"/>
            <w:tcBorders/>
            <w:shd w:fill="CCEEFF" w:val="clear"/>
            <w:vAlign w:val="center"/>
          </w:tcPr>
          <w:p>
            <w:pPr>
              <w:pStyle w:val="TableContents"/>
              <w:bidi w:val="0"/>
              <w:spacing w:before="0" w:after="0"/>
              <w:ind w:left="0" w:right="0" w:hanging="0"/>
              <w:jc w:val="righ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119,077</w:t>
            </w:r>
          </w:p>
        </w:tc>
        <w:tc>
          <w:tcPr>
            <w:tcW w:w="386" w:type="dxa"/>
            <w:tcBorders/>
            <w:shd w:fill="CCEEFF" w:val="clear"/>
            <w:vAlign w:val="center"/>
          </w:tcPr>
          <w:p>
            <w:pPr>
              <w:pStyle w:val="TableContents"/>
              <w:bidi w:val="0"/>
              <w:spacing w:before="0" w:after="0"/>
              <w:ind w:left="0" w:right="0" w:hanging="0"/>
              <w:jc w:val="righ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21,919</w:t>
            </w:r>
          </w:p>
        </w:tc>
        <w:tc>
          <w:tcPr>
            <w:tcW w:w="386" w:type="dxa"/>
            <w:tcBorders/>
            <w:shd w:fill="CCEEFF" w:val="clear"/>
            <w:vAlign w:val="center"/>
          </w:tcPr>
          <w:p>
            <w:pPr>
              <w:pStyle w:val="TableContents"/>
              <w:bidi w:val="0"/>
              <w:spacing w:before="0" w:after="0"/>
              <w:ind w:left="0" w:right="0" w:hanging="0"/>
              <w:jc w:val="righ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18.4 </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23,647</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16.8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21,302</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17.9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2,345</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11.0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68,545</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48.6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57,142</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48.0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11,403</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20.0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92,192</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65.4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78,444</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65.9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13,748</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17.5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48,804</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40,633</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34.1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20.1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26,064</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18.5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22,416</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3,648</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16.3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2,405</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2,619</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1,945</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1,287</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51.1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3,629</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8,313</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5.9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7,709</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7.8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42,356</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30.0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38,159</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32.0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4,197</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11.0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6,448</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2,474</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3,974</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160.6</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(2,207)</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826</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0.3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121.4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(1,134)</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(1,834)</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5,314</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4,674</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196.3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4,594</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0.3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4,197</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r>
    </w:tbl>
    <w:tbl>
      <w:tblPr>
        <w:tblW w:w="7262" w:type="dxa"/>
        <w:jc w:val="left"/>
        <w:tblInd w:w="0" w:type="dxa"/>
        <w:tblLayout w:type="fixed"/>
        <w:tblCellMar>
          <w:top w:w="0" w:type="dxa"/>
          <w:left w:w="0" w:type="dxa"/>
          <w:bottom w:w="0" w:type="dxa"/>
          <w:right w:w="0" w:type="dxa"/>
        </w:tblCellMar>
      </w:tblPr>
      <w:tblGrid>
        <w:gridCol w:w="286"/>
        <w:gridCol w:w="69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p>
      <w:pPr>
        <w:pStyle w:val="TextBody"/>
        <w:bidi w:val="0"/>
        <w:spacing w:before="0" w:after="0"/>
        <w:ind w:left="360" w:right="0" w:hanging="0"/>
        <w:jc w:val="left"/>
        <w:rPr>
          <w:rFonts w:ascii="Times New Roman;Times;serif" w:hAnsi="Times New Roman;Times;serif"/>
          <w:i/>
          <w:sz w:val="16"/>
          <w:shd w:fill="FFFFFF" w:val="clear"/>
        </w:rPr>
      </w:pPr>
      <w:r>
        <w:rPr>
          <w:rFonts w:ascii="Times New Roman;Times;serif" w:hAnsi="Times New Roman;Times;serif"/>
          <w:i/>
          <w:sz w:val="16"/>
          <w:shd w:fill="FFFFFF" w:val="clear"/>
        </w:rPr>
        <w:t>N/M = Not meaningful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53"/>
        <w:gridCol w:w="326"/>
        <w:gridCol w:w="196"/>
        <w:gridCol w:w="691"/>
        <w:gridCol w:w="326"/>
        <w:gridCol w:w="535"/>
        <w:gridCol w:w="241"/>
        <w:gridCol w:w="326"/>
        <w:gridCol w:w="196"/>
        <w:gridCol w:w="691"/>
        <w:gridCol w:w="386"/>
        <w:gridCol w:w="535"/>
        <w:gridCol w:w="241"/>
        <w:gridCol w:w="326"/>
        <w:gridCol w:w="196"/>
        <w:gridCol w:w="796"/>
        <w:gridCol w:w="386"/>
        <w:gridCol w:w="871"/>
        <w:gridCol w:w="287"/>
      </w:tblGrid>
      <w:tr>
        <w:trPr/>
        <w:tc>
          <w:tcPr>
            <w:tcW w:w="2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84655" cy="175260"/>
                      <wp:effectExtent l="0" t="0" r="0" b="0"/>
                      <wp:wrapNone/>
                      <wp:docPr id="227" name="Frame227"/>
                      <a:graphic xmlns:a="http://schemas.openxmlformats.org/drawingml/2006/main">
                        <a:graphicData uri="http://schemas.microsoft.com/office/word/2010/wordprocessingShape">
                          <wps:wsp>
                            <wps:cNvSpPr txBox="1"/>
                            <wps:spPr>
                              <a:xfrm>
                                <a:off x="0" y="0"/>
                                <a:ext cx="168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4460" cy="175260"/>
                      <wp:effectExtent l="0" t="0" r="0" b="0"/>
                      <wp:wrapNone/>
                      <wp:docPr id="229" name="Frame2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785" cy="175260"/>
                      <wp:effectExtent l="0" t="0" r="0" b="0"/>
                      <wp:wrapNone/>
                      <wp:docPr id="230" name="Frame2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39725" cy="175260"/>
                      <wp:effectExtent l="0" t="0" r="0" b="0"/>
                      <wp:wrapNone/>
                      <wp:docPr id="232" name="Frame232"/>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3035" cy="175260"/>
                      <wp:effectExtent l="0" t="0" r="0" b="0"/>
                      <wp:wrapNone/>
                      <wp:docPr id="233" name="Frame23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235" name="Frame2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38785" cy="175260"/>
                      <wp:effectExtent l="0" t="0" r="0" b="0"/>
                      <wp:wrapNone/>
                      <wp:docPr id="236" name="Frame2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5110" cy="175260"/>
                      <wp:effectExtent l="0" t="0" r="0" b="0"/>
                      <wp:wrapNone/>
                      <wp:docPr id="237" name="Frame23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39725" cy="175260"/>
                      <wp:effectExtent l="0" t="0" r="0" b="0"/>
                      <wp:wrapNone/>
                      <wp:docPr id="238" name="Frame238"/>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3035" cy="175260"/>
                      <wp:effectExtent l="0" t="0" r="0" b="0"/>
                      <wp:wrapNone/>
                      <wp:docPr id="239" name="Frame23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05460" cy="175260"/>
                      <wp:effectExtent l="0" t="0" r="0" b="0"/>
                      <wp:wrapNone/>
                      <wp:docPr id="242" name="Frame2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45110" cy="175260"/>
                      <wp:effectExtent l="0" t="0" r="0" b="0"/>
                      <wp:wrapNone/>
                      <wp:docPr id="243" name="Frame24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53085" cy="175260"/>
                      <wp:effectExtent l="0" t="0" r="0" b="0"/>
                      <wp:wrapNone/>
                      <wp:docPr id="244" name="Frame24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82245" cy="175260"/>
                      <wp:effectExtent l="0" t="0" r="0" b="0"/>
                      <wp:wrapNone/>
                      <wp:docPr id="245" name="Frame245"/>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39"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w:t>
            </w:r>
          </w:p>
        </w:tc>
        <w:tc>
          <w:tcPr>
            <w:tcW w:w="20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20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8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7"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39"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35"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5"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c>
          <w:tcPr>
            <w:tcW w:w="326" w:type="dxa"/>
            <w:tcBorders/>
            <w:shd w:fill="CCEEFF" w:val="clear"/>
            <w:vAlign w:val="center"/>
          </w:tcPr>
          <w:p>
            <w:pPr>
              <w:pStyle w:val="TableContents"/>
              <w:bidi w:val="0"/>
              <w:spacing w:before="0" w:after="0"/>
              <w:ind w:left="0" w:right="0" w:hanging="0"/>
              <w:jc w:val="right"/>
              <w:rPr/>
            </w:pPr>
            <w:r>
              <w:rPr/>
              <w:t>    </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221,680</w:t>
            </w:r>
          </w:p>
        </w:tc>
        <w:tc>
          <w:tcPr>
            <w:tcW w:w="386" w:type="dxa"/>
            <w:tcBorders/>
            <w:shd w:fill="CCEEFF" w:val="clear"/>
            <w:vAlign w:val="center"/>
          </w:tcPr>
          <w:p>
            <w:pPr>
              <w:pStyle w:val="TableContents"/>
              <w:bidi w:val="0"/>
              <w:spacing w:before="0" w:after="0"/>
              <w:ind w:left="0" w:right="0" w:hanging="0"/>
              <w:jc w:val="left"/>
              <w:rPr/>
            </w:pPr>
            <w:r>
              <w:rPr/>
              <w:t>     </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41,805</w:t>
            </w:r>
          </w:p>
        </w:tc>
        <w:tc>
          <w:tcPr>
            <w:tcW w:w="38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18.9 </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45,159</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17.1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41,712</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3,447</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8.3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122,104</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46.3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98,054</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44.2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24,050</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24.5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167,263</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139,766</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63.0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27,497</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19.7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96,222</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81,914</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37.0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14,308</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17.5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52,573</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20.0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44,801</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20.2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7,772</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17.3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4,850</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4,897</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3,335</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2,820</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18.3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7,221</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8,328</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(1,107)</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16,434</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14,580</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12.7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84,413</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32.0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75,426</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34.0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8,987</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11.9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11,809</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6,488</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82.0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(4,097)</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(4,673)</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1,530</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1,017</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198.2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(2,567)</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(4,160)</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9,242</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2,328</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6,914</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297.0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1,706</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70.8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7,536</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1,329</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6,207</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467.0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r>
    </w:tbl>
    <w:tbl>
      <w:tblPr>
        <w:tblW w:w="7262" w:type="dxa"/>
        <w:jc w:val="left"/>
        <w:tblInd w:w="0" w:type="dxa"/>
        <w:tblLayout w:type="fixed"/>
        <w:tblCellMar>
          <w:top w:w="0" w:type="dxa"/>
          <w:left w:w="0" w:type="dxa"/>
          <w:bottom w:w="0" w:type="dxa"/>
          <w:right w:w="0" w:type="dxa"/>
        </w:tblCellMar>
      </w:tblPr>
      <w:tblGrid>
        <w:gridCol w:w="286"/>
        <w:gridCol w:w="69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provides information about disaggregated revenue of our two segments, Energy and Engineering and Consulting, by contract type, client type and geographical region:</w:t>
      </w:r>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34085" cy="175260"/>
                      <wp:effectExtent l="0" t="0" r="0" b="0"/>
                      <wp:wrapNone/>
                      <wp:docPr id="246" name="Frame246"/>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24460" cy="175260"/>
                      <wp:effectExtent l="0" t="0" r="0" b="0"/>
                      <wp:wrapNone/>
                      <wp:docPr id="248" name="Frame2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38785" cy="175260"/>
                      <wp:effectExtent l="0" t="0" r="0" b="0"/>
                      <wp:wrapNone/>
                      <wp:docPr id="249" name="Frame2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1295" cy="175260"/>
                      <wp:effectExtent l="0" t="0" r="0" b="0"/>
                      <wp:wrapNone/>
                      <wp:docPr id="251" name="Frame25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18490" cy="175260"/>
                      <wp:effectExtent l="0" t="0" r="0" b="0"/>
                      <wp:wrapNone/>
                      <wp:docPr id="252" name="Frame252"/>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4460" cy="175260"/>
                      <wp:effectExtent l="0" t="0" r="0" b="0"/>
                      <wp:wrapNone/>
                      <wp:docPr id="254" name="Frame2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05460" cy="175260"/>
                      <wp:effectExtent l="0" t="0" r="0" b="0"/>
                      <wp:wrapNone/>
                      <wp:docPr id="255" name="Frame2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28,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8,700</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25,727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47,578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52,449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61,574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62,820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8,691</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10,424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51,468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72,829</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57,693</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57,743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28,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17,237</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50,663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94,535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103,917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106,826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108,905</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15,894</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19,207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87,288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128,747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115,416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115,531</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263,485</w:t>
            </w:r>
          </w:p>
        </w:tc>
      </w:tr>
    </w:tbl>
    <w:p>
      <w:pPr>
        <w:pStyle w:val="TextBody"/>
        <w:bidi w:val="0"/>
        <w:spacing w:before="0" w:after="0"/>
        <w:ind w:left="0" w:right="0" w:hanging="0"/>
        <w:jc w:val="left"/>
        <w:rPr/>
      </w:pPr>
      <w:r>
        <w:rPr/>
        <w:t>​</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8740" cy="175260"/>
                      <wp:effectExtent l="0" t="0" r="0" b="0"/>
                      <wp:wrapNone/>
                      <wp:docPr id="256" name="Frame25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7790" cy="175260"/>
                      <wp:effectExtent l="0" t="0" r="0" b="0"/>
                      <wp:wrapNone/>
                      <wp:docPr id="265" name="Frame26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0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6"/>
      </w:tblGrid>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8,947</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25,390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39,900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43,718</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49,168</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49,969</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98,015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119,077</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7,440</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8,816</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40,543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60,153</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50,032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50,108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98,015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119,077</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98,015</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119,077</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16,656</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47,653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84,827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92,261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79,817</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81,766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181,300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221,680</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14,159</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16,699</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66,618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104,323</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100,523</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100,658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181,300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221,680</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181,300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40,380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221,680</w:t>
            </w:r>
          </w:p>
        </w:tc>
      </w:tr>
    </w:tbl>
    <w:p>
      <w:pPr>
        <w:pStyle w:val="TextBody"/>
        <w:bidi w:val="0"/>
        <w:spacing w:before="0" w:after="0"/>
        <w:ind w:left="360" w:right="0" w:hanging="0"/>
        <w:jc w:val="left"/>
        <w:rPr/>
      </w:pPr>
      <w:r>
        <w:rPr/>
        <w:t>​</w:t>
      </w:r>
    </w:p>
    <w:tbl>
      <w:tblPr>
        <w:tblW w:w="4022" w:type="dxa"/>
        <w:jc w:val="left"/>
        <w:tblInd w:w="0" w:type="dxa"/>
        <w:tblLayout w:type="fixed"/>
        <w:tblCellMar>
          <w:top w:w="0" w:type="dxa"/>
          <w:left w:w="0" w:type="dxa"/>
          <w:bottom w:w="0" w:type="dxa"/>
          <w:right w:w="0" w:type="dxa"/>
        </w:tblCellMar>
      </w:tblPr>
      <w:tblGrid>
        <w:gridCol w:w="286"/>
        <w:gridCol w:w="373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187" w:type="dxa"/>
        <w:jc w:val="left"/>
        <w:tblInd w:w="0" w:type="dxa"/>
        <w:tblLayout w:type="fixed"/>
        <w:tblCellMar>
          <w:top w:w="0" w:type="dxa"/>
          <w:left w:w="0" w:type="dxa"/>
          <w:bottom w:w="0" w:type="dxa"/>
          <w:right w:w="0" w:type="dxa"/>
        </w:tblCellMar>
      </w:tblPr>
      <w:tblGrid>
        <w:gridCol w:w="286"/>
        <w:gridCol w:w="690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9062" w:type="dxa"/>
        <w:jc w:val="left"/>
        <w:tblInd w:w="0" w:type="dxa"/>
        <w:tblLayout w:type="fixed"/>
        <w:tblCellMar>
          <w:top w:w="0" w:type="dxa"/>
          <w:left w:w="0" w:type="dxa"/>
          <w:bottom w:w="0" w:type="dxa"/>
          <w:right w:w="0" w:type="dxa"/>
        </w:tblCellMar>
      </w:tblPr>
      <w:tblGrid>
        <w:gridCol w:w="286"/>
        <w:gridCol w:w="877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8776" w:type="dxa"/>
            <w:tcBorders/>
            <w:vAlign w:val="center"/>
          </w:tcPr>
          <w:p>
            <w:pPr>
              <w:pStyle w:val="TableContents"/>
              <w:bidi w:val="0"/>
              <w:spacing w:before="0" w:after="283"/>
              <w:jc w:val="left"/>
              <w:rPr/>
            </w:pPr>
            <w:r>
              <w:rPr>
                <w:rFonts w:ascii="Times New Roman;Times;serif" w:hAnsi="Times New Roman;Times;serif"/>
                <w:b w:val="false"/>
                <w:i/>
                <w:sz w:val="16"/>
              </w:rPr>
              <w:t>Revenue from our foreign operations were immaterial for the three and six months ended June 28, 2024 and June 30, 2023</w:t>
            </w:r>
            <w:r>
              <w:rPr>
                <w:rFonts w:ascii="Times New Roman;Times;serif" w:hAnsi="Times New Roman;Times;serif"/>
                <w:b w:val="false"/>
                <w:i w:val="false"/>
                <w:caps w:val="false"/>
                <w:smallCaps w:val="false"/>
                <w:sz w:val="18"/>
              </w:rPr>
              <w:t xml:space="preserve">. </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Three Months Ended June 28, 2024 Compared to Three Months Ended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$21.9 million, or 18.4%, in the three months ended June 28, 2024, compared to the three months ended June 30, 2023, due to incremental revenues in both our Energy segment and our Engineering and Consulting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revenue in our Energy segment increased $19.8 million, or 20.2%, in the three months ended June 28, 2024, compared to the three months ended June 30, 2023, primarily as a result of increases in construction management and utility program revenues.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$2.1 million, or 9.9%, in the three months ended June 28, 2024, compared to the three months ended June 30, 2023, primarily due to increased demand for services provided to our clients.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 xml:space="preserve">Direct costs of consolidated contract revenue increased $13.7 million, or 17.5%, for the three months ended June 28, 2024, compared to the three months </w:t>
      </w:r>
      <w:r>
        <w:rPr>
          <w:rFonts w:ascii="Times New Roman;Times;serif" w:hAnsi="Times New Roman;Times;serif"/>
          <w:sz w:val="20"/>
        </w:rPr>
        <w:t>ended June 30, 2023, primarily as a result of the increase, and change of mix, in contract revenues as described above. As a percentage of contract revenue, direct salaries and wages decreased to 16.8% in the three months ended June 28, 2024 from 17.9% in the three months ended June 30, 2023, while subcontractor services and other direct costs increased to 48.6% in the three months ended June 28, 2024 from 48.0% in the three months ended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in our Energy segment </w:t>
      </w:r>
      <w:r>
        <w:rPr>
          <w:rFonts w:ascii="Times New Roman;Times;serif" w:hAnsi="Times New Roman;Times;serif"/>
          <w:sz w:val="20"/>
          <w:shd w:fill="FFFFFF" w:val="clear"/>
        </w:rPr>
        <w:t xml:space="preserve">increased $13.0 million, or 19.0%, for the three months ended June 28, 2024, compared to the three months ended June 30, 2023. </w:t>
      </w:r>
      <w:r>
        <w:rPr>
          <w:rFonts w:ascii="Times New Roman;Times;serif" w:hAnsi="Times New Roman;Times;serif"/>
          <w:sz w:val="20"/>
        </w:rPr>
        <w:t>Direct costs of contract revenue for the Engineering and Consulting segment increased $0.7 million, or 7.5%, in the three months ended June 28, 2024, compared to the three months ended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Subcontractor services and other direct costs increased by $11.4 million, or 20.0%, in the three months ended June 28, 2024</w:t>
      </w:r>
      <w:r>
        <w:rPr>
          <w:rFonts w:ascii="Times New Roman;Times;serif" w:hAnsi="Times New Roman;Times;serif"/>
          <w:sz w:val="20"/>
        </w:rPr>
        <w:t>, compared to the three months ended June 30, 2023, primarily due to the increase in construction management revenues, which utilize a higher percentage of material cost and installation subcontracting. S</w:t>
      </w:r>
      <w:r>
        <w:rPr>
          <w:rFonts w:ascii="Times New Roman;Times;serif" w:hAnsi="Times New Roman;Times;serif"/>
          <w:sz w:val="20"/>
          <w:shd w:fill="FFFFFF" w:val="clear"/>
        </w:rPr>
        <w:t xml:space="preserve">alaries and wages increased by $2.3 million, or 11.0%, in the three months ended June 28, 2024, compared to the three months ended June 30, 2023, </w:t>
      </w:r>
      <w:r>
        <w:rPr>
          <w:rFonts w:ascii="Times New Roman;Times;serif" w:hAnsi="Times New Roman;Times;serif"/>
          <w:sz w:val="20"/>
        </w:rPr>
        <w:t xml:space="preserve">primarily as a </w:t>
      </w:r>
      <w:r>
        <w:rPr>
          <w:rFonts w:ascii="Times New Roman;Times;serif" w:hAnsi="Times New Roman;Times;serif"/>
          <w:sz w:val="20"/>
          <w:shd w:fill="FFFFFF" w:val="clear"/>
        </w:rPr>
        <w:t>result of the increases in contract revenue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20.1% to $48.8 million, or 34.6% gross margin, for the three months ended June 28, 2024, compared to gross profit of $40.6 million, or 34.1% gross margin, for the three months ended June 30, 2023. The increase in our gross margin was primarily driven by changes in the mix of revenues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$4.2 million, or 11.0%, in the three months ended June 28, 2024, compared to the three months ended June 30, 2023. G&amp;A expenses consisted of an increase of $2.2 million in the Energy segment </w:t>
      </w:r>
      <w:r>
        <w:rPr>
          <w:rFonts w:ascii="Times New Roman;Times;serif" w:hAnsi="Times New Roman;Times;serif"/>
          <w:sz w:val="20"/>
          <w:shd w:fill="FFFFFF" w:val="clear"/>
        </w:rPr>
        <w:t>combined with an increase of</w:t>
      </w:r>
      <w:r>
        <w:rPr>
          <w:rFonts w:ascii="Times New Roman;Times;serif" w:hAnsi="Times New Roman;Times;serif"/>
          <w:sz w:val="20"/>
        </w:rPr>
        <w:t xml:space="preserve"> $1.6 million in the Engineering and Consulting segment, and an increase of $0.4 million in unallocated corporate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Within G&amp;A expenses, the increase of $3.6 million in salaries and wages, payroll taxes and employee benefits, combined with the increase of $0.7 million in stock-based compensation, and the increase of $0.6 million in other general and administrative expenses was partially offset by a decrease of $0.5 million in depreciation and amortization. The increase in salaries and wages, payroll taxes and employee benefits was primarily due to an increase in incentive compensation, consistent with the improvement in operating profit, and higher fringe benefit costs. </w:t>
      </w:r>
      <w:r>
        <w:rPr>
          <w:rFonts w:ascii="Times New Roman;Times;serif" w:hAnsi="Times New Roman;Times;serif"/>
          <w:sz w:val="20"/>
          <w:shd w:fill="FFFFFF" w:val="clear"/>
        </w:rPr>
        <w:t>The increase in stock-based compensation expenses was primarily related to new stock grants to current employees and executives. </w:t>
      </w:r>
      <w:r>
        <w:rPr>
          <w:rFonts w:ascii="Times New Roman;Times;serif" w:hAnsi="Times New Roman;Times;serif"/>
          <w:sz w:val="20"/>
        </w:rPr>
        <w:t>The increase in other general and administrative expenses was primarily due to increased professional service fees and computer-related expenses. The decrease in depreciation and amortization was primarily related to lower amortization of intangible assets from prior acquisitions.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to $6.4 million for the three months ended June 28, 2024, compared to an operating income of $2.5 million </w:t>
      </w:r>
      <w:r>
        <w:rPr>
          <w:rFonts w:ascii="Times New Roman;Times;serif" w:hAnsi="Times New Roman;Times;serif"/>
          <w:sz w:val="20"/>
          <w:shd w:fill="FFFFFF" w:val="clear"/>
        </w:rPr>
        <w:t>for the three months ended June 30, 2023</w:t>
      </w:r>
      <w:r>
        <w:rPr>
          <w:rFonts w:ascii="Times New Roman;Times;serif" w:hAnsi="Times New Roman;Times;serif"/>
          <w:sz w:val="20"/>
        </w:rPr>
        <w:t>,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decreased $0.7 million, or 38.2%, for the three months ended June 28, 2024, compared to the three months ended June 30, 2023, primarily due to increased interest income related to our higher cash balances, combined with lower interest expense resulting from the reduced interest rate spread derived from lower debt leverage levels under our credit 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expense of $0.7 million for the three months ended June 28, 2024, an effective tax rate of 13.5% on income before income tax expense, compared to an income tax expense of $0.2 million for the three months ended June 30, 2023, an effective tax rate of 38.0% on income before tax expense. The reduction in the effective tax rate resulted from increases in discrete items related to stock compensation deductions.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$4.6 million for the three months ended June 28, 2024, as compared to a net income of $0.4 million for the three months ended June 30, 2023. The increase in net income was primarily attributable to the increase in income from operations combined with the decrease in total other expense, net and the lower effective tax rate.</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 xml:space="preserve">Six Months Ended June 28, 2024 Compared to Six Months Ended June 30,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$41.8 million, or 18.9%, in the six months ended June 28, 2024, compared to the six months ended June 30, 2023, due to incremental revenues in both our Energy segment and our Engineering and Consulting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Energy segment increased $37.3 million, or 20.6%, in the six months ended June 28, 2024, compared to the six months ended June 30, 2023, primarily as a result of increases in construction management and utility program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$4.5 million, or 11.2%, in the six months ended June 28, 2024, compared to the six months ended June 30, 2023, primarily due to increased demand for services provided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 xml:space="preserve">Direct costs of consolidated contract revenue increased $27.5 million, or 19.7%, for the six months ended June 28, 2024, compared to the six months </w:t>
      </w:r>
      <w:r>
        <w:rPr>
          <w:rFonts w:ascii="Times New Roman;Times;serif" w:hAnsi="Times New Roman;Times;serif"/>
          <w:sz w:val="20"/>
        </w:rPr>
        <w:t>ended June 30, 2023, primarily as a result of the increase, and change of mix, in contract revenues as described above. As a percentage of contract revenue, direct salaries and wages decreased to 17.1% in the six months ended June 28, 2024 from 18.8% in the six months ended June 30, 2023, while subcontractor services and other direct costs increased to 46.3% in the six months ended June 28, 2024 from 44.2% in the six months ended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in our Energy segment </w:t>
      </w:r>
      <w:r>
        <w:rPr>
          <w:rFonts w:ascii="Times New Roman;Times;serif" w:hAnsi="Times New Roman;Times;serif"/>
          <w:sz w:val="20"/>
          <w:shd w:fill="FFFFFF" w:val="clear"/>
        </w:rPr>
        <w:t xml:space="preserve">increased $25.9 million, or 21.4%, for the six months ended June 28, 2024, compared to the six months ended June 30, 2023. </w:t>
      </w:r>
      <w:r>
        <w:rPr>
          <w:rFonts w:ascii="Times New Roman;Times;serif" w:hAnsi="Times New Roman;Times;serif"/>
          <w:sz w:val="20"/>
        </w:rPr>
        <w:t>Direct costs of contract revenue for the Engineering and Consulting segment increased $1.6 million, or 8.6%, in the six months ended June 28, 2024, compared to the six months ended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Subcontractor services and other direct costs increased by $24.1 million, or 24.5%, in the six months ended June 28, 2024</w:t>
      </w:r>
      <w:r>
        <w:rPr>
          <w:rFonts w:ascii="Times New Roman;Times;serif" w:hAnsi="Times New Roman;Times;serif"/>
          <w:sz w:val="20"/>
        </w:rPr>
        <w:t>, compared to the six months ended June 30, 2023, primarily due to the increase in construction management revenues, which utilize a higher percentage of material cost and installation subcontracting. S</w:t>
      </w:r>
      <w:r>
        <w:rPr>
          <w:rFonts w:ascii="Times New Roman;Times;serif" w:hAnsi="Times New Roman;Times;serif"/>
          <w:sz w:val="20"/>
          <w:shd w:fill="FFFFFF" w:val="clear"/>
        </w:rPr>
        <w:t xml:space="preserve">alaries and wages increased by $3.4 million, or 8.3%, in the six months ended June 28, 2024, compared to the six months ended June 30, 2023, </w:t>
      </w:r>
      <w:r>
        <w:rPr>
          <w:rFonts w:ascii="Times New Roman;Times;serif" w:hAnsi="Times New Roman;Times;serif"/>
          <w:sz w:val="20"/>
        </w:rPr>
        <w:t xml:space="preserve">primarily as a </w:t>
      </w:r>
      <w:r>
        <w:rPr>
          <w:rFonts w:ascii="Times New Roman;Times;serif" w:hAnsi="Times New Roman;Times;serif"/>
          <w:sz w:val="20"/>
          <w:shd w:fill="FFFFFF" w:val="clear"/>
        </w:rPr>
        <w:t>result of the increases in contract revenue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17.5% to $96.2 million, or 36.5% gross margin, for the six months ended June 28, 2024, compared to gross profit of $81.9 million, or 37.0% gross margin, for the six months ended June 30, 2023. The decrease in our gross margin was primarily driven by changes in the mix of revenues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G&amp;A expenses increased $9.0 million, or 11.9%, in the six months ended June 28, 2024, compared to the six months ended June 30, 2023. G&amp;A expenses consisted of an increase of $5.4 million in the Energy segment </w:t>
      </w:r>
      <w:r>
        <w:rPr>
          <w:rFonts w:ascii="Times New Roman;Times;serif" w:hAnsi="Times New Roman;Times;serif"/>
          <w:sz w:val="20"/>
          <w:shd w:fill="FFFFFF" w:val="clear"/>
        </w:rPr>
        <w:t>combined with an increase of</w:t>
      </w:r>
      <w:r>
        <w:rPr>
          <w:rFonts w:ascii="Times New Roman;Times;serif" w:hAnsi="Times New Roman;Times;serif"/>
          <w:sz w:val="20"/>
        </w:rPr>
        <w:t xml:space="preserve"> $3.3 million in the Engineering and Consulting segment, and an increase of $0.3 million in unallocated corporate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Within G&amp;A expenses, the increase of $7.8 million in salaries and wages, payroll taxes and employee benefits, combined with the increase of $1.9 million in other general and administrative expenses, and the increase of $0.5 million in stock-based compensation was partially offset by a decrease of $1.1 million in depreciation and amortization. The increase in salaries and wages, payroll taxes and employee benefits was primarily due to an increase in incentive compensation, consistent with the improvement in operating profit, and higher fringe benefit costs. The increase in other general and administrative expenses was primarily due to increased professional service fees and computer-related expenses. </w:t>
      </w:r>
      <w:r>
        <w:rPr>
          <w:rFonts w:ascii="Times New Roman;Times;serif" w:hAnsi="Times New Roman;Times;serif"/>
          <w:sz w:val="20"/>
          <w:shd w:fill="FFFFFF" w:val="clear"/>
        </w:rPr>
        <w:t xml:space="preserve">The increase in stock-based compensation expenses was primarily related to new stock grants to current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employees and executives. </w:t>
      </w:r>
      <w:r>
        <w:rPr>
          <w:rFonts w:ascii="Times New Roman;Times;serif" w:hAnsi="Times New Roman;Times;serif"/>
          <w:sz w:val="20"/>
        </w:rPr>
        <w:t>The decrease in depreciation and amortization was primarily related to lower amortization of intangible assets from prior acquisitions.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82.0% to $11.8 million for the six months ended June 28, 2024, compared to an operating income of $6.5 million </w:t>
      </w:r>
      <w:r>
        <w:rPr>
          <w:rFonts w:ascii="Times New Roman;Times;serif" w:hAnsi="Times New Roman;Times;serif"/>
          <w:sz w:val="20"/>
          <w:shd w:fill="FFFFFF" w:val="clear"/>
        </w:rPr>
        <w:t>for the six months ended June 30, 2023</w:t>
      </w:r>
      <w:r>
        <w:rPr>
          <w:rFonts w:ascii="Times New Roman;Times;serif" w:hAnsi="Times New Roman;Times;serif"/>
          <w:sz w:val="20"/>
        </w:rPr>
        <w:t>,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decreased $1.6 million, or 38.3%, for the six months ended June 28, 2024, compared to the six months ended June 30, 2023, primarily due to increased interest income related to our higher cash balances, combined with lower interest expense resulting from the reduced interest rate spread derived from lower debt leverage levels under our credit 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expense of $1.7 million for the six months ended June 28, 2024, an effective tax rate of 18.5% on income before income tax expense, compared to an income tax expense of $1.0 million for the six months ended June 30, 2023, an effective tax rate of 42.9% on income before tax expense. The reduction in the effective tax rate resulted from increases in discrete items related to stock compensation deductions.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$7.5 million for the six months ended June 28, 2024, as compared to a net income of $1.3 million for the six months ended June 30, 2023. The increase in net income was primarily attributable to the increase in income from operations combined with the decrease in total other expense, net and the lower effective tax 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tbl>
      <w:tblPr>
        <w:tblW w:w="6927" w:type="dxa"/>
        <w:jc w:val="left"/>
        <w:tblInd w:w="0" w:type="dxa"/>
        <w:tblLayout w:type="fixed"/>
        <w:tblCellMar>
          <w:top w:w="0" w:type="dxa"/>
          <w:left w:w="0" w:type="dxa"/>
          <w:bottom w:w="0" w:type="dxa"/>
          <w:right w:w="0" w:type="dxa"/>
        </w:tblCellMar>
      </w:tblPr>
      <w:tblGrid>
        <w:gridCol w:w="4321"/>
        <w:gridCol w:w="326"/>
        <w:gridCol w:w="211"/>
        <w:gridCol w:w="691"/>
        <w:gridCol w:w="326"/>
        <w:gridCol w:w="211"/>
        <w:gridCol w:w="841"/>
      </w:tblGrid>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38785" cy="175260"/>
                      <wp:effectExtent l="0" t="0" r="0" b="0"/>
                      <wp:wrapNone/>
                      <wp:docPr id="267" name="Frame2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34035" cy="175260"/>
                      <wp:effectExtent l="0" t="0" r="0" b="0"/>
                      <wp:wrapNone/>
                      <wp:docPr id="270" name="Frame27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27,838</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18,909</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(5,707)</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(19,038)</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(5,836)</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sources of liquidity for the next 12 months and beyond are cash generated from operations, cash and cash equivalents, and </w:t>
      </w:r>
      <w:r>
        <w:rPr>
          <w:rFonts w:ascii="Times New Roman;Times;serif" w:hAnsi="Times New Roman;Times;serif"/>
          <w:sz w:val="20"/>
          <w:shd w:fill="FFFFFF" w:val="clear"/>
        </w:rPr>
        <w:t>available borrowings under our revolving credit facility under the Credit Agreement (the “Revolving Credit Facility”)</w:t>
      </w:r>
      <w:r>
        <w:rPr>
          <w:rFonts w:ascii="Times New Roman;Times;serif" w:hAnsi="Times New Roman;Times;serif"/>
          <w:sz w:val="20"/>
        </w:rPr>
        <w:t xml:space="preserve">. </w:t>
      </w:r>
      <w:r>
        <w:rPr>
          <w:rFonts w:ascii="Times New Roman;Times;serif" w:hAnsi="Times New Roman;Times;serif"/>
          <w:sz w:val="20"/>
          <w:shd w:fill="FFFFFF" w:val="clear"/>
        </w:rPr>
        <w:t xml:space="preserve">We believe that our cash and cash equivalents, cash generated by operating activities, and available borrowings under our Revolving Credit Facility will be sufficient to finance our operating activities for at least the next 12 months.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 xml:space="preserve">June 28, 2024, </w:t>
      </w:r>
      <w:r>
        <w:rPr>
          <w:rFonts w:ascii="Times New Roman;Times;serif" w:hAnsi="Times New Roman;Times;serif"/>
          <w:sz w:val="20"/>
          <w:shd w:fill="FFFFFF" w:val="clear"/>
        </w:rPr>
        <w:t>we had a fully drawn $100 million term loan with $94.4 million outstanding (the “Term Loan”), and a $50.0 million Revolving Credit Facility with no borrowed amounts and $1.6 million in letters of credit issued, each scheduled to mature on September 29, 2026. In addition, as of June 28, 2024, we had $44.3 million of unrestricted cash and cash equivalents.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of June 28, 2024, unhedged borrowings under our Credit Facilities, exclusive of the effects of upfront fees, undrawn fees and issuance cost amortization, bore interest at an annual rate of </w:t>
      </w:r>
      <w:r>
        <w:rPr>
          <w:rFonts w:ascii="Times New Roman;Times;serif" w:hAnsi="Times New Roman;Times;serif"/>
          <w:sz w:val="20"/>
        </w:rPr>
        <w:t>7.7</w:t>
      </w:r>
      <w:r>
        <w:rPr>
          <w:rFonts w:ascii="Times New Roman;Times;serif" w:hAnsi="Times New Roman;Times;serif"/>
          <w:sz w:val="20"/>
          <w:shd w:fill="FFFFFF" w:val="clear"/>
        </w:rPr>
        <w:t>%. See Part I, Item 1, Note 6, “</w:t>
      </w:r>
      <w:r>
        <w:rPr>
          <w:rFonts w:ascii="Times New Roman;Times;serif" w:hAnsi="Times New Roman;Times;serif"/>
          <w:i/>
          <w:sz w:val="20"/>
          <w:shd w:fill="FFFFFF" w:val="clear"/>
        </w:rPr>
        <w:t>Debt Obligations”,</w:t>
      </w:r>
      <w:r>
        <w:rPr>
          <w:rFonts w:ascii="Times New Roman;Times;serif" w:hAnsi="Times New Roman;Times;serif"/>
          <w:sz w:val="20"/>
          <w:shd w:fill="FFFFFF" w:val="clear"/>
        </w:rPr>
        <w:t> of the Notes to Condensed Consolidated Financial Statements included in this Quarterly Report on Form 10-Q, and Part II, Item 8, Note 6, “</w:t>
      </w:r>
      <w:r>
        <w:rPr>
          <w:rFonts w:ascii="Times New Roman;Times;serif" w:hAnsi="Times New Roman;Times;serif"/>
          <w:i/>
          <w:sz w:val="20"/>
          <w:shd w:fill="FFFFFF" w:val="clear"/>
        </w:rPr>
        <w:t>Debt Obligations</w:t>
      </w:r>
      <w:r>
        <w:rPr>
          <w:rFonts w:ascii="Times New Roman;Times;serif" w:hAnsi="Times New Roman;Times;serif"/>
          <w:sz w:val="20"/>
          <w:shd w:fill="FFFFFF" w:val="clear"/>
        </w:rPr>
        <w:t>”, of the Notes to Consolidated Financial Statements included in our Annual Report on Form 10-K for the fiscal year ended December 29, 2023, for information regarding our indebtedness, including information about borrowings and repayments, principal repayment terms, interest rates, covenants, and other key terms of our outstanding indebtedness.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provided by operating activities were $27.8 million for the six months ended June 28, 2024, as compared to cash flows </w:t>
      </w:r>
      <w:r>
        <w:rPr>
          <w:rFonts w:ascii="Times New Roman;Times;serif" w:hAnsi="Times New Roman;Times;serif"/>
          <w:sz w:val="20"/>
          <w:shd w:fill="FFFFFF" w:val="clear"/>
        </w:rPr>
        <w:t>provided by operating activities of $18.9 million for the six months ended June 30, 2023</w:t>
      </w:r>
      <w:r>
        <w:rPr>
          <w:rFonts w:ascii="Times New Roman;Times;serif" w:hAnsi="Times New Roman;Times;serif"/>
          <w:sz w:val="20"/>
        </w:rPr>
        <w:t xml:space="preserve">. Cash flows from operating activities primarily consists of net income, adjusted for non-cash charges, such as depreciation and amortization and stock-based compensation, plus or minus changes in current operating assets and liabilities. Cash flows provided by operating activities for the six months ended June 28, 2024, resulted primarily from the increase in earnings and lower working capital requirements. </w:t>
      </w:r>
      <w:r>
        <w:rPr>
          <w:rFonts w:ascii="Times New Roman;Times;serif" w:hAnsi="Times New Roman;Times;serif"/>
          <w:sz w:val="20"/>
          <w:shd w:fill="FFFFFF" w:val="clear"/>
        </w:rPr>
        <w:t xml:space="preserve">Cash flows provided by operating activities for the six months ended June 30, 2023, </w:t>
      </w:r>
      <w:r>
        <w:rPr>
          <w:rFonts w:ascii="Times New Roman;Times;serif" w:hAnsi="Times New Roman;Times;serif"/>
          <w:sz w:val="20"/>
        </w:rPr>
        <w:t>resulted primarily from the increase in earnings, combined with lower working capital requirements.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used in investing activities were $4.1 million for the six months ended June 28, 2024, as compared to cash flows used in investing activities of $5.7 million for the six months ended June 30, 2023. Cash flows used in investing activities for the six months ended June 28, 2024 and for the six months ended June 30, 2023, were primarily due to cash paid for the development of software and the purchase of computers and equipment.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flows used in financing activities were $2.9 million for the six months ended June 28, 2024, as compared to cash flows used in financing activities of $19.0 million for the six months ended June 30, 2023. Cash flows used in financing activities for the six months ended June 28, 2024 were primarily attributable to the</w:t>
      </w:r>
      <w:r>
        <w:rPr>
          <w:rFonts w:ascii="Times New Roman;Times;serif" w:hAnsi="Times New Roman;Times;serif"/>
          <w:sz w:val="20"/>
          <w:shd w:fill="FFFFFF" w:val="clear"/>
        </w:rPr>
        <w:t xml:space="preserve"> repayments of $3.8 million under our </w:t>
      </w:r>
      <w:r>
        <w:rPr>
          <w:rFonts w:ascii="Times New Roman;Times;serif" w:hAnsi="Times New Roman;Times;serif"/>
          <w:sz w:val="20"/>
        </w:rPr>
        <w:t xml:space="preserve">Term Loan, $0.8 million cash used to pay withholding taxes on stock grants, and $0.7 million principal payments on finance leases, </w:t>
      </w:r>
      <w:r>
        <w:rPr>
          <w:rFonts w:ascii="Times New Roman;Times;serif" w:hAnsi="Times New Roman;Times;serif"/>
          <w:sz w:val="20"/>
          <w:shd w:fill="FFFFFF" w:val="clear"/>
        </w:rPr>
        <w:t>partially offset by $1.4 million of proceeds from sales of common stock under employee stock purchase plan and $1.1 million in proceeds from stock option exercise.</w:t>
      </w:r>
      <w:r>
        <w:rPr>
          <w:rFonts w:ascii="Times New Roman;Times;serif" w:hAnsi="Times New Roman;Times;serif"/>
          <w:sz w:val="20"/>
        </w:rPr>
        <w:t xml:space="preserve"> </w:t>
      </w:r>
      <w:r>
        <w:rPr>
          <w:rFonts w:ascii="Times New Roman;Times;serif" w:hAnsi="Times New Roman;Times;serif"/>
          <w:sz w:val="20"/>
          <w:shd w:fill="FFFFFF" w:val="clear"/>
        </w:rPr>
        <w:t>Cash flows used in financing activities for the six months ended June 30, 2023 were primarily attributable to the disbursement of the $10.7 million in restricted cash for utility rebate incentives, repayments of $9.0 million under our term loan facility and revolving line of credit, and payments of $4.0 million for contingent consideration related to prior acquisitions, partially offset by borrowings of $5.0 million under our revolving line of credit.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consolidated statement of cash flows as financing cash inflows, “Receipt of restricted cash”, with the subsequent payments classified as financing cash outflows, “Payment of restricted cash.”</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Off-Balance Sheet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have any off-balance sheet financing arrangements or liabilities. </w:t>
      </w:r>
      <w:r>
        <w:rPr>
          <w:rFonts w:ascii="Times New Roman;Times;serif" w:hAnsi="Times New Roman;Times;serif"/>
          <w:sz w:val="20"/>
          <w:shd w:fill="FFFFFF" w:val="clear"/>
        </w:rPr>
        <w:t>In addition, our policy is not to enter into futures or forward contracts. </w:t>
      </w:r>
      <w:r>
        <w:rPr>
          <w:rFonts w:ascii="Times New Roman;Times;serif" w:hAnsi="Times New Roman;Times;serif"/>
          <w:sz w:val="20"/>
        </w:rPr>
        <w:t xml:space="preserve">Finally, we do not have any majority-owned subsidiaries or any interests in, or relationships with, any special-purpose entities that are not included in the consolidated financial statements. We have, however, an administrative services agreement with Genesys in which we provide Genesys with ongoing administrative, operational and other non-professional support services. We manage Genesys and have the power to direct the activities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that most significantly impact Genesys’ performance, in addition to being obligated to absorb expected losses from Genesys. Accordingly, we are the primary beneficiary of Genesys and consolidate Genesys as a variable interest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Short and Long-term Uses of Cash</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principal uses of cash are to fund operating expenses, support working capital requirements, finance capital expenditures, and pay down outstanding debt. From time to time, we also use cash to help fund business acquisitions. </w:t>
      </w:r>
      <w:r>
        <w:rPr>
          <w:rFonts w:ascii="Times New Roman;Times;serif" w:hAnsi="Times New Roman;Times;serif"/>
          <w:sz w:val="20"/>
          <w:shd w:fill="FFFFFF" w:val="clear"/>
        </w:rPr>
        <w:t>Our cash and cash equivalents are impacted by the timing of when we invoice and are paid by our customers for services rendered and when we pay expenses as reflected in the change in our outstanding accounts payable and accrued expenses.</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known contractual obligations as of June 28, 2024:</w:t>
      </w:r>
    </w:p>
    <w:tbl>
      <w:tblPr>
        <w:tblW w:w="10151" w:type="dxa"/>
        <w:jc w:val="left"/>
        <w:tblInd w:w="0" w:type="dxa"/>
        <w:tblLayout w:type="fixed"/>
        <w:tblCellMar>
          <w:top w:w="0" w:type="dxa"/>
          <w:left w:w="0" w:type="dxa"/>
          <w:bottom w:w="0" w:type="dxa"/>
          <w:right w:w="0" w:type="dxa"/>
        </w:tblCellMar>
      </w:tblPr>
      <w:tblGrid>
        <w:gridCol w:w="3436"/>
        <w:gridCol w:w="326"/>
        <w:gridCol w:w="211"/>
        <w:gridCol w:w="781"/>
        <w:gridCol w:w="326"/>
        <w:gridCol w:w="214"/>
        <w:gridCol w:w="687"/>
        <w:gridCol w:w="326"/>
        <w:gridCol w:w="213"/>
        <w:gridCol w:w="792"/>
        <w:gridCol w:w="326"/>
        <w:gridCol w:w="270"/>
        <w:gridCol w:w="735"/>
        <w:gridCol w:w="326"/>
        <w:gridCol w:w="330"/>
        <w:gridCol w:w="661"/>
        <w:gridCol w:w="19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81860" cy="175260"/>
                      <wp:effectExtent l="0" t="0" r="0" b="0"/>
                      <wp:wrapNone/>
                      <wp:docPr id="271" name="Frame271"/>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95935" cy="175260"/>
                      <wp:effectExtent l="0" t="0" r="0" b="0"/>
                      <wp:wrapNone/>
                      <wp:docPr id="274" name="Frame2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5890" cy="175260"/>
                      <wp:effectExtent l="0" t="0" r="0" b="0"/>
                      <wp:wrapNone/>
                      <wp:docPr id="276" name="Frame27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36245" cy="175260"/>
                      <wp:effectExtent l="0" t="0" r="0" b="0"/>
                      <wp:wrapNone/>
                      <wp:docPr id="277" name="Frame277"/>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5255" cy="175260"/>
                      <wp:effectExtent l="0" t="0" r="0" b="0"/>
                      <wp:wrapNone/>
                      <wp:docPr id="279" name="Frame27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02920" cy="175260"/>
                      <wp:effectExtent l="0" t="0" r="0" b="0"/>
                      <wp:wrapNone/>
                      <wp:docPr id="280" name="Frame280"/>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71450" cy="175260"/>
                      <wp:effectExtent l="0" t="0" r="0" b="0"/>
                      <wp:wrapNone/>
                      <wp:docPr id="282" name="Frame28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66725" cy="175260"/>
                      <wp:effectExtent l="0" t="0" r="0" b="0"/>
                      <wp:wrapNone/>
                      <wp:docPr id="283" name="Frame283"/>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9550" cy="175260"/>
                      <wp:effectExtent l="0" t="0" r="0" b="0"/>
                      <wp:wrapNone/>
                      <wp:docPr id="285" name="Frame285"/>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19735" cy="175260"/>
                      <wp:effectExtent l="0" t="0" r="0" b="0"/>
                      <wp:wrapNone/>
                      <wp:docPr id="286" name="Frame28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1285" cy="175260"/>
                      <wp:effectExtent l="0" t="0" r="0" b="0"/>
                      <wp:wrapNone/>
                      <wp:docPr id="287" name="Frame28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Less than</w:t>
            </w:r>
          </w:p>
        </w:tc>
        <w:tc>
          <w:tcPr>
            <w:tcW w:w="32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w:t>
            </w:r>
          </w:p>
        </w:tc>
        <w:tc>
          <w:tcPr>
            <w:tcW w:w="7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More than</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Year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1 - 3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3 - 5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 Years</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98" w:type="dxa"/>
            <w:gridSpan w:val="14"/>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c>
          <w:tcPr>
            <w:tcW w:w="191" w:type="dxa"/>
            <w:tcBorders/>
            <w:vAlign w:val="center"/>
          </w:tcPr>
          <w:p>
            <w:pPr>
              <w:pStyle w:val="TableContents"/>
              <w:bidi w:val="0"/>
              <w:spacing w:before="0" w:after="0"/>
              <w:ind w:left="0" w:right="0" w:hanging="0"/>
              <w:jc w:val="center"/>
              <w:rPr/>
            </w:pPr>
            <w:r>
              <w:rPr/>
              <w:t>​</w:t>
            </w:r>
          </w:p>
        </w:tc>
      </w:tr>
      <w:tr>
        <w:trPr/>
        <w:tc>
          <w:tcPr>
            <w:tcW w:w="34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Debt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93,694</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9,530</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84,164</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payments on debt outstanding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14,434</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6,804</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7,630</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17,119</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8,311</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righ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contractual cash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127,475</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22,945</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101,139</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Debt includes $94.4 million outstanding on our Term Loan, net of issuance costs, and no borrowed amounts outstanding on our Revolving Credit Facility as of June 28, 2024. We have assumed no future borrowings or repayments (other than at maturity) for purposes of this table. Our Term Loan is scheduled to mature on September 29, 2026.</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Borrowings under our Term Loan and Revolving Credit Facility bear interest at a variable rate. Future interest payments on our Credit Facility are estimated using floating rates in effect as of June 28, 2024.</w:t>
            </w:r>
          </w:p>
        </w:tc>
      </w:tr>
    </w:tbl>
    <w:p>
      <w:pPr>
        <w:pStyle w:val="TextBody"/>
        <w:bidi w:val="0"/>
        <w:spacing w:before="0" w:after="0"/>
        <w:ind w:left="360" w:right="0" w:hanging="0"/>
        <w:jc w:val="left"/>
        <w:rPr/>
      </w:pPr>
      <w:r>
        <w:rPr/>
        <w: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Outstanding Indebtedness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Part I, Item 1, Note 6, “</w:t>
      </w:r>
      <w:r>
        <w:rPr>
          <w:rFonts w:ascii="Times New Roman;Times;serif" w:hAnsi="Times New Roman;Times;serif"/>
          <w:i/>
          <w:sz w:val="20"/>
        </w:rPr>
        <w:t>Debt Obligations</w:t>
      </w:r>
      <w:r>
        <w:rPr>
          <w:rFonts w:ascii="Times New Roman;Times;serif" w:hAnsi="Times New Roman;Times;serif"/>
          <w:sz w:val="20"/>
        </w:rPr>
        <w:t>”, of the Notes to Condensed Consolidated Financial Statements included in this Quarterly Report on Form 10-Q, and Part II, Item 8, Note 6, “</w:t>
      </w:r>
      <w:r>
        <w:rPr>
          <w:rFonts w:ascii="Times New Roman;Times;serif" w:hAnsi="Times New Roman;Times;serif"/>
          <w:i/>
          <w:sz w:val="20"/>
        </w:rPr>
        <w:t>Debt Obligations</w:t>
      </w:r>
      <w:r>
        <w:rPr>
          <w:rFonts w:ascii="Times New Roman;Times;serif" w:hAnsi="Times New Roman;Times;serif"/>
          <w:sz w:val="20"/>
        </w:rPr>
        <w:t xml:space="preserve">”, of the Notes to Consolidated Financial Statements included in our Annual Report on Form 10-K for the fiscal year ended December 29, 2023, for information regarding our indebtedness, including information about new borrowings and repayments, principal repayment terms, interest rates, covenants, and other key terms of our outstanding indebtedness. </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Interest Rate Swap</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enter into interest rate swap agreements to moderate our exposure to fluctuations in interest rates underlying our variable rate debt. For more information, see Part I, Item 3, “</w:t>
      </w:r>
      <w:r>
        <w:rPr>
          <w:rFonts w:ascii="Times New Roman;Times;serif" w:hAnsi="Times New Roman;Times;serif"/>
          <w:i/>
          <w:sz w:val="20"/>
        </w:rPr>
        <w:t>Quantitative and Qualitative Disclosures About Market Risk</w:t>
      </w:r>
      <w:r>
        <w:rPr>
          <w:rFonts w:ascii="Times New Roman;Times;serif" w:hAnsi="Times New Roman;Times;serif"/>
          <w:sz w:val="20"/>
        </w:rPr>
        <w:t>”, and Note 5, “</w:t>
      </w:r>
      <w:r>
        <w:rPr>
          <w:rFonts w:ascii="Times New Roman;Times;serif" w:hAnsi="Times New Roman;Times;serif"/>
          <w:i/>
          <w:sz w:val="20"/>
        </w:rPr>
        <w:t>Derivative Financial Instruments</w:t>
      </w:r>
      <w:r>
        <w:rPr>
          <w:rFonts w:ascii="Times New Roman;Times;serif" w:hAnsi="Times New Roman;Times;serif"/>
          <w:sz w:val="20"/>
        </w:rPr>
        <w:t>”, to the Notes to Condensed Consolidated Financial Statements included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of Inflation</w:t>
      </w:r>
    </w:p>
    <w:p>
      <w:pPr>
        <w:pStyle w:val="TextBody"/>
        <w:shd w:fill="FFFFFF" w:val="clear"/>
        <w:bidi w:val="0"/>
        <w:spacing w:before="0" w:after="0"/>
        <w:ind w:left="0" w:right="0" w:firstLine="720"/>
        <w:jc w:val="left"/>
        <w:rPr>
          <w:rFonts w:ascii="Times New Roman;Times;serif" w:hAnsi="Times New Roman;Times;serif"/>
          <w:sz w:val="20"/>
        </w:rPr>
      </w:pPr>
      <w:bookmarkStart w:id="1326" w:name="_cp_text_1_491"/>
      <w:bookmarkEnd w:id="1326"/>
      <w:r>
        <w:rPr>
          <w:rFonts w:ascii="Times New Roman;Times;serif" w:hAnsi="Times New Roman;Times;serif"/>
          <w:sz w:val="20"/>
        </w:rPr>
        <w:t xml:space="preserve">Due to the average duration of our projects and our ability to negotiate prices as contracts end and new contracts begin, historically, our operations have not been materially impacted by inflation.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While immaterial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Revenue and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June 28, 2024, 19% of our contracts are time-and-materials contracts, 39% are unit-based contracts, and 42% are fixed price contracts, compared to 21% are time-and-materials contracts, 42% are unit-based contracts, and 37% are fixed price contracts, as of June 30,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contracts come up for renewal periodically and at the time of renewal may be subject to renegotiation, which could impact the profitability on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Los Angeles Department of Water and Power and Duke Energy Corp., may have a material effect on our consolidated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Direct Costs of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companies may classify as direct costs of contract revenue some of the costs that we classify as general and administrative costs. We expense direct costs of contract revenue when incurred.</w:t>
      </w:r>
    </w:p>
    <w:p>
      <w:pPr>
        <w:pStyle w:val="TextBody"/>
        <w:bidi w:val="0"/>
        <w:spacing w:before="0" w:after="1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prepared the accompanying unaudited Condensed Consolidated Financial Statements in accordance with generally accepted accounting principles in the U.S. (“GAAP”). To prepare these financial statements in conformity with GAAP, we must make estimates and assumptions that affect the reported amounts of assets and liabilities at the date of the financial statements and the reported amount of revenue and expenses in the reporting period. Our actual results may differ from these estimates. We have adopted accounting policies and practices that are generally accepted in the industry in which we operate.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in our critical accounting policies and estimates from those disclosed in our Annual Report on Form 10-K for our fiscal year ended December 29, 2023. Please refer to Part II, Item 7 of our Annual Report on Form 10-K for the fiscal year ended December 29, 2023 for a discussion of our critical accounting policies and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Accounting Standards</w:t>
      </w:r>
    </w:p>
    <w:p>
      <w:pPr>
        <w:pStyle w:val="TextBody"/>
        <w:pBdr/>
        <w:bidi w:val="0"/>
        <w:spacing w:before="1" w:after="0"/>
        <w:ind w:left="720" w:right="0" w:hanging="202"/>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 description of recently issued and adopted accounting pronouncements, including adoption dates and expected effects on our results of operations and financial condition, see Part I, Item 1, Note 2, “</w:t>
      </w:r>
      <w:r>
        <w:rPr>
          <w:rFonts w:ascii="Times New Roman;Times;serif" w:hAnsi="Times New Roman;Times;serif"/>
          <w:i/>
          <w:sz w:val="20"/>
        </w:rPr>
        <w:t>Recent Accounting Pronouncements</w:t>
      </w:r>
      <w:r>
        <w:rPr>
          <w:rFonts w:ascii="Times New Roman;Times;serif" w:hAnsi="Times New Roman;Times;serif"/>
          <w:sz w:val="20"/>
        </w:rPr>
        <w:t>”, of the Notes to Condensed Consolidated Financial Statements included in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27" w:name="ITEM7AQUANTITATIVEANDQUALITATIVE_562372"/>
      <w:bookmarkStart w:id="1328" w:name="_db0d83eb_5acd_452d_8aea_b85867b6352b"/>
      <w:bookmarkEnd w:id="1327"/>
      <w:bookmarkEnd w:id="1328"/>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28, 2024, we had cash and cash equivalents of $44.3 million. This amount represents cash on hand in business checking accounts with BMO Bank, N.A. We do not engage in trading activities and do not participate in foreign currency transactions.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interest rate risk in connection with our Term Loan and borrowings, if any, under our Revolving Credit Facility, each of which bears interest at variable rates. As of June 28, 2024, $94.4 million was outstanding under our Term Loan, and we had no borrowed amounts outstanding and $1.6 million in letters of credit were issued under our Revolving Credit Facility. Each of our Term Loan and Revolving Credit Facility mature on September 29, 2026 and are governed by our Credit Agreement.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the Credit Agreement, (as described in Part II, Item 8, Note 6, “Debt Obligations”, of the Notes to Consolidated Financial Statements included in our Annual Report on Form 10-K for the fiscal year ended December 29, 2023), borrowings under the Credit Agreement bear interest at either a Base Rate (as defined in the Credit Agreement) or the adjusted Secured Overnight Financing Rate (“SOFR”), at the Company’s option, and in each case, plus an applicable margin, which applicable margin ranges from 0.75% to 2.00% with respect to Base Rate borrowings and 1.75% to 3.00% with respect to SOFR borrowings, depending on the Company’s Total Net Leverage Ratio (as defined in the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0.20% to 0.40% per annum depending on the Company’s Total Net Leverage Ratio, and fees on the face amount of any letters of credit outstanding under the Revolving Credit Facility, which range from 1.3125% to 2.25% per annum, in each case, depending on the Company’s Total Net Leverage Ratio, as well as customary fronting fees payable to BMO as letter of credit issuer.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Loan will amortize quarterly in an amount equal to (i) 7.5% per annum for the first year ending after the Closing Date and (ii) 10.0% per annum for the second and third years ending after the Closing Date, with a final payment of all then remaining principal and interest due on the maturity date of September 29, 2026. The amounts outstanding under the Credit Facilities may be prepaid in whole or in part at any time without penalty (other than customary breakage costs).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November 30, 2023, we entered into an interest rate swap agreement for $50.0 million notional amount. The interest swap agreement was designated as a cash flow hedge to fix the variable interest rate on a portion of the outstanding principal amount under our Term Loan. The interest rate swap fixed rate is 4.77% and expires on September 29, 2026.</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upon the amount of our outstanding indebtedness as of June 28, 2024, a one percentage point increase in the effective interest rate, inclusive of our interest rate swap agreement, would change our annual interest expense by approximately $0.4 million in fiscal year 2024. </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29" w:name="Item4ControlsandProcedures_72182"/>
      <w:bookmarkStart w:id="1330" w:name="_eebeb39a_6cd3_4195_8fc9_c9ee2500d8cf"/>
      <w:bookmarkEnd w:id="1329"/>
      <w:bookmarkEnd w:id="1330"/>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disclosure controls and procedures, as defined in Rule 13a-15(e) and Rule 15-d-15(e) under the Securities Exchange Act of 1934, as amended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including our</w:t>
      </w:r>
      <w:r>
        <w:rPr>
          <w:rFonts w:ascii="Times New Roman;Times;serif" w:hAnsi="Times New Roman;Times;serif"/>
          <w:sz w:val="20"/>
          <w:shd w:fill="FFFFFF" w:val="clear"/>
        </w:rPr>
        <w:t xml:space="preserve"> including our President and Chief Executive Officer, Michael A. Bieber, and our Chief Financial Officer and Executive Vice President</w:t>
      </w:r>
      <w:r>
        <w:rPr>
          <w:rFonts w:ascii="Times New Roman;Times;serif" w:hAnsi="Times New Roman;Times;serif"/>
          <w:sz w:val="20"/>
        </w:rPr>
        <w:t>, Creighton K. Early,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preparation of this Quarterly Report, an evaluation was performed under the supervision and with the participation of our management, including our Chief Executive Officer and Chief Financial Officer, of the effectiveness of our disclosure controls and procedures as of June 28, 2024. Based on that evaluation, our Chief Executive Officer and Chief Financial Officer concluded that our disclosure controls and procedures were effective, at a reasonable assurance level, as of June 28, 2024. </w:t>
      </w:r>
    </w:p>
    <w:p>
      <w:pPr>
        <w:pStyle w:val="TextBody"/>
        <w:bidi w:val="0"/>
        <w:spacing w:before="0" w:after="0"/>
        <w:ind w:left="0" w:right="0" w:firstLine="720"/>
        <w:jc w:val="left"/>
        <w:rPr/>
      </w:pPr>
      <w:r>
        <w:rPr/>
        <w:t>​</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 xml:space="preserve">No change in our internal control over financial reporting occurred during the period covered by this report that has materially affected, or is reasonably likely to materially affect, our internal control over financial reporting. </w:t>
      </w:r>
    </w:p>
    <w:p>
      <w:pPr>
        <w:pStyle w:val="TextBody"/>
        <w:bidi w:val="0"/>
        <w:spacing w:before="0" w:after="18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31" w:name="PARTIIOTHERINFORMATION_167293"/>
      <w:bookmarkStart w:id="1332" w:name="_719ffaba_c629_4d75_b014_f0f937229bd7"/>
      <w:bookmarkEnd w:id="1331"/>
      <w:bookmarkEnd w:id="1332"/>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333" w:name="ITEM3LEGALPROCEEDINGS_429119"/>
      <w:bookmarkEnd w:id="1333"/>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34" w:name="_ddaaf672_5928_4eec_b786_4da8e0b17f6d"/>
      <w:bookmarkStart w:id="1335" w:name="ITEM1ARiskFactors"/>
      <w:bookmarkEnd w:id="1334"/>
      <w:bookmarkEnd w:id="1335"/>
      <w:r>
        <w:rPr>
          <w:rFonts w:ascii="Times New Roman;Times;serif" w:hAnsi="Times New Roman;Times;serif"/>
          <w:b/>
          <w:sz w:val="20"/>
        </w:rPr>
        <w:t xml:space="preserve">ITEM 1A. Risk Factors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no material changes to the risk factors set forth in Part I, Item 1A, </w:t>
      </w:r>
      <w:r>
        <w:rPr>
          <w:rFonts w:ascii="Times New Roman;Times;serif" w:hAnsi="Times New Roman;Times;serif"/>
          <w:i/>
          <w:sz w:val="20"/>
        </w:rPr>
        <w:t>Risk Factors</w:t>
      </w:r>
      <w:r>
        <w:rPr>
          <w:rFonts w:ascii="Times New Roman;Times;serif" w:hAnsi="Times New Roman;Times;serif"/>
          <w:sz w:val="20"/>
        </w:rPr>
        <w:t xml:space="preserve"> in our Annual Report on Form 10-K for the year ended December 29,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36" w:name="Item_2"/>
      <w:bookmarkStart w:id="1337" w:name="_c3c2a599_2b85_4e75_9ff3_092893ea8c17"/>
      <w:bookmarkEnd w:id="1336"/>
      <w:bookmarkEnd w:id="1337"/>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During the fiscal quarter ended June 28, 2024, we made the following repurchases of shares of our common stock from employees to satisfy tax withholding obligations incurred in connection with the vesting of restricted stock: </w:t>
      </w:r>
    </w:p>
    <w:tbl>
      <w:tblPr>
        <w:tblW w:w="10205" w:type="dxa"/>
        <w:jc w:val="left"/>
        <w:tblInd w:w="0" w:type="dxa"/>
        <w:tblLayout w:type="fixed"/>
        <w:tblCellMar>
          <w:top w:w="0" w:type="dxa"/>
          <w:left w:w="0" w:type="dxa"/>
          <w:bottom w:w="0" w:type="dxa"/>
          <w:right w:w="0" w:type="dxa"/>
        </w:tblCellMar>
      </w:tblPr>
      <w:tblGrid>
        <w:gridCol w:w="1819"/>
        <w:gridCol w:w="1304"/>
        <w:gridCol w:w="1108"/>
        <w:gridCol w:w="4237"/>
        <w:gridCol w:w="1737"/>
      </w:tblGrid>
      <w:tr>
        <w:trPr/>
        <w:tc>
          <w:tcPr>
            <w:tcW w:w="1819" w:type="dxa"/>
            <w:tcBorders/>
            <w:vAlign w:val="center"/>
          </w:tcPr>
          <w:p>
            <w:pPr>
              <w:pStyle w:val="TableContents"/>
              <w:bidi w:val="0"/>
              <w:spacing w:before="0" w:after="283"/>
              <w:ind w:left="0" w:right="0" w:hanging="0"/>
              <w:jc w:val="left"/>
              <w:rPr>
                <w:sz w:val="4"/>
                <w:szCs w:val="4"/>
              </w:rPr>
            </w:pPr>
            <w:r>
              <w:rPr>
                <w:sz w:val="4"/>
                <w:szCs w:val="4"/>
              </w:rPr>
            </w:r>
          </w:p>
        </w:tc>
        <w:tc>
          <w:tcPr>
            <w:tcW w:w="1304" w:type="dxa"/>
            <w:tcBorders/>
            <w:vAlign w:val="center"/>
          </w:tcPr>
          <w:p>
            <w:pPr>
              <w:pStyle w:val="TableContents"/>
              <w:bidi w:val="0"/>
              <w:spacing w:before="0" w:after="283"/>
              <w:ind w:left="0" w:right="0" w:hanging="0"/>
              <w:jc w:val="left"/>
              <w:rPr>
                <w:sz w:val="4"/>
                <w:szCs w:val="4"/>
              </w:rPr>
            </w:pPr>
            <w:r>
              <w:rPr>
                <w:sz w:val="4"/>
                <w:szCs w:val="4"/>
              </w:rPr>
            </w:r>
          </w:p>
        </w:tc>
        <w:tc>
          <w:tcPr>
            <w:tcW w:w="1108" w:type="dxa"/>
            <w:tcBorders/>
            <w:vAlign w:val="center"/>
          </w:tcPr>
          <w:p>
            <w:pPr>
              <w:pStyle w:val="TableContents"/>
              <w:bidi w:val="0"/>
              <w:spacing w:before="0" w:after="0"/>
              <w:ind w:left="0" w:right="0" w:hanging="0"/>
              <w:jc w:val="left"/>
              <w:rPr/>
            </w:pPr>
            <w:r>
              <w:rPr/>
              <w:t>​</w:t>
            </w:r>
          </w:p>
        </w:tc>
        <w:tc>
          <w:tcPr>
            <w:tcW w:w="4237" w:type="dxa"/>
            <w:tcBorders/>
            <w:vAlign w:val="center"/>
          </w:tcPr>
          <w:p>
            <w:pPr>
              <w:pStyle w:val="TableContents"/>
              <w:bidi w:val="0"/>
              <w:spacing w:before="0" w:after="0"/>
              <w:ind w:left="0" w:right="0" w:hanging="0"/>
              <w:jc w:val="left"/>
              <w:rPr/>
            </w:pPr>
            <w:r>
              <w:rPr/>
              <w:t>​</w:t>
            </w:r>
          </w:p>
        </w:tc>
        <w:tc>
          <w:tcPr>
            <w:tcW w:w="1737" w:type="dxa"/>
            <w:tcBorders/>
            <w:vAlign w:val="center"/>
          </w:tcPr>
          <w:p>
            <w:pPr>
              <w:pStyle w:val="TableContents"/>
              <w:bidi w:val="0"/>
              <w:spacing w:before="0" w:after="283"/>
              <w:ind w:left="0" w:right="0" w:hanging="0"/>
              <w:jc w:val="left"/>
              <w:rPr>
                <w:sz w:val="4"/>
                <w:szCs w:val="4"/>
              </w:rPr>
            </w:pPr>
            <w:r>
              <w:rPr>
                <w:sz w:val="4"/>
                <w:szCs w:val="4"/>
              </w:rPr>
            </w:r>
          </w:p>
        </w:tc>
      </w:tr>
      <w:tr>
        <w:trPr/>
        <w:tc>
          <w:tcPr>
            <w:tcW w:w="18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30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Number of </w:t>
              <w:br/>
              <w:t>Shares Purchased</w:t>
            </w:r>
          </w:p>
        </w:tc>
        <w:tc>
          <w:tcPr>
            <w:tcW w:w="11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Average Price </w:t>
              <w:br/>
              <w:t>Paid Per Share</w:t>
            </w:r>
          </w:p>
        </w:tc>
        <w:tc>
          <w:tcPr>
            <w:tcW w:w="42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7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Maximum Number </w:t>
              <w:br/>
              <w:t>(or Approximate Dollar</w:t>
              <w:br/>
              <w:t xml:space="preserve">Value) of Shares That </w:t>
              <w:br/>
              <w:t>May Yet be Purchased</w:t>
              <w:br/>
              <w:t xml:space="preserve">Under the Plans or </w:t>
              <w:br/>
              <w:t>Programs</w:t>
            </w:r>
          </w:p>
        </w:tc>
      </w:tr>
      <w:tr>
        <w:trPr/>
        <w:tc>
          <w:tcPr>
            <w:tcW w:w="1819"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30, 2024 – April 26, 2024</w:t>
            </w:r>
          </w:p>
        </w:tc>
        <w:tc>
          <w:tcPr>
            <w:tcW w:w="130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108"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423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73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18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27, 2024 – May 24, 2024</w:t>
            </w:r>
          </w:p>
        </w:tc>
        <w:tc>
          <w:tcPr>
            <w:tcW w:w="130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108"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423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73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1819"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25, 2024 – June 28, 2024</w:t>
            </w:r>
          </w:p>
        </w:tc>
        <w:tc>
          <w:tcPr>
            <w:tcW w:w="1304"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203</w:t>
            </w:r>
          </w:p>
        </w:tc>
        <w:tc>
          <w:tcPr>
            <w:tcW w:w="1108"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$28.09</w:t>
            </w:r>
          </w:p>
        </w:tc>
        <w:tc>
          <w:tcPr>
            <w:tcW w:w="4237"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37"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18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30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w:t>
            </w:r>
          </w:p>
        </w:tc>
        <w:tc>
          <w:tcPr>
            <w:tcW w:w="11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$28.09</w:t>
            </w:r>
          </w:p>
        </w:tc>
        <w:tc>
          <w:tcPr>
            <w:tcW w:w="42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38" w:name="ITEM3_Defaults"/>
      <w:bookmarkStart w:id="1339" w:name="_62c722dc_b0d3_46d1_984d_c18a90d900cd"/>
      <w:bookmarkEnd w:id="1338"/>
      <w:bookmarkEnd w:id="1339"/>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340" w:name="ITEM4_MineSafety"/>
      <w:bookmarkStart w:id="1341" w:name="_9e97ac8f_c6cc_4303_8884_91eecb15d58b"/>
      <w:bookmarkEnd w:id="1340"/>
      <w:bookmarkEnd w:id="1341"/>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342" w:name="ITEM5_OtherInfo"/>
      <w:bookmarkStart w:id="1343" w:name="_cd22a9cb_fef9_477e_8d0b_850558481af5"/>
      <w:bookmarkEnd w:id="1342"/>
      <w:bookmarkEnd w:id="1343"/>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Rule 10b5-1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 </w:t>
      </w:r>
    </w:p>
    <w:p>
      <w:pPr>
        <w:pStyle w:val="TextBody"/>
        <w:bidi w:val="0"/>
        <w:spacing w:before="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44" w:name="ITEM15EXHIBITS_40412"/>
      <w:bookmarkStart w:id="1345" w:name="_230eca42_a7fe_4a5b_8f57_5f008891b314"/>
      <w:bookmarkEnd w:id="1344"/>
      <w:bookmarkEnd w:id="1345"/>
      <w:r>
        <w:rPr>
          <w:rFonts w:ascii="Times New Roman;Times;serif" w:hAnsi="Times New Roman;Times;serif"/>
          <w:b/>
          <w:sz w:val="20"/>
        </w:rPr>
        <w:t>ITEM 6. Exhibits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787"/>
        <w:gridCol w:w="109"/>
        <w:gridCol w:w="9309"/>
      </w:tblGrid>
      <w:tr>
        <w:trPr/>
        <w:tc>
          <w:tcPr>
            <w:tcW w:w="78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49555" cy="29210"/>
                      <wp:effectExtent l="0" t="0" r="0" b="0"/>
                      <wp:wrapNone/>
                      <wp:docPr id="288" name="Frame288"/>
                      <a:graphic xmlns:a="http://schemas.openxmlformats.org/drawingml/2006/main">
                        <a:graphicData uri="http://schemas.microsoft.com/office/word/2010/wordprocessingShape">
                          <wps:wsp>
                            <wps:cNvSpPr txBox="1"/>
                            <wps:spPr>
                              <a:xfrm>
                                <a:off x="0" y="0"/>
                                <a:ext cx="2495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30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955290" cy="29210"/>
                      <wp:effectExtent l="0" t="0" r="0" b="0"/>
                      <wp:wrapNone/>
                      <wp:docPr id="289" name="Frame289"/>
                      <a:graphic xmlns:a="http://schemas.openxmlformats.org/drawingml/2006/main">
                        <a:graphicData uri="http://schemas.microsoft.com/office/word/2010/wordprocessingShape">
                          <wps:wsp>
                            <wps:cNvSpPr txBox="1"/>
                            <wps:spPr>
                              <a:xfrm>
                                <a:off x="0" y="0"/>
                                <a:ext cx="29552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87"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40" w:after="40"/>
              <w:ind w:left="0" w:right="0" w:hanging="0"/>
              <w:jc w:val="center"/>
              <w:rPr/>
            </w:pPr>
            <w:r>
              <w:rPr/>
              <w:t>​</w:t>
            </w:r>
          </w:p>
        </w:tc>
        <w:tc>
          <w:tcPr>
            <w:tcW w:w="9309"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lineRule="auto" w:line="304" w:before="0" w:after="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pPr>
            <w:hyperlink r:id="rId2">
              <w:r>
                <w:rPr>
                  <w:rStyle w:val="InternetLink"/>
                  <w:rFonts w:ascii="Times New Roman;Times;serif" w:hAnsi="Times New Roman;Times;serif"/>
                  <w:b w:val="false"/>
                  <w:i w:val="false"/>
                  <w:caps w:val="false"/>
                  <w:smallCaps w:val="false"/>
                  <w:sz w:val="20"/>
                </w:rPr>
                <w:t>First Amended and Restated Certificate of Incorporation of Willdan Group, Inc.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Willdan Group, Inc. (incorporated by reference to Exhibit 3.1 to Willdan Group, Inc.’s Current Report on Form 8-K, filed with the SEC on July 12, 2023).</w:t>
              </w:r>
            </w:hyperlink>
            <w:r>
              <w:rPr>
                <w:rFonts w:ascii="Times New Roman;Times;serif" w:hAnsi="Times New Roman;Times;serif"/>
                <w:sz w:val="20"/>
              </w:rPr>
              <w:t xml:space="preserve"> </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pPr>
            <w:hyperlink r:id="rId4">
              <w:r>
                <w:rPr>
                  <w:rStyle w:val="InternetLink"/>
                  <w:rFonts w:ascii="Times New Roman;Times;serif" w:hAnsi="Times New Roman;Times;serif"/>
                  <w:b w:val="false"/>
                  <w:i w:val="false"/>
                  <w:caps w:val="false"/>
                  <w:smallCaps w:val="false"/>
                  <w:sz w:val="20"/>
                </w:rPr>
                <w:t>Specimen Stock Certificate for shares of the Registrant’s Common Stock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rFonts w:ascii="Times New Roman;Times;serif" w:hAnsi="Times New Roman;Times;serif"/>
                <w:sz w:val="20"/>
              </w:rPr>
            </w:pPr>
            <w:r>
              <w:rPr>
                <w:rFonts w:ascii="Times New Roman;Times;serif" w:hAnsi="Times New Roman;Times;serif"/>
                <w:sz w:val="20"/>
              </w:rPr>
              <w:t>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shd w:fill="FFFFFF" w:val="clear"/>
              </w:rPr>
            </w:pPr>
            <w:r>
              <w:rPr>
                <w:rFonts w:ascii="Times New Roman;Times;serif" w:hAnsi="Times New Roman;Times;serif"/>
                <w:sz w:val="20"/>
                <w:shd w:fill="FFFFFF" w:val="clear"/>
              </w:rPr>
              <w:t>10.1</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pPr>
            <w:hyperlink r:id="rId5">
              <w:r>
                <w:rPr>
                  <w:rStyle w:val="InternetLink"/>
                  <w:rFonts w:ascii="Times New Roman;Times;serif" w:hAnsi="Times New Roman;Times;serif"/>
                  <w:b w:val="false"/>
                  <w:i w:val="false"/>
                  <w:caps w:val="false"/>
                  <w:smallCaps w:val="false"/>
                  <w:sz w:val="20"/>
                  <w:shd w:fill="FFFFFF" w:val="clear"/>
                </w:rPr>
                <w:t>Willdan Group, Inc. Amended and Restated 2008 Performance Incentive Plan (incorporated by reference to Exhibit 10.1 to Willdan Group, Inc.’s Current Report on Form 8-K, filed with the SEC on June 14, 2024).</w:t>
              </w:r>
            </w:hyperlink>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shd w:fill="FFFFFF" w:val="clear"/>
              </w:rPr>
            </w:pPr>
            <w:r>
              <w:rPr>
                <w:rFonts w:ascii="Times New Roman;Times;serif" w:hAnsi="Times New Roman;Times;serif"/>
                <w:sz w:val="20"/>
                <w:shd w:fill="FFFFFF" w:val="clear"/>
              </w:rPr>
              <w:t>31.1*</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pPr>
            <w:hyperlink w:anchor="wldn-20240628xex31d1.htm">
              <w:r>
                <w:rPr>
                  <w:rStyle w:val="InternetLink"/>
                  <w:rFonts w:ascii="Times New Roman;Times;serif" w:hAnsi="Times New Roman;Times;serif"/>
                  <w:b w:val="false"/>
                  <w:i w:val="false"/>
                  <w:caps w:val="false"/>
                  <w:smallCaps w:val="false"/>
                  <w:sz w:val="20"/>
                  <w:shd w:fill="FFFFFF" w:val="clear"/>
                </w:rPr>
                <w:t>Certification of Chief Executive Officer pursuant to Rule 13a-14(a) or 15d-14(a) under the Securities Exchange Act of 1934, as adopted pursuant to § 302 of the Sarbanes-Oxley Act of 2002.</w:t>
              </w:r>
            </w:hyperlink>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pPr>
            <w:hyperlink w:anchor="wldn-20240628xex31d2.htm">
              <w:r>
                <w:rPr>
                  <w:rStyle w:val="InternetLink"/>
                  <w:rFonts w:ascii="Times New Roman;Times;serif" w:hAnsi="Times New Roman;Times;serif"/>
                  <w:b w:val="false"/>
                  <w:i w:val="false"/>
                  <w:caps w:val="false"/>
                  <w:smallCaps w:val="false"/>
                  <w:sz w:val="20"/>
                </w:rPr>
                <w:t>Certification of Chief Financial Officer pursuant to Rule 13a-14(a) or 15d-14(a) under the Securities Exchange Act of 1934, as adopted pursuant to § 302 of the Sarbanes-Oxley Act of 2002</w:t>
              </w:r>
            </w:hyperlink>
            <w:r>
              <w:rPr>
                <w:rFonts w:ascii="Times New Roman;Times;serif" w:hAnsi="Times New Roman;Times;serif"/>
                <w:sz w:val="20"/>
              </w:rPr>
              <w:t>.</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pPr>
            <w:hyperlink w:anchor="wldn-20240628xex32d1.htm">
              <w:r>
                <w:rPr>
                  <w:rStyle w:val="InternetLink"/>
                  <w:rFonts w:ascii="Times New Roman;Times;serif" w:hAnsi="Times New Roman;Times;serif"/>
                  <w:b w:val="false"/>
                  <w:i w:val="false"/>
                  <w:caps w:val="false"/>
                  <w:smallCaps w:val="false"/>
                  <w:sz w:val="20"/>
                </w:rPr>
                <w:t>Certifications of Chief Executive Officer and Chief Financial Officer pursuant to 18 U.S.C. 1350, as adopted pursuant to § 906 of the Sarbanes-Oxley Act of 2002</w:t>
              </w:r>
            </w:hyperlink>
            <w:r>
              <w:rPr>
                <w:rFonts w:ascii="Times New Roman;Times;serif" w:hAnsi="Times New Roman;Times;serif"/>
                <w:sz w:val="20"/>
              </w:rPr>
              <w:t>.</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Instance Document (the instance document does not appear in the Interactive Data File because its XBRL tags are embedded within the Inline XBRL document)</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Schema Document</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Calculation Linkbase Document</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Definition Linkbase Document</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Label Linkbase Document</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Presentation Linkbase Document</w:t>
            </w:r>
          </w:p>
        </w:tc>
      </w:tr>
      <w:tr>
        <w:trPr/>
        <w:tc>
          <w:tcPr>
            <w:tcW w:w="78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0" w:before="40" w:after="40"/>
              <w:ind w:left="0" w:right="0" w:hanging="0"/>
              <w:jc w:val="left"/>
              <w:rPr/>
            </w:pPr>
            <w:r>
              <w:rPr/>
              <w:t>​</w:t>
            </w:r>
          </w:p>
        </w:tc>
        <w:tc>
          <w:tcPr>
            <w:tcW w:w="930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(formatted as inline XBRL and contained in Exhibit 101)</w:t>
            </w:r>
          </w:p>
        </w:tc>
      </w:tr>
    </w:tbl>
    <w:tbl>
      <w:tblPr>
        <w:tblW w:w="1427" w:type="dxa"/>
        <w:jc w:val="left"/>
        <w:tblInd w:w="0" w:type="dxa"/>
        <w:tblLayout w:type="fixed"/>
        <w:tblCellMar>
          <w:top w:w="0" w:type="dxa"/>
          <w:left w:w="0" w:type="dxa"/>
          <w:bottom w:w="0" w:type="dxa"/>
          <w:right w:w="0" w:type="dxa"/>
        </w:tblCellMar>
      </w:tblPr>
      <w:tblGrid>
        <w:gridCol w:w="211"/>
        <w:gridCol w:w="1216"/>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2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Filed herewith.</w:t>
            </w:r>
          </w:p>
        </w:tc>
      </w:tr>
    </w:tbl>
    <w:tbl>
      <w:tblPr>
        <w:tblW w:w="1877" w:type="dxa"/>
        <w:jc w:val="left"/>
        <w:tblInd w:w="0" w:type="dxa"/>
        <w:tblLayout w:type="fixed"/>
        <w:tblCellMar>
          <w:top w:w="0" w:type="dxa"/>
          <w:left w:w="0" w:type="dxa"/>
          <w:bottom w:w="0" w:type="dxa"/>
          <w:right w:w="0" w:type="dxa"/>
        </w:tblCellMar>
      </w:tblPr>
      <w:tblGrid>
        <w:gridCol w:w="301"/>
        <w:gridCol w:w="1576"/>
      </w:tblGrid>
      <w:tr>
        <w:trPr/>
        <w:tc>
          <w:tcPr>
            <w:tcW w:w="3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pPr>
            <w:r>
              <w:rPr/>
              <w:t>‡</w:t>
            </w:r>
          </w:p>
        </w:tc>
        <w:tc>
          <w:tcPr>
            <w:tcW w:w="996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Portions of the referenced exhibit have been omitted pursuant to Item 601(b) of Regulation S-K because it (i) is not material and (ii) would be competitively harmful if publicly disclosed.</w:t>
            </w:r>
          </w:p>
        </w:tc>
      </w:tr>
    </w:tbl>
    <w:tbl>
      <w:tblPr>
        <w:tblW w:w="6542" w:type="dxa"/>
        <w:jc w:val="left"/>
        <w:tblInd w:w="0" w:type="dxa"/>
        <w:tblLayout w:type="fixed"/>
        <w:tblCellMar>
          <w:top w:w="0" w:type="dxa"/>
          <w:left w:w="0" w:type="dxa"/>
          <w:bottom w:w="0" w:type="dxa"/>
          <w:right w:w="0" w:type="dxa"/>
        </w:tblCellMar>
      </w:tblPr>
      <w:tblGrid>
        <w:gridCol w:w="211"/>
        <w:gridCol w:w="6331"/>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633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 xml:space="preserve">All schedules and exhibits were omitted pursuant to Item 601(a)(5) of Regulation S-K. </w:t>
            </w:r>
          </w:p>
        </w:tc>
      </w:tr>
    </w:tbl>
    <w:tbl>
      <w:tblPr>
        <w:tblW w:w="5342" w:type="dxa"/>
        <w:jc w:val="left"/>
        <w:tblInd w:w="0" w:type="dxa"/>
        <w:tblLayout w:type="fixed"/>
        <w:tblCellMar>
          <w:top w:w="0" w:type="dxa"/>
          <w:left w:w="0" w:type="dxa"/>
          <w:bottom w:w="0" w:type="dxa"/>
          <w:right w:w="0" w:type="dxa"/>
        </w:tblCellMar>
      </w:tblPr>
      <w:tblGrid>
        <w:gridCol w:w="241"/>
        <w:gridCol w:w="5101"/>
      </w:tblGrid>
      <w:tr>
        <w:trPr/>
        <w:tc>
          <w:tcPr>
            <w:tcW w:w="241" w:type="dxa"/>
            <w:tcBorders/>
            <w:vAlign w:val="center"/>
          </w:tcPr>
          <w:p>
            <w:pPr>
              <w:pStyle w:val="TableContents"/>
              <w:bidi w:val="0"/>
              <w:spacing w:before="0" w:after="0"/>
              <w:jc w:val="left"/>
              <w:rPr/>
            </w:pPr>
            <w:r>
              <w:rPr/>
              <w:t>†</w:t>
            </w:r>
          </w:p>
        </w:tc>
        <w:tc>
          <w:tcPr>
            <w:tcW w:w="51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Indicates a management contract or compensating plan or arrangement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346" w:name="SIGNATURES"/>
      <w:bookmarkStart w:id="1347" w:name="_5ef530a6_5fc5_4c8b_ab82_477bc719fd15"/>
      <w:bookmarkEnd w:id="1346"/>
      <w:bookmarkEnd w:id="1347"/>
      <w:r>
        <w:rPr>
          <w:rFonts w:ascii="Times New Roman;Times;serif" w:hAnsi="Times New Roman;Times;serif"/>
          <w:b/>
          <w:sz w:val="20"/>
        </w:rPr>
        <w:t>SIGNATURES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399" w:type="dxa"/>
        <w:jc w:val="left"/>
        <w:tblInd w:w="0" w:type="dxa"/>
        <w:tblLayout w:type="fixed"/>
        <w:tblCellMar>
          <w:top w:w="0" w:type="dxa"/>
          <w:left w:w="0" w:type="dxa"/>
          <w:bottom w:w="0" w:type="dxa"/>
          <w:right w:w="0" w:type="dxa"/>
        </w:tblCellMar>
      </w:tblPr>
      <w:tblGrid>
        <w:gridCol w:w="124"/>
        <w:gridCol w:w="6532"/>
        <w:gridCol w:w="743"/>
      </w:tblGrid>
      <w:tr>
        <w:trPr/>
        <w:tc>
          <w:tcPr>
            <w:tcW w:w="124" w:type="dxa"/>
            <w:tcBorders/>
            <w:vAlign w:val="center"/>
          </w:tcPr>
          <w:p>
            <w:pPr>
              <w:pStyle w:val="TableContents"/>
              <w:bidi w:val="0"/>
              <w:spacing w:before="0" w:after="120"/>
              <w:ind w:left="0" w:right="0" w:hanging="0"/>
              <w:jc w:val="left"/>
              <w:rPr/>
            </w:pPr>
            <w:r>
              <w:rPr/>
              <w:t>​</w:t>
            </w:r>
          </w:p>
        </w:tc>
        <w:tc>
          <w:tcPr>
            <w:tcW w:w="6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147820" cy="29210"/>
                      <wp:effectExtent l="0" t="0" r="0" b="0"/>
                      <wp:wrapNone/>
                      <wp:docPr id="290" name="Frame290"/>
                      <a:graphic xmlns:a="http://schemas.openxmlformats.org/drawingml/2006/main">
                        <a:graphicData uri="http://schemas.microsoft.com/office/word/2010/wordprocessingShape">
                          <wps:wsp>
                            <wps:cNvSpPr txBox="1"/>
                            <wps:spPr>
                              <a:xfrm>
                                <a:off x="0" y="0"/>
                                <a:ext cx="41478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71805" cy="175260"/>
                      <wp:effectExtent l="0" t="0" r="0" b="0"/>
                      <wp:wrapNone/>
                      <wp:docPr id="291" name="Frame291"/>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2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WILLDAN GROUP, INC.</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center"/>
              <w:rPr>
                <w:smallCaps/>
              </w:rPr>
            </w:pPr>
            <w:r>
              <w:rPr>
                <w:smallCaps/>
              </w:rPr>
              <w: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Principal Accounting Officer and duly authorized officer)</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653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August 1, 2024</w:t>
            </w:r>
          </w:p>
        </w:tc>
        <w:tc>
          <w:tcPr>
            <w:tcW w:w="743"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240"/>
        <w:ind w:left="0" w:right="0" w:hanging="0"/>
        <w:jc w:val="right"/>
        <w:rPr>
          <w:rFonts w:ascii="Times New Roman;Times;serif" w:hAnsi="Times New Roman;Times;serif"/>
          <w:b/>
          <w:sz w:val="20"/>
        </w:rPr>
      </w:pPr>
      <w:bookmarkStart w:id="1348" w:name="wldn-20240628xex31d1.htm"/>
      <w:bookmarkStart w:id="1349" w:name="kswldn20240628xex31d1"/>
      <w:bookmarkEnd w:id="1348"/>
      <w:bookmarkEnd w:id="1349"/>
      <w:r>
        <w:rPr>
          <w:rFonts w:ascii="Times New Roman;Times;serif" w:hAnsi="Times New Roman;Times;serif"/>
          <w:b/>
          <w:sz w:val="20"/>
        </w:rPr>
        <w:t>Exhibit 31.1</w:t>
      </w:r>
      <w:r>
        <w:br w:type="page"/>
      </w:r>
    </w:p>
    <w:p>
      <w:pPr>
        <w:pStyle w:val="TextBody"/>
        <w:bidi w:val="0"/>
        <w:spacing w:lineRule="auto" w:line="285" w:before="0" w:after="22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EXECUTIVE OFFICER</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I, Michael A. Bieber, certify that: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Willdan Group, Inc.;</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Date: August 1, 2024</w:t>
      </w:r>
    </w:p>
    <w:tbl>
      <w:tblPr>
        <w:tblW w:w="3798" w:type="dxa"/>
        <w:jc w:val="center"/>
        <w:tblInd w:w="0" w:type="dxa"/>
        <w:tblLayout w:type="fixed"/>
        <w:tblCellMar>
          <w:top w:w="0" w:type="dxa"/>
          <w:left w:w="0" w:type="dxa"/>
          <w:bottom w:w="0" w:type="dxa"/>
          <w:right w:w="0" w:type="dxa"/>
        </w:tblCellMar>
      </w:tblPr>
      <w:tblGrid>
        <w:gridCol w:w="151"/>
        <w:gridCol w:w="406"/>
        <w:gridCol w:w="3241"/>
      </w:tblGrid>
      <w:tr>
        <w:trPr/>
        <w:tc>
          <w:tcPr>
            <w:tcW w:w="15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i/>
                <w:sz w:val="2"/>
              </w:rPr>
            </w:pPr>
            <w:r>
              <w:rPr>
                <w:rFonts w:ascii="Times New Roman;Times;serif" w:hAnsi="Times New Roman;Times;serif"/>
                <w:i/>
                <w:sz w:val="2"/>
              </w:rPr>
              <w:t>(Prin</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58670" cy="29210"/>
                      <wp:effectExtent l="0" t="0" r="0" b="0"/>
                      <wp:wrapNone/>
                      <wp:docPr id="292" name="Frame292"/>
                      <a:graphic xmlns:a="http://schemas.openxmlformats.org/drawingml/2006/main">
                        <a:graphicData uri="http://schemas.microsoft.com/office/word/2010/wordprocessingShape">
                          <wps:wsp>
                            <wps:cNvSpPr txBox="1"/>
                            <wps:spPr>
                              <a:xfrm>
                                <a:off x="0" y="0"/>
                                <a:ext cx="2058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350" w:name="wldn-20240628xex31d2.htm"/>
      <w:bookmarkStart w:id="1351" w:name="kswldn20240628xex31d2"/>
      <w:bookmarkEnd w:id="1350"/>
      <w:bookmarkEnd w:id="1351"/>
      <w:r>
        <w:rPr>
          <w:rFonts w:ascii="Times New Roman;Times;serif" w:hAnsi="Times New Roman;Times;serif"/>
          <w:b/>
          <w:sz w:val="20"/>
        </w:rPr>
        <w:t>Exhibit 31.2</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FINANCIAL OFFICER</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Creighton K. Early, certify that:</w:t>
      </w:r>
    </w:p>
    <w:tbl>
      <w:tblPr>
        <w:tblW w:w="6205" w:type="dxa"/>
        <w:jc w:val="left"/>
        <w:tblInd w:w="0" w:type="dxa"/>
        <w:tblLayout w:type="fixed"/>
        <w:tblCellMar>
          <w:top w:w="0" w:type="dxa"/>
          <w:left w:w="0" w:type="dxa"/>
          <w:bottom w:w="0" w:type="dxa"/>
          <w:right w:w="0" w:type="dxa"/>
        </w:tblCellMar>
      </w:tblPr>
      <w:tblGrid>
        <w:gridCol w:w="170"/>
        <w:gridCol w:w="6035"/>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60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Willdan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Date: August 1, 2024</w:t>
      </w:r>
    </w:p>
    <w:tbl>
      <w:tblPr>
        <w:tblW w:w="5031" w:type="dxa"/>
        <w:jc w:val="left"/>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352" w:name="wldn-20240628xex32d1.htm"/>
      <w:bookmarkStart w:id="1353" w:name="kswldn20240628xex32d1"/>
      <w:bookmarkEnd w:id="1352"/>
      <w:bookmarkEnd w:id="1353"/>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1350,</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Willdan Group, Inc. (the “Company”) for the quarterly period ended June 28, 2024,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031" w:type="dxa"/>
        <w:jc w:val="center"/>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August 1, 2024</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August 1, 2024</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70450/000104746906010648/a2172308zex-3_1.htm" TargetMode="External"/><Relationship Id="rId3" Type="http://schemas.openxmlformats.org/officeDocument/2006/relationships/hyperlink" Target="https://www.sec.gov/Archives/edgar/data/1370450/000155837023011834/wldn-20230707xex3d1.htm" TargetMode="External"/><Relationship Id="rId4" Type="http://schemas.openxmlformats.org/officeDocument/2006/relationships/hyperlink" Target="http://www.sec.gov/Archives/edgar/data/1370450/000104746906011904/a2173104zex-4_1.htm" TargetMode="External"/><Relationship Id="rId5" Type="http://schemas.openxmlformats.org/officeDocument/2006/relationships/hyperlink" Target="https://www.sec.gov/Archives/edgar/data/1370450/000155837024009208/wldn-20240613xex10d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20615</Words>
  <Characters>114383</Characters>
  <CharactersWithSpaces>137502</CharactersWithSpaces>
  <Paragraphs>7361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