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92026_100957.xml.htm"/>
      <w:bookmarkStart w:id="1" w:name="ksform409092026_1009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Brisbin Thomas Donald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2401 EAST KATELLA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ANAHEIM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Willdan Group, Inc.</w:t>
              </w:r>
            </w:hyperlink>
            <w:r>
              <w:rPr/>
              <w:t xml:space="preserve"> [ </w:t>
            </w:r>
            <w:r>
              <w:rPr>
                <w:rFonts w:ascii="Times;serif" w:hAnsi="Times;serif"/>
                <w:color w:val="0000FF"/>
                <w:sz w:val="24"/>
                <w:shd w:fill="FFFFFF" w:val="clear"/>
              </w:rPr>
              <w:t>WLDN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3,439</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16.27</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100,126</w:t>
            </w:r>
            <w:r>
              <w:rPr>
                <w:rFonts w:ascii="Times;serif" w:hAnsi="Times;serif"/>
                <w:color w:val="008000"/>
                <w:position w:val="7"/>
                <w:sz w:val="16"/>
                <w:sz w:val="20"/>
                <w:shd w:fill="FFFFFF" w:val="clear"/>
              </w:rPr>
              <w:t>(1)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3,439</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88.19</w:t>
            </w:r>
            <w:r>
              <w:rPr>
                <w:rFonts w:ascii="Times;serif" w:hAnsi="Times;serif"/>
                <w:color w:val="008000"/>
                <w:position w:val="7"/>
                <w:sz w:val="16"/>
                <w:sz w:val="20"/>
                <w:shd w:fill="FFFFFF" w:val="clear"/>
              </w:rPr>
              <w:t>(2)</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96,687</w:t>
            </w:r>
            <w:r>
              <w:rPr>
                <w:rFonts w:ascii="Times;serif" w:hAnsi="Times;serif"/>
                <w:color w:val="008000"/>
                <w:position w:val="7"/>
                <w:sz w:val="16"/>
                <w:sz w:val="20"/>
                <w:shd w:fill="FFFFFF" w:val="clear"/>
              </w:rPr>
              <w:t>(1)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3,439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11/03/2017</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11/03/2026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27,540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1,241 shares of restricted stock that vest on June 17,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the weighted average price. These shares were sold in multiple transactions at prices ranging from $88.18 to $88.25,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Stock options granted under the Willdan Group, Inc. Amended and Restated 2008 Performance Incentive Plan, which vested in three equal installments on each of November 3, 2017, November 3, 2018 and November 3, 2019.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Creighton K. Early, Attorney-in-Fact for Thomas D. Brisbin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5188" TargetMode="External"/><Relationship Id="rId5" Type="http://schemas.openxmlformats.org/officeDocument/2006/relationships/hyperlink" Target="http://www.sec.gov/cgi-bin/browse-edgar?action=getcompany&amp;CIK=0001370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3853</Characters>
  <CharactersWithSpaces>4479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