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26,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-187960</wp:posOffset>
            </wp:positionV>
            <wp:extent cx="1637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WILLDAN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-258445</wp:posOffset>
            </wp:positionV>
            <wp:extent cx="1637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45720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56" w:lineRule="exact"/>
        <w:rPr>
          <w:sz w:val="24"/>
          <w:szCs w:val="24"/>
          <w:color w:val="auto"/>
        </w:rPr>
      </w:pPr>
    </w:p>
    <w:tbl>
      <w:tblPr>
        <w:tblLayout w:type="fixed"/>
        <w:tblInd w:w="1560" w:type="dxa"/>
        <w:tblCellMar>
          <w:top w:w="0" w:type="dxa"/>
          <w:left w:w="0" w:type="dxa"/>
          <w:bottom w:w="0" w:type="dxa"/>
          <w:right w:w="0" w:type="dxa"/>
        </w:tblCellMar>
      </w:tblPr>
      <w:tr>
        <w:trPr>
          <w:trHeight w:val="192"/>
        </w:trPr>
        <w:tc>
          <w:tcPr>
            <w:tcW w:w="3580" w:type="dxa"/>
            <w:vAlign w:val="bottom"/>
          </w:tcPr>
          <w:p>
            <w:pPr>
              <w:jc w:val="center"/>
              <w:ind w:right="166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60" w:type="dxa"/>
            <w:vAlign w:val="bottom"/>
          </w:tcPr>
          <w:p>
            <w:pPr>
              <w:jc w:val="center"/>
              <w:ind w:left="1666"/>
              <w:spacing w:after="0"/>
              <w:rPr>
                <w:sz w:val="20"/>
                <w:szCs w:val="20"/>
                <w:color w:val="auto"/>
              </w:rPr>
            </w:pPr>
            <w:r>
              <w:rPr>
                <w:rFonts w:ascii="Times New Roman" w:cs="Times New Roman" w:eastAsia="Times New Roman" w:hAnsi="Times New Roman"/>
                <w:sz w:val="16"/>
                <w:szCs w:val="16"/>
                <w:b w:val="1"/>
                <w:bCs w:val="1"/>
                <w:color w:val="auto"/>
                <w:w w:val="98"/>
              </w:rPr>
              <w:t>14-1951112</w:t>
            </w:r>
          </w:p>
        </w:tc>
      </w:tr>
      <w:tr>
        <w:trPr>
          <w:trHeight w:val="147"/>
        </w:trPr>
        <w:tc>
          <w:tcPr>
            <w:tcW w:w="3580" w:type="dxa"/>
            <w:vAlign w:val="bottom"/>
          </w:tcPr>
          <w:p>
            <w:pPr>
              <w:jc w:val="center"/>
              <w:ind w:right="1646"/>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60" w:type="dxa"/>
            <w:vAlign w:val="bottom"/>
          </w:tcPr>
          <w:p>
            <w:pPr>
              <w:jc w:val="center"/>
              <w:ind w:left="166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580" w:type="dxa"/>
            <w:vAlign w:val="bottom"/>
          </w:tcPr>
          <w:p>
            <w:pPr>
              <w:jc w:val="center"/>
              <w:ind w:right="16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60" w:type="dxa"/>
            <w:vAlign w:val="bottom"/>
          </w:tcPr>
          <w:p>
            <w:pPr>
              <w:jc w:val="center"/>
              <w:ind w:left="166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2401 East Katella Avenue, Suite 300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Anaheim, California 92806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424-9144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2008 Performance Incentive Plan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Creighton K. Early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and Executive Vice President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Willdan Group,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2401 East Katella Avenue, Suite 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Anaheim, California 92806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424-9144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-125095</wp:posOffset>
            </wp:positionV>
            <wp:extent cx="1637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John-Paul Motley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-125095</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Logan Tiari</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South Grand Avenue, Suite 3200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California 90071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(213) 561-3204</w:t>
      </w:r>
    </w:p>
    <w:p>
      <w:pPr>
        <w:spacing w:after="0" w:line="286"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-403860</wp:posOffset>
            </wp:positionV>
            <wp:extent cx="1637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1"/>
        </w:trPr>
        <w:tc>
          <w:tcPr>
            <w:tcW w:w="1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56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ind w:right="6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326390</wp:posOffset>
            </wp:positionV>
            <wp:extent cx="630237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2375" cy="2540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REGISTRATION OF ADDITIONAL SHARES</w:t>
      </w:r>
    </w:p>
    <w:p>
      <w:pPr>
        <w:spacing w:after="0" w:line="331" w:lineRule="exact"/>
        <w:rPr>
          <w:sz w:val="20"/>
          <w:szCs w:val="20"/>
          <w:color w:val="auto"/>
        </w:rPr>
      </w:pPr>
    </w:p>
    <w:p>
      <w:pPr>
        <w:jc w:val="both"/>
        <w:ind w:left="200" w:right="219" w:firstLine="321"/>
        <w:spacing w:after="0" w:line="302" w:lineRule="auto"/>
        <w:rPr>
          <w:sz w:val="20"/>
          <w:szCs w:val="20"/>
          <w:color w:val="auto"/>
        </w:rPr>
      </w:pPr>
      <w:r>
        <w:rPr>
          <w:rFonts w:ascii="Times New Roman" w:cs="Times New Roman" w:eastAsia="Times New Roman" w:hAnsi="Times New Roman"/>
          <w:sz w:val="20"/>
          <w:szCs w:val="20"/>
          <w:color w:val="auto"/>
        </w:rPr>
        <w:t>This Registration Statement is filed by Willdan Group, Inc. (the “</w:t>
      </w:r>
      <w:r>
        <w:rPr>
          <w:rFonts w:ascii="Times New Roman" w:cs="Times New Roman" w:eastAsia="Times New Roman" w:hAnsi="Times New Roman"/>
          <w:sz w:val="20"/>
          <w:szCs w:val="20"/>
          <w:b w:val="1"/>
          <w:bCs w:val="1"/>
          <w:i w:val="1"/>
          <w:iCs w:val="1"/>
          <w:color w:val="auto"/>
        </w:rPr>
        <w:t>Registrant</w:t>
      </w:r>
      <w:r>
        <w:rPr>
          <w:rFonts w:ascii="Times New Roman" w:cs="Times New Roman" w:eastAsia="Times New Roman" w:hAnsi="Times New Roman"/>
          <w:sz w:val="20"/>
          <w:szCs w:val="20"/>
          <w:color w:val="auto"/>
        </w:rPr>
        <w:t>”) to register an additional 380,000 shares of the Registrant’s common stock, par value $0.01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issuable pursuant to the Registrant’s Amended and Restated 2008 Performance Incentive Plan (as amended, the “</w:t>
      </w:r>
      <w:r>
        <w:rPr>
          <w:rFonts w:ascii="Times New Roman" w:cs="Times New Roman" w:eastAsia="Times New Roman" w:hAnsi="Times New Roman"/>
          <w:sz w:val="20"/>
          <w:szCs w:val="20"/>
          <w:b w:val="1"/>
          <w:bCs w:val="1"/>
          <w:i w:val="1"/>
          <w:iCs w:val="1"/>
          <w:color w:val="auto"/>
        </w:rPr>
        <w:t>2008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249" w:lineRule="exact"/>
        <w:rPr>
          <w:sz w:val="20"/>
          <w:szCs w:val="20"/>
          <w:color w:val="auto"/>
        </w:rPr>
      </w:pPr>
    </w:p>
    <w:p>
      <w:pPr>
        <w:jc w:val="both"/>
        <w:ind w:left="200" w:right="219" w:firstLine="321"/>
        <w:spacing w:after="0" w:line="294" w:lineRule="auto"/>
        <w:rPr>
          <w:rFonts w:ascii="Times New Roman" w:cs="Times New Roman" w:eastAsia="Times New Roman" w:hAnsi="Times New Roman"/>
          <w:sz w:val="20"/>
          <w:szCs w:val="20"/>
          <w:color w:val="000000"/>
        </w:rPr>
      </w:pPr>
      <w:r>
        <w:rPr>
          <w:rFonts w:ascii="Times New Roman" w:cs="Times New Roman" w:eastAsia="Times New Roman" w:hAnsi="Times New Roman"/>
          <w:sz w:val="20"/>
          <w:szCs w:val="20"/>
          <w:color w:val="auto"/>
        </w:rPr>
        <w:t xml:space="preserve">The Registrant previously registered shares of its Common Stock for issuance under the 2008 Plan on Registration Statements on Form S-8 filed with the Commission on August 12, 2008 (File No. </w:t>
      </w:r>
      <w:hyperlink r:id="rId15">
        <w:r>
          <w:rPr>
            <w:rFonts w:ascii="Times New Roman" w:cs="Times New Roman" w:eastAsia="Times New Roman" w:hAnsi="Times New Roman"/>
            <w:sz w:val="20"/>
            <w:szCs w:val="20"/>
            <w:u w:val="single" w:color="auto"/>
            <w:color w:val="0000EE"/>
          </w:rPr>
          <w:t>333-152951</w:t>
        </w:r>
      </w:hyperlink>
      <w:r>
        <w:rPr>
          <w:rFonts w:ascii="Times New Roman" w:cs="Times New Roman" w:eastAsia="Times New Roman" w:hAnsi="Times New Roman"/>
          <w:sz w:val="20"/>
          <w:szCs w:val="20"/>
          <w:color w:val="auto"/>
        </w:rPr>
        <w:t xml:space="preserve">), August 12, 2010 (File No. </w:t>
      </w:r>
      <w:hyperlink r:id="rId16">
        <w:r>
          <w:rPr>
            <w:rFonts w:ascii="Times New Roman" w:cs="Times New Roman" w:eastAsia="Times New Roman" w:hAnsi="Times New Roman"/>
            <w:sz w:val="20"/>
            <w:szCs w:val="20"/>
            <w:u w:val="single" w:color="auto"/>
            <w:color w:val="0000EE"/>
          </w:rPr>
          <w:t>333-168787</w:t>
        </w:r>
      </w:hyperlink>
      <w:r>
        <w:rPr>
          <w:rFonts w:ascii="Times New Roman" w:cs="Times New Roman" w:eastAsia="Times New Roman" w:hAnsi="Times New Roman"/>
          <w:sz w:val="20"/>
          <w:szCs w:val="20"/>
          <w:color w:val="auto"/>
        </w:rPr>
        <w:t xml:space="preserve">), November 8, 2012 (File No. </w:t>
      </w:r>
      <w:hyperlink r:id="rId17">
        <w:r>
          <w:rPr>
            <w:rFonts w:ascii="Times New Roman" w:cs="Times New Roman" w:eastAsia="Times New Roman" w:hAnsi="Times New Roman"/>
            <w:sz w:val="20"/>
            <w:szCs w:val="20"/>
            <w:u w:val="single" w:color="auto"/>
            <w:color w:val="0000EE"/>
          </w:rPr>
          <w:t>333-184823</w:t>
        </w:r>
      </w:hyperlink>
      <w:r>
        <w:rPr>
          <w:rFonts w:ascii="Times New Roman" w:cs="Times New Roman" w:eastAsia="Times New Roman" w:hAnsi="Times New Roman"/>
          <w:sz w:val="20"/>
          <w:szCs w:val="20"/>
          <w:color w:val="auto"/>
        </w:rPr>
        <w:t xml:space="preserve">), August 4, 2016 (File No. </w:t>
      </w:r>
      <w:hyperlink r:id="rId18">
        <w:r>
          <w:rPr>
            <w:rFonts w:ascii="Times New Roman" w:cs="Times New Roman" w:eastAsia="Times New Roman" w:hAnsi="Times New Roman"/>
            <w:sz w:val="20"/>
            <w:szCs w:val="20"/>
            <w:u w:val="single" w:color="auto"/>
            <w:color w:val="0000EE"/>
          </w:rPr>
          <w:t>333-212907</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June 30, 2017 (File No.</w:t>
      </w:r>
      <w:r>
        <w:rPr>
          <w:rFonts w:ascii="Times New Roman" w:cs="Times New Roman" w:eastAsia="Times New Roman" w:hAnsi="Times New Roman"/>
          <w:sz w:val="20"/>
          <w:szCs w:val="20"/>
          <w:color w:val="0000EE"/>
        </w:rPr>
        <w:t xml:space="preserve"> </w:t>
      </w:r>
      <w:hyperlink r:id="rId19">
        <w:r>
          <w:rPr>
            <w:rFonts w:ascii="Times New Roman" w:cs="Times New Roman" w:eastAsia="Times New Roman" w:hAnsi="Times New Roman"/>
            <w:sz w:val="20"/>
            <w:szCs w:val="20"/>
            <w:u w:val="single" w:color="auto"/>
            <w:color w:val="0000EE"/>
          </w:rPr>
          <w:t>333-219133</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June 28, 2019 (File No.</w:t>
      </w:r>
      <w:r>
        <w:rPr>
          <w:rFonts w:ascii="Times New Roman" w:cs="Times New Roman" w:eastAsia="Times New Roman" w:hAnsi="Times New Roman"/>
          <w:sz w:val="20"/>
          <w:szCs w:val="20"/>
          <w:color w:val="0000EE"/>
        </w:rPr>
        <w:t xml:space="preserve"> </w:t>
      </w:r>
      <w:hyperlink r:id="rId20">
        <w:r>
          <w:rPr>
            <w:rFonts w:ascii="Times New Roman" w:cs="Times New Roman" w:eastAsia="Times New Roman" w:hAnsi="Times New Roman"/>
            <w:sz w:val="20"/>
            <w:szCs w:val="20"/>
            <w:u w:val="single" w:color="auto"/>
            <w:color w:val="0000EE"/>
          </w:rPr>
          <w:t>333-232438</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June 24, 2022</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 xml:space="preserve">(File No. </w:t>
      </w:r>
      <w:hyperlink r:id="rId21">
        <w:r>
          <w:rPr>
            <w:rFonts w:ascii="Times New Roman" w:cs="Times New Roman" w:eastAsia="Times New Roman" w:hAnsi="Times New Roman"/>
            <w:sz w:val="20"/>
            <w:szCs w:val="20"/>
            <w:u w:val="single" w:color="auto"/>
            <w:color w:val="0000EE"/>
          </w:rPr>
          <w:t>333-265833</w:t>
        </w:r>
      </w:hyperlink>
      <w:r>
        <w:rPr>
          <w:rFonts w:ascii="Times New Roman" w:cs="Times New Roman" w:eastAsia="Times New Roman" w:hAnsi="Times New Roman"/>
          <w:sz w:val="20"/>
          <w:szCs w:val="20"/>
          <w:color w:val="000000"/>
        </w:rPr>
        <w:t xml:space="preserve">), June 30, 2023 (File No. </w:t>
      </w:r>
      <w:hyperlink r:id="rId22">
        <w:r>
          <w:rPr>
            <w:rFonts w:ascii="Times New Roman" w:cs="Times New Roman" w:eastAsia="Times New Roman" w:hAnsi="Times New Roman"/>
            <w:sz w:val="20"/>
            <w:szCs w:val="20"/>
            <w:u w:val="single" w:color="auto"/>
            <w:color w:val="0000EE"/>
          </w:rPr>
          <w:t>333-273079</w:t>
        </w:r>
      </w:hyperlink>
      <w:r>
        <w:rPr>
          <w:rFonts w:ascii="Times New Roman" w:cs="Times New Roman" w:eastAsia="Times New Roman" w:hAnsi="Times New Roman"/>
          <w:sz w:val="20"/>
          <w:szCs w:val="20"/>
          <w:color w:val="000000"/>
        </w:rPr>
        <w:t xml:space="preserve">), June 28, 2024 (File No. </w:t>
      </w:r>
      <w:hyperlink r:id="rId23">
        <w:r>
          <w:rPr>
            <w:rFonts w:ascii="Times New Roman" w:cs="Times New Roman" w:eastAsia="Times New Roman" w:hAnsi="Times New Roman"/>
            <w:sz w:val="20"/>
            <w:szCs w:val="20"/>
            <w:u w:val="single" w:color="auto"/>
            <w:color w:val="0000EE"/>
          </w:rPr>
          <w:t>333-280582</w:t>
        </w:r>
      </w:hyperlink>
      <w:r>
        <w:rPr>
          <w:rFonts w:ascii="Times New Roman" w:cs="Times New Roman" w:eastAsia="Times New Roman" w:hAnsi="Times New Roman"/>
          <w:sz w:val="20"/>
          <w:szCs w:val="20"/>
          <w:color w:val="000000"/>
        </w:rPr>
        <w:t xml:space="preserve">), and June 27, 2025 (File No. </w:t>
      </w:r>
      <w:hyperlink r:id="rId24">
        <w:r>
          <w:rPr>
            <w:rFonts w:ascii="Times New Roman" w:cs="Times New Roman" w:eastAsia="Times New Roman" w:hAnsi="Times New Roman"/>
            <w:sz w:val="20"/>
            <w:szCs w:val="20"/>
            <w:u w:val="single" w:color="auto"/>
            <w:color w:val="0000EE"/>
          </w:rPr>
          <w:t>333-288396</w:t>
        </w:r>
      </w:hyperlink>
      <w:r>
        <w:rPr>
          <w:rFonts w:ascii="Times New Roman" w:cs="Times New Roman" w:eastAsia="Times New Roman" w:hAnsi="Times New Roman"/>
          <w:sz w:val="20"/>
          <w:szCs w:val="20"/>
          <w:color w:val="000000"/>
        </w:rPr>
        <w:t>) (collectively, the “</w:t>
      </w:r>
      <w:r>
        <w:rPr>
          <w:rFonts w:ascii="Times New Roman" w:cs="Times New Roman" w:eastAsia="Times New Roman" w:hAnsi="Times New Roman"/>
          <w:sz w:val="20"/>
          <w:szCs w:val="20"/>
          <w:b w:val="1"/>
          <w:bCs w:val="1"/>
          <w:i w:val="1"/>
          <w:iCs w:val="1"/>
          <w:color w:val="000000"/>
        </w:rPr>
        <w:t>Registration Statements</w:t>
      </w:r>
      <w:r>
        <w:rPr>
          <w:rFonts w:ascii="Times New Roman" w:cs="Times New Roman" w:eastAsia="Times New Roman" w:hAnsi="Times New Roman"/>
          <w:sz w:val="20"/>
          <w:szCs w:val="20"/>
          <w:color w:val="000000"/>
        </w:rPr>
        <w:t>”). Pursuant to General Instruction E to Form S-8, this Registration Statement hereby incorporates by reference the contents of the Registration Statements referenced above except as set forth below.</w:t>
      </w:r>
    </w:p>
    <w:p>
      <w:pPr>
        <w:spacing w:after="0" w:line="20" w:lineRule="exact"/>
        <w:rPr>
          <w:rFonts w:ascii="Times New Roman" w:cs="Times New Roman" w:eastAsia="Times New Roman" w:hAnsi="Times New Roman"/>
          <w:sz w:val="20"/>
          <w:szCs w:val="20"/>
          <w:color w:val="000000"/>
        </w:rPr>
      </w:pPr>
      <w:r>
        <w:rPr>
          <w:rFonts w:ascii="Times New Roman" w:cs="Times New Roman" w:eastAsia="Times New Roman" w:hAnsi="Times New Roman"/>
          <w:sz w:val="20"/>
          <w:szCs w:val="20"/>
          <w:color w:val="000000"/>
        </w:rPr>
        <w:drawing>
          <wp:anchor simplePos="0" relativeHeight="251657728" behindDoc="1" locked="0" layoutInCell="0" allowOverlap="1">
            <wp:simplePos x="0" y="0"/>
            <wp:positionH relativeFrom="column">
              <wp:posOffset>132715</wp:posOffset>
            </wp:positionH>
            <wp:positionV relativeFrom="paragraph">
              <wp:posOffset>474980</wp:posOffset>
            </wp:positionV>
            <wp:extent cx="54540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08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THE SECTION 10(a) PROSPECTUS</w:t>
      </w:r>
    </w:p>
    <w:p>
      <w:pPr>
        <w:spacing w:after="0" w:line="228" w:lineRule="exact"/>
        <w:rPr>
          <w:sz w:val="20"/>
          <w:szCs w:val="20"/>
          <w:color w:val="auto"/>
        </w:rPr>
      </w:pPr>
    </w:p>
    <w:p>
      <w:pPr>
        <w:ind w:left="200" w:right="279" w:firstLine="321"/>
        <w:spacing w:after="0" w:line="299" w:lineRule="auto"/>
        <w:rPr>
          <w:sz w:val="20"/>
          <w:szCs w:val="20"/>
          <w:color w:val="auto"/>
        </w:rPr>
      </w:pPr>
      <w:r>
        <w:rPr>
          <w:rFonts w:ascii="Times New Roman" w:cs="Times New Roman" w:eastAsia="Times New Roman" w:hAnsi="Times New Roman"/>
          <w:sz w:val="20"/>
          <w:szCs w:val="20"/>
          <w:color w:val="auto"/>
        </w:rPr>
        <w:t>The information specified in Item 1 and Item 2 of Part I of Form S-8 is omitted from this filing in accordance with the provisions of Rule 428 under the Securities Act of 1933, as amended (the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introductory note to Part I of the Form S-8 instructions. The documents containing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specified in Part I of Form S-8 will be sent or given to participants as specified by Rule 428(b)(1) of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INFORMATION REQUIRED IN REGISTRATION STATEMENT</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3. INCORPORATION OF DOCUMENTS BY REFERENCE</w:t>
      </w:r>
    </w:p>
    <w:p>
      <w:pPr>
        <w:spacing w:after="0" w:line="215" w:lineRule="exact"/>
        <w:rPr>
          <w:sz w:val="20"/>
          <w:szCs w:val="20"/>
          <w:color w:val="auto"/>
        </w:rPr>
      </w:pPr>
    </w:p>
    <w:p>
      <w:pPr>
        <w:ind w:left="200" w:right="259" w:firstLine="321"/>
        <w:spacing w:after="0" w:line="318" w:lineRule="auto"/>
        <w:rPr>
          <w:sz w:val="20"/>
          <w:szCs w:val="20"/>
          <w:color w:val="auto"/>
        </w:rPr>
      </w:pPr>
      <w:r>
        <w:rPr>
          <w:rFonts w:ascii="Times New Roman" w:cs="Times New Roman" w:eastAsia="Times New Roman" w:hAnsi="Times New Roman"/>
          <w:sz w:val="20"/>
          <w:szCs w:val="20"/>
          <w:color w:val="auto"/>
        </w:rPr>
        <w:t>The following documents filed by the Registrant with the Commission are incorporated by reference into this Registration Statement:</w:t>
      </w:r>
    </w:p>
    <w:p>
      <w:pPr>
        <w:spacing w:after="0" w:line="112" w:lineRule="exact"/>
        <w:rPr>
          <w:sz w:val="20"/>
          <w:szCs w:val="20"/>
          <w:color w:val="auto"/>
        </w:rPr>
      </w:pPr>
    </w:p>
    <w:p>
      <w:pPr>
        <w:ind w:left="840" w:right="239" w:hanging="312"/>
        <w:spacing w:after="0" w:line="318" w:lineRule="auto"/>
        <w:tabs>
          <w:tab w:leader="none" w:pos="8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Annual Report on </w:t>
      </w:r>
      <w:hyperlink r:id="rId26">
        <w:r>
          <w:rPr>
            <w:rFonts w:ascii="Times New Roman" w:cs="Times New Roman" w:eastAsia="Times New Roman" w:hAnsi="Times New Roman"/>
            <w:sz w:val="20"/>
            <w:szCs w:val="20"/>
            <w:u w:val="single" w:color="auto"/>
            <w:color w:val="0000EE"/>
          </w:rPr>
          <w:t>Form 10-K</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for the fiscal year ended January 2, 2026, filed with the Commission on February 27, 2026 (File No. 001-33076).</w:t>
      </w:r>
    </w:p>
    <w:p>
      <w:pPr>
        <w:spacing w:after="0" w:line="232" w:lineRule="exact"/>
        <w:rPr>
          <w:rFonts w:ascii="Times New Roman" w:cs="Times New Roman" w:eastAsia="Times New Roman" w:hAnsi="Times New Roman"/>
          <w:sz w:val="20"/>
          <w:szCs w:val="20"/>
          <w:color w:val="auto"/>
        </w:rPr>
      </w:pPr>
    </w:p>
    <w:p>
      <w:pPr>
        <w:jc w:val="both"/>
        <w:ind w:left="840" w:right="239" w:hanging="312"/>
        <w:spacing w:after="0" w:line="296" w:lineRule="auto"/>
        <w:tabs>
          <w:tab w:leader="none" w:pos="8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Definitive Proxy Statement on </w:t>
      </w:r>
      <w:hyperlink r:id="rId27">
        <w:r>
          <w:rPr>
            <w:rFonts w:ascii="Times New Roman" w:cs="Times New Roman" w:eastAsia="Times New Roman" w:hAnsi="Times New Roman"/>
            <w:sz w:val="20"/>
            <w:szCs w:val="20"/>
            <w:u w:val="single" w:color="auto"/>
            <w:color w:val="0000EE"/>
          </w:rPr>
          <w:t>Schedule 14A</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with respect to the 2026 Annual Meeting of Stockholders held on June 17, 2026, filed with the Commission on April 24, 2026 (File No. 001-33076), but only to the extent incorporated into the Registrant’s Annual Report on Form 10-K for the fiscal year ended January 2, 2026.</w:t>
      </w:r>
    </w:p>
    <w:p>
      <w:pPr>
        <w:spacing w:after="0" w:line="254" w:lineRule="exact"/>
        <w:rPr>
          <w:rFonts w:ascii="Times New Roman" w:cs="Times New Roman" w:eastAsia="Times New Roman" w:hAnsi="Times New Roman"/>
          <w:sz w:val="20"/>
          <w:szCs w:val="20"/>
          <w:color w:val="auto"/>
        </w:rPr>
      </w:pPr>
    </w:p>
    <w:p>
      <w:pPr>
        <w:ind w:left="840" w:right="219" w:hanging="312"/>
        <w:spacing w:after="0" w:line="318" w:lineRule="auto"/>
        <w:tabs>
          <w:tab w:leader="none" w:pos="8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Quarterly Report on </w:t>
      </w:r>
      <w:hyperlink r:id="rId28">
        <w:r>
          <w:rPr>
            <w:rFonts w:ascii="Times New Roman" w:cs="Times New Roman" w:eastAsia="Times New Roman" w:hAnsi="Times New Roman"/>
            <w:sz w:val="20"/>
            <w:szCs w:val="20"/>
            <w:u w:val="single" w:color="auto"/>
            <w:color w:val="0000EE"/>
          </w:rPr>
          <w:t>Form 10-Q</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for its fiscal quarter ended April 3, 2026, filed with the Commission on May 8, 2026 (File No. 001-33076).</w:t>
      </w:r>
    </w:p>
    <w:p>
      <w:pPr>
        <w:spacing w:after="0" w:line="232" w:lineRule="exact"/>
        <w:rPr>
          <w:rFonts w:ascii="Times New Roman" w:cs="Times New Roman" w:eastAsia="Times New Roman" w:hAnsi="Times New Roman"/>
          <w:sz w:val="20"/>
          <w:szCs w:val="20"/>
          <w:color w:val="auto"/>
        </w:rPr>
      </w:pPr>
    </w:p>
    <w:p>
      <w:pPr>
        <w:ind w:left="840" w:right="239" w:hanging="312"/>
        <w:spacing w:after="0" w:line="318" w:lineRule="auto"/>
        <w:tabs>
          <w:tab w:leader="none" w:pos="8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Current Report on </w:t>
      </w:r>
      <w:hyperlink r:id="rId29">
        <w:r>
          <w:rPr>
            <w:rFonts w:ascii="Times New Roman" w:cs="Times New Roman" w:eastAsia="Times New Roman" w:hAnsi="Times New Roman"/>
            <w:sz w:val="20"/>
            <w:szCs w:val="20"/>
            <w:u w:val="single" w:color="auto"/>
            <w:color w:val="0000EE"/>
          </w:rPr>
          <w:t>Form 8-K</w:t>
        </w:r>
      </w:hyperlink>
      <w:r>
        <w:rPr>
          <w:rFonts w:ascii="Times New Roman" w:cs="Times New Roman" w:eastAsia="Times New Roman" w:hAnsi="Times New Roman"/>
          <w:sz w:val="20"/>
          <w:szCs w:val="20"/>
          <w:color w:val="auto"/>
        </w:rPr>
        <w:t>, filed with the Commission on June 18, 2026 (File No. 001-33076).</w:t>
      </w:r>
    </w:p>
    <w:p>
      <w:pPr>
        <w:spacing w:after="0" w:line="232" w:lineRule="exact"/>
        <w:rPr>
          <w:rFonts w:ascii="Times New Roman" w:cs="Times New Roman" w:eastAsia="Times New Roman" w:hAnsi="Times New Roman"/>
          <w:sz w:val="20"/>
          <w:szCs w:val="20"/>
          <w:color w:val="auto"/>
        </w:rPr>
      </w:pPr>
    </w:p>
    <w:p>
      <w:pPr>
        <w:jc w:val="both"/>
        <w:ind w:left="840" w:right="219" w:hanging="312"/>
        <w:spacing w:after="0" w:line="299" w:lineRule="auto"/>
        <w:tabs>
          <w:tab w:leader="none" w:pos="8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description of the Registrant’s Common Stock that is contained in the Registrant’s Registration Statement on Form 8-A, filed on October 11, 2006 (File No. 001-33076) under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xml:space="preserve">”), as updated by </w:t>
      </w:r>
      <w:hyperlink r:id="rId30">
        <w:r>
          <w:rPr>
            <w:rFonts w:ascii="Times New Roman" w:cs="Times New Roman" w:eastAsia="Times New Roman" w:hAnsi="Times New Roman"/>
            <w:sz w:val="20"/>
            <w:szCs w:val="20"/>
            <w:u w:val="single" w:color="auto"/>
            <w:color w:val="0000EE"/>
          </w:rPr>
          <w:t>Exhibit 4.2</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to the Registrant’s Annual Report on Form 10-K for the fiscal year ended January 2, 2026, as amended, including any amendment or report filed for the purpose of updating such description.</w:t>
      </w:r>
    </w:p>
    <w:p>
      <w:pPr>
        <w:spacing w:after="0" w:line="250" w:lineRule="exact"/>
        <w:rPr>
          <w:rFonts w:ascii="Times New Roman" w:cs="Times New Roman" w:eastAsia="Times New Roman" w:hAnsi="Times New Roman"/>
          <w:sz w:val="20"/>
          <w:szCs w:val="20"/>
          <w:color w:val="auto"/>
        </w:rPr>
      </w:pPr>
    </w:p>
    <w:p>
      <w:pPr>
        <w:jc w:val="both"/>
        <w:ind w:left="840" w:right="219" w:hanging="312"/>
        <w:spacing w:after="0" w:line="297" w:lineRule="auto"/>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132715</wp:posOffset>
            </wp:positionH>
            <wp:positionV relativeFrom="paragraph">
              <wp:posOffset>473710</wp:posOffset>
            </wp:positionV>
            <wp:extent cx="54540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061" w:right="1440" w:bottom="1440" w:gutter="0" w:footer="0" w:header="0"/>
        </w:sectPr>
      </w:pPr>
    </w:p>
    <w:bookmarkStart w:id="3" w:name="page4"/>
    <w:bookmarkEnd w:id="3"/>
    <w:p>
      <w:pPr>
        <w:jc w:val="both"/>
        <w:ind w:left="840" w:right="219"/>
        <w:spacing w:after="0" w:line="297" w:lineRule="auto"/>
        <w:rPr>
          <w:sz w:val="20"/>
          <w:szCs w:val="20"/>
          <w:color w:val="auto"/>
        </w:rPr>
      </w:pPr>
      <w:r>
        <w:rPr>
          <w:rFonts w:ascii="Times New Roman" w:cs="Times New Roman" w:eastAsia="Times New Roman" w:hAnsi="Times New Roman"/>
          <w:sz w:val="20"/>
          <w:szCs w:val="20"/>
          <w:color w:val="auto"/>
        </w:rPr>
        <w:t>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5. INTERESTS OF NAMED EXPERTS AND COUNSEL</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648970</wp:posOffset>
            </wp:positionV>
            <wp:extent cx="54540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13"/>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4"/>
                <w:szCs w:val="14"/>
                <w:color w:val="auto"/>
              </w:rPr>
            </w:pPr>
          </w:p>
        </w:tc>
        <w:tc>
          <w:tcPr>
            <w:tcW w:w="3520" w:type="dxa"/>
            <w:vAlign w:val="bottom"/>
            <w:tcBorders>
              <w:top w:val="single" w:sz="8" w:color="auto"/>
            </w:tcBorders>
            <w:gridSpan w:val="16"/>
          </w:tcPr>
          <w:p>
            <w:pPr>
              <w:spacing w:after="0" w:line="167"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First Amended and Restated Certificate of</w:t>
              </w:r>
            </w:hyperlink>
          </w:p>
        </w:tc>
        <w:tc>
          <w:tcPr>
            <w:tcW w:w="0" w:type="dxa"/>
            <w:vAlign w:val="bottom"/>
          </w:tcPr>
          <w:p>
            <w:pPr>
              <w:spacing w:after="0"/>
              <w:rPr>
                <w:sz w:val="1"/>
                <w:szCs w:val="1"/>
                <w:color w:val="auto"/>
              </w:rPr>
            </w:pPr>
          </w:p>
        </w:tc>
      </w:tr>
      <w:tr>
        <w:trPr>
          <w:trHeight w:val="128"/>
        </w:trPr>
        <w:tc>
          <w:tcPr>
            <w:tcW w:w="740" w:type="dxa"/>
            <w:vAlign w:val="bottom"/>
            <w:tcBorders>
              <w:top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020" w:type="dxa"/>
            <w:vAlign w:val="bottom"/>
            <w:tcBorders>
              <w:top w:val="single" w:sz="8" w:color="0000EE"/>
            </w:tcBorders>
            <w:gridSpan w:val="11"/>
            <w:vMerge w:val="restart"/>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Incorporation of Willdan Group, Inc.</w:t>
              </w:r>
            </w:hyperlink>
          </w:p>
        </w:tc>
        <w:tc>
          <w:tcPr>
            <w:tcW w:w="50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20" w:type="dxa"/>
            <w:vAlign w:val="bottom"/>
            <w:gridSpan w:val="11"/>
            <w:vMerge w:val="continue"/>
          </w:tcPr>
          <w:p>
            <w:pPr>
              <w:spacing w:after="0"/>
              <w:rPr>
                <w:sz w:val="5"/>
                <w:szCs w:val="5"/>
                <w:color w:val="auto"/>
              </w:rPr>
            </w:pPr>
          </w:p>
        </w:tc>
        <w:tc>
          <w:tcPr>
            <w:tcW w:w="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6"/>
                <w:szCs w:val="16"/>
                <w:color w:val="auto"/>
              </w:rPr>
            </w:pPr>
          </w:p>
        </w:tc>
        <w:tc>
          <w:tcPr>
            <w:tcW w:w="3520" w:type="dxa"/>
            <w:vAlign w:val="bottom"/>
            <w:gridSpan w:val="16"/>
          </w:tcPr>
          <w:p>
            <w:pPr>
              <w:spacing w:after="0" w:line="194"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Second Amended and Restated Bylaws of</w:t>
              </w:r>
            </w:hyperlink>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Borders>
              <w:top w:val="single" w:sz="8" w:color="0000EE"/>
            </w:tcBorders>
            <w:gridSpan w:val="4"/>
            <w:vMerge w:val="restart"/>
          </w:tcPr>
          <w:p>
            <w:pPr>
              <w:spacing w:after="0" w:line="194" w:lineRule="exact"/>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Willdan Group, Inc.</w:t>
              </w:r>
            </w:hyperlink>
          </w:p>
        </w:tc>
        <w:tc>
          <w:tcPr>
            <w:tcW w:w="1560" w:type="dxa"/>
            <w:vAlign w:val="bottom"/>
            <w:tcBorders>
              <w:top w:val="single" w:sz="8" w:color="0000EE"/>
            </w:tcBorders>
            <w:gridSpan w:val="6"/>
            <w:vMerge w:val="restart"/>
          </w:tcPr>
          <w:p>
            <w:pPr>
              <w:spacing w:after="0"/>
              <w:rPr>
                <w:sz w:val="11"/>
                <w:szCs w:val="11"/>
                <w:color w:val="auto"/>
              </w:rPr>
            </w:pPr>
          </w:p>
        </w:tc>
        <w:tc>
          <w:tcPr>
            <w:tcW w:w="52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bottom w:val="single" w:sz="8" w:color="0000EE"/>
            </w:tcBorders>
            <w:gridSpan w:val="4"/>
            <w:vMerge w:val="continue"/>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5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6"/>
                <w:szCs w:val="16"/>
                <w:color w:val="auto"/>
              </w:rPr>
            </w:pPr>
          </w:p>
        </w:tc>
        <w:tc>
          <w:tcPr>
            <w:tcW w:w="3520" w:type="dxa"/>
            <w:vAlign w:val="bottom"/>
            <w:gridSpan w:val="16"/>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Description of Willdan Group, Inc.’s Capital</w:t>
              </w:r>
            </w:hyperlink>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0000EE"/>
            </w:tcBorders>
            <w:gridSpan w:val="2"/>
            <w:vMerge w:val="restart"/>
          </w:tcPr>
          <w:p>
            <w:pPr>
              <w:spacing w:after="0" w:line="194" w:lineRule="exact"/>
              <w:rPr>
                <w:rFonts w:ascii="Times New Roman" w:cs="Times New Roman" w:eastAsia="Times New Roman" w:hAnsi="Times New Roman"/>
                <w:sz w:val="18"/>
                <w:szCs w:val="18"/>
                <w:color w:val="0000EE"/>
                <w:w w:val="96"/>
              </w:rPr>
            </w:pPr>
            <w:hyperlink r:id="rId35">
              <w:r>
                <w:rPr>
                  <w:rFonts w:ascii="Times New Roman" w:cs="Times New Roman" w:eastAsia="Times New Roman" w:hAnsi="Times New Roman"/>
                  <w:sz w:val="18"/>
                  <w:szCs w:val="18"/>
                  <w:color w:val="0000EE"/>
                  <w:w w:val="96"/>
                </w:rPr>
                <w:t>Stock.</w:t>
              </w:r>
            </w:hyperlink>
          </w:p>
        </w:tc>
        <w:tc>
          <w:tcPr>
            <w:tcW w:w="720" w:type="dxa"/>
            <w:vAlign w:val="bottom"/>
            <w:tcBorders>
              <w:top w:val="single" w:sz="8" w:color="0000EE"/>
            </w:tcBorders>
            <w:vMerge w:val="restart"/>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0000EE"/>
            </w:tcBorders>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6"/>
                <w:szCs w:val="16"/>
                <w:color w:val="auto"/>
              </w:rPr>
            </w:pPr>
          </w:p>
        </w:tc>
        <w:tc>
          <w:tcPr>
            <w:tcW w:w="174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Cooley LLP.</w:t>
            </w:r>
          </w:p>
        </w:tc>
        <w:tc>
          <w:tcPr>
            <w:tcW w:w="17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6"/>
                <w:szCs w:val="16"/>
                <w:color w:val="auto"/>
              </w:rPr>
            </w:pPr>
          </w:p>
        </w:tc>
        <w:tc>
          <w:tcPr>
            <w:tcW w:w="318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Cooley LLP (included in Exhibit</w:t>
            </w:r>
          </w:p>
        </w:tc>
        <w:tc>
          <w:tcPr>
            <w:tcW w:w="3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vMerge w:val="restart"/>
          </w:tcPr>
          <w:p>
            <w:pPr>
              <w:spacing w:after="0"/>
              <w:rPr>
                <w:sz w:val="11"/>
                <w:szCs w:val="11"/>
                <w:color w:val="auto"/>
              </w:rPr>
            </w:pPr>
          </w:p>
        </w:tc>
        <w:tc>
          <w:tcPr>
            <w:tcW w:w="3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color w:val="0000EE"/>
                <w:w w:val="96"/>
              </w:rPr>
              <w:t>5.</w:t>
            </w:r>
            <w:r>
              <w:rPr>
                <w:rFonts w:ascii="Times New Roman" w:cs="Times New Roman" w:eastAsia="Times New Roman" w:hAnsi="Times New Roman"/>
                <w:sz w:val="18"/>
                <w:szCs w:val="18"/>
                <w:u w:val="single" w:color="auto"/>
                <w:color w:val="0000EE"/>
                <w:w w:val="96"/>
              </w:rPr>
              <w:t>1)</w:t>
            </w:r>
            <w:r>
              <w:rPr>
                <w:rFonts w:ascii="Times New Roman" w:cs="Times New Roman" w:eastAsia="Times New Roman" w:hAnsi="Times New Roman"/>
                <w:sz w:val="18"/>
                <w:szCs w:val="18"/>
                <w:color w:val="0000EE"/>
                <w:w w:val="96"/>
              </w:rPr>
              <w: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tcBorders>
              <w:bottom w:val="single" w:sz="8" w:color="0000EE"/>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6"/>
                <w:szCs w:val="16"/>
                <w:color w:val="auto"/>
              </w:rPr>
            </w:pPr>
          </w:p>
        </w:tc>
        <w:tc>
          <w:tcPr>
            <w:tcW w:w="336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Consent of Crowe LLP, independent registered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18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Borders>
              <w:bottom w:val="single" w:sz="8" w:color="0000EE"/>
            </w:tcBorders>
            <w:gridSpan w:val="6"/>
            <w:vMerge w:val="continue"/>
          </w:tcPr>
          <w:p>
            <w:pPr>
              <w:spacing w:after="0"/>
              <w:rPr>
                <w:sz w:val="5"/>
                <w:szCs w:val="5"/>
                <w:color w:val="auto"/>
              </w:rPr>
            </w:pPr>
          </w:p>
        </w:tc>
        <w:tc>
          <w:tcPr>
            <w:tcW w:w="18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6"/>
                <w:szCs w:val="16"/>
                <w:color w:val="auto"/>
              </w:rPr>
            </w:pPr>
          </w:p>
        </w:tc>
        <w:tc>
          <w:tcPr>
            <w:tcW w:w="324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Power of Attorney (included on the signature</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6"/>
            <w:vMerge w:val="restart"/>
          </w:tcPr>
          <w:p>
            <w:pPr>
              <w:spacing w:after="0" w:line="194" w:lineRule="exact"/>
              <w:rPr>
                <w:sz w:val="20"/>
                <w:szCs w:val="20"/>
                <w:color w:val="auto"/>
              </w:rPr>
            </w:pPr>
            <w:r>
              <w:rPr>
                <w:rFonts w:ascii="Times New Roman" w:cs="Times New Roman" w:eastAsia="Times New Roman" w:hAnsi="Times New Roman"/>
                <w:sz w:val="18"/>
                <w:szCs w:val="18"/>
                <w:color w:val="0000EE"/>
              </w:rPr>
              <w:t>page of this Form S-8).</w:t>
            </w:r>
          </w:p>
        </w:tc>
        <w:tc>
          <w:tcPr>
            <w:tcW w:w="0" w:type="dxa"/>
            <w:vAlign w:val="bottom"/>
          </w:tcPr>
          <w:p>
            <w:pPr>
              <w:spacing w:after="0"/>
              <w:rPr>
                <w:sz w:val="1"/>
                <w:szCs w:val="1"/>
                <w:color w:val="auto"/>
              </w:rPr>
            </w:pPr>
          </w:p>
        </w:tc>
      </w:tr>
      <w:tr>
        <w:trPr>
          <w:trHeight w:val="66"/>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6"/>
                <w:szCs w:val="16"/>
                <w:color w:val="auto"/>
              </w:rPr>
            </w:pPr>
          </w:p>
        </w:tc>
        <w:tc>
          <w:tcPr>
            <w:tcW w:w="31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Willdan Group, Inc. Amended and Restated</w:t>
              </w:r>
            </w:hyperlink>
          </w:p>
        </w:tc>
        <w:tc>
          <w:tcPr>
            <w:tcW w:w="3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6"/>
            <w:vMerge w:val="restart"/>
          </w:tcPr>
          <w:p>
            <w:pPr>
              <w:spacing w:after="0" w:line="194"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2008 Performance Incentive Plan</w:t>
              </w:r>
            </w:hyperlink>
          </w:p>
        </w:tc>
        <w:tc>
          <w:tcPr>
            <w:tcW w:w="0" w:type="dxa"/>
            <w:vAlign w:val="bottom"/>
          </w:tcPr>
          <w:p>
            <w:pPr>
              <w:spacing w:after="0"/>
              <w:rPr>
                <w:sz w:val="1"/>
                <w:szCs w:val="1"/>
                <w:color w:val="auto"/>
              </w:rPr>
            </w:pPr>
          </w:p>
        </w:tc>
      </w:tr>
      <w:tr>
        <w:trPr>
          <w:trHeight w:val="66"/>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2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39" w:lineRule="exact"/>
        <w:rPr>
          <w:sz w:val="20"/>
          <w:szCs w:val="20"/>
          <w:color w:val="auto"/>
        </w:rPr>
      </w:pPr>
    </w:p>
    <w:p>
      <w:pPr>
        <w:ind w:left="520" w:hanging="312"/>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615950</wp:posOffset>
            </wp:positionV>
            <wp:extent cx="54540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11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File Number</w:t>
            </w:r>
          </w:p>
        </w:tc>
        <w:tc>
          <w:tcPr>
            <w:tcW w:w="82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Exhibit</w:t>
            </w:r>
            <w:r>
              <w:rPr>
                <w:rFonts w:ascii="Times New Roman" w:cs="Times New Roman" w:eastAsia="Times New Roman" w:hAnsi="Times New Roman"/>
                <w:sz w:val="14"/>
                <w:szCs w:val="14"/>
                <w:color w:val="auto"/>
              </w:rPr>
              <w:t xml:space="preserve">  ​</w:t>
            </w:r>
          </w:p>
        </w:tc>
        <w:tc>
          <w:tcPr>
            <w:tcW w:w="1500" w:type="dxa"/>
            <w:vAlign w:val="bottom"/>
            <w:tcBorders>
              <w:top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333-136444</w:t>
            </w:r>
          </w:p>
        </w:tc>
        <w:tc>
          <w:tcPr>
            <w:tcW w:w="80" w:type="dxa"/>
            <w:vAlign w:val="bottom"/>
          </w:tcPr>
          <w:p>
            <w:pPr>
              <w:spacing w:after="0"/>
              <w:rPr>
                <w:sz w:val="24"/>
                <w:szCs w:val="24"/>
                <w:color w:val="auto"/>
              </w:rPr>
            </w:pPr>
          </w:p>
        </w:tc>
        <w:tc>
          <w:tcPr>
            <w:tcW w:w="5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w w:val="97"/>
              </w:rPr>
              <w:t>August 9, 2006</w:t>
            </w:r>
          </w:p>
        </w:tc>
        <w:tc>
          <w:tcPr>
            <w:tcW w:w="0" w:type="dxa"/>
            <w:vAlign w:val="bottom"/>
          </w:tcPr>
          <w:p>
            <w:pPr>
              <w:spacing w:after="0"/>
              <w:rPr>
                <w:sz w:val="1"/>
                <w:szCs w:val="1"/>
                <w:color w:val="auto"/>
              </w:rPr>
            </w:pPr>
          </w:p>
        </w:tc>
      </w:tr>
      <w:tr>
        <w:trPr>
          <w:trHeight w:val="42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001-33076</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8"/>
              </w:rPr>
              <w:t>July 12, 2023</w:t>
            </w:r>
          </w:p>
        </w:tc>
        <w:tc>
          <w:tcPr>
            <w:tcW w:w="0" w:type="dxa"/>
            <w:vAlign w:val="bottom"/>
          </w:tcPr>
          <w:p>
            <w:pPr>
              <w:spacing w:after="0"/>
              <w:rPr>
                <w:sz w:val="1"/>
                <w:szCs w:val="1"/>
                <w:color w:val="auto"/>
              </w:rPr>
            </w:pPr>
          </w:p>
        </w:tc>
      </w:tr>
      <w:tr>
        <w:trPr>
          <w:trHeight w:val="427"/>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001-33076</w:t>
            </w:r>
          </w:p>
        </w:tc>
        <w:tc>
          <w:tcPr>
            <w:tcW w:w="6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tabs>
          <w:tab w:leader="none" w:pos="920" w:val="left"/>
          <w:tab w:leader="none" w:pos="2060" w:val="left"/>
          <w:tab w:leader="none" w:pos="2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001-33076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June 18, 2026</w:t>
      </w:r>
    </w:p>
    <w:p>
      <w:pPr>
        <w:sectPr>
          <w:pgSz w:w="11900" w:h="16838" w:orient="portrait"/>
          <w:cols w:equalWidth="0" w:num="2">
            <w:col w:w="4520" w:space="80"/>
            <w:col w:w="4419"/>
          </w:cols>
          <w:pgMar w:left="1440" w:top="109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5" w:lineRule="exact"/>
        <w:rPr>
          <w:sz w:val="20"/>
          <w:szCs w:val="20"/>
          <w:color w:val="auto"/>
        </w:rPr>
      </w:pPr>
    </w:p>
    <w:p>
      <w:pPr>
        <w:jc w:val="both"/>
        <w:ind w:left="200" w:right="219" w:firstLine="321"/>
        <w:spacing w:after="0" w:line="301" w:lineRule="auto"/>
        <w:rPr>
          <w:sz w:val="20"/>
          <w:szCs w:val="20"/>
          <w:color w:val="auto"/>
        </w:rPr>
      </w:pPr>
      <w:r>
        <w:rPr>
          <w:rFonts w:ascii="Times New Roman" w:cs="Times New Roman" w:eastAsia="Times New Roman" w:hAnsi="Times New Roman"/>
          <w:sz w:val="20"/>
          <w:szCs w:val="20"/>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Anaheim, State of California, on June 26, 2026.</w:t>
      </w:r>
    </w:p>
    <w:p>
      <w:pPr>
        <w:spacing w:after="0" w:line="1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WILLDAN GROUP, INC.</w:t>
      </w:r>
    </w:p>
    <w:p>
      <w:pPr>
        <w:spacing w:after="0" w:line="2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31115</wp:posOffset>
            </wp:positionV>
            <wp:extent cx="2510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4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Creighton K. Early</w:t>
      </w:r>
    </w:p>
    <w:p>
      <w:pPr>
        <w:spacing w:after="0" w:line="5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Chief Financial Officer and Executive Vice</w:t>
      </w:r>
    </w:p>
    <w:p>
      <w:pPr>
        <w:spacing w:after="0" w:line="5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1649730</wp:posOffset>
            </wp:positionV>
            <wp:extent cx="54540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ectPr>
          <w:pgSz w:w="11900" w:h="16838" w:orient="portrait"/>
          <w:cols w:equalWidth="0" w:num="1">
            <w:col w:w="9019"/>
          </w:cols>
          <w:pgMar w:left="1440" w:top="108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1" w:lineRule="exact"/>
        <w:rPr>
          <w:sz w:val="20"/>
          <w:szCs w:val="20"/>
          <w:color w:val="auto"/>
        </w:rPr>
      </w:pPr>
    </w:p>
    <w:p>
      <w:pPr>
        <w:jc w:val="both"/>
        <w:ind w:left="200" w:right="219" w:firstLine="321"/>
        <w:spacing w:after="0" w:line="331"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and appoints Michael A. Bieber and Creighton K. Early,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15" w:lineRule="exact"/>
        <w:rPr>
          <w:sz w:val="20"/>
          <w:szCs w:val="20"/>
          <w:color w:val="auto"/>
        </w:rPr>
      </w:pPr>
    </w:p>
    <w:p>
      <w:pPr>
        <w:jc w:val="both"/>
        <w:ind w:left="200" w:right="239" w:firstLine="321"/>
        <w:spacing w:after="0" w:line="304" w:lineRule="auto"/>
        <w:rPr>
          <w:sz w:val="20"/>
          <w:szCs w:val="20"/>
          <w:color w:val="auto"/>
        </w:rPr>
      </w:pPr>
      <w:r>
        <w:rPr>
          <w:rFonts w:ascii="Times New Roman" w:cs="Times New Roman" w:eastAsia="Times New Roman" w:hAnsi="Times New Roman"/>
          <w:sz w:val="20"/>
          <w:szCs w:val="20"/>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9019"/>
          </w:cols>
          <w:pgMar w:left="1440" w:top="1088" w:right="1440" w:bottom="1440" w:gutter="0" w:footer="0" w:header="0"/>
        </w:sectPr>
      </w:pPr>
    </w:p>
    <w:p>
      <w:pPr>
        <w:spacing w:after="0" w:line="13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23495</wp:posOffset>
            </wp:positionV>
            <wp:extent cx="2120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Michael A. Bieber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77470</wp:posOffset>
            </wp:positionV>
            <wp:extent cx="2120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20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Michael A. Bieber</w:t>
      </w:r>
    </w:p>
    <w:p>
      <w:pPr>
        <w:spacing w:after="0" w:line="24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Creighton K.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20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Creighton K. Early</w:t>
      </w:r>
    </w:p>
    <w:p>
      <w:pPr>
        <w:spacing w:after="0" w:line="27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Thomas D. Brisbin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5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Thomas D. Brisbin</w:t>
      </w:r>
    </w:p>
    <w:p>
      <w:pPr>
        <w:spacing w:after="0" w:line="20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Steven A.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5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Steven A. Cohen</w:t>
      </w:r>
    </w:p>
    <w:p>
      <w:pPr>
        <w:spacing w:after="0" w:line="20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Cynthia A. Downes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5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Cynthia A. Downes</w:t>
      </w:r>
    </w:p>
    <w:p>
      <w:pPr>
        <w:spacing w:after="0" w:line="20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Dennis V. McGinn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5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Dennis V. McGinn</w:t>
      </w:r>
    </w:p>
    <w:p>
      <w:pPr>
        <w:spacing w:after="0" w:line="20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i w:val="1"/>
          <w:iCs w:val="1"/>
          <w:color w:val="auto"/>
        </w:rPr>
        <w:t>/s/ Wanda K. Reder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60325</wp:posOffset>
            </wp:positionV>
            <wp:extent cx="21209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5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Wanda K. Reder</w:t>
      </w:r>
    </w:p>
    <w:p>
      <w:pPr>
        <w:spacing w:after="0" w:line="20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i w:val="1"/>
          <w:iCs w:val="1"/>
          <w:color w:val="auto"/>
        </w:rPr>
        <w:t>/s/ Mohammad Shahidehpour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74930</wp:posOffset>
            </wp:positionV>
            <wp:extent cx="2120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2120900" cy="8255"/>
                    </a:xfrm>
                    <a:prstGeom prst="rect">
                      <a:avLst/>
                    </a:prstGeom>
                    <a:noFill/>
                  </pic:spPr>
                </pic:pic>
              </a:graphicData>
            </a:graphic>
          </wp:anchor>
        </w:drawing>
      </w:r>
    </w:p>
    <w:p>
      <w:pPr>
        <w:spacing w:after="0" w:line="17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color w:val="auto"/>
        </w:rPr>
        <w:t>Mohammad Shahidehpour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President,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-139700</wp:posOffset>
            </wp:positionV>
            <wp:extent cx="2349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Director</w:t>
      </w: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and Executive Vice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President</w:t>
      </w: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Accounting Officer)</w:t>
      </w:r>
    </w:p>
    <w:p>
      <w:pPr>
        <w:spacing w:after="0" w:line="3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835660</wp:posOffset>
            </wp:positionV>
            <wp:extent cx="54540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1102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ectPr>
          <w:pgSz w:w="11900" w:h="16838" w:orient="portrait"/>
          <w:cols w:equalWidth="0" w:num="3">
            <w:col w:w="3040" w:space="720"/>
            <w:col w:w="3380" w:space="540"/>
            <w:col w:w="1339"/>
          </w:cols>
          <w:pgMar w:left="1440" w:top="1088" w:right="1440" w:bottom="1440" w:gutter="0" w:footer="0" w:header="0"/>
          <w:type w:val="continuous"/>
        </w:sectPr>
      </w:pPr>
    </w:p>
    <w:bookmarkStart w:id="7" w:name="page8"/>
    <w:bookmarkEnd w:id="7"/>
    <w:p>
      <w:pPr>
        <w:jc w:val="right"/>
        <w:ind w:right="219"/>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151130</wp:posOffset>
            </wp:positionV>
            <wp:extent cx="1153795" cy="373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115379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Logan Tiari</w:t>
      </w:r>
    </w:p>
    <w:p>
      <w:pPr>
        <w:spacing w:after="0" w:line="23" w:lineRule="exact"/>
        <w:rPr>
          <w:sz w:val="20"/>
          <w:szCs w:val="20"/>
          <w:color w:val="auto"/>
        </w:rPr>
      </w:pPr>
    </w:p>
    <w:p>
      <w:pPr>
        <w:ind w:left="200" w:right="7279" w:firstLine="8"/>
        <w:spacing w:after="0" w:line="289" w:lineRule="auto"/>
        <w:tabs>
          <w:tab w:leader="none" w:pos="388" w:val="left"/>
        </w:tabs>
        <w:numPr>
          <w:ilvl w:val="0"/>
          <w:numId w:val="3"/>
        </w:numPr>
        <w:rPr>
          <w:rFonts w:ascii="Arial" w:cs="Arial" w:eastAsia="Arial" w:hAnsi="Arial"/>
          <w:sz w:val="17"/>
          <w:szCs w:val="17"/>
          <w:color w:val="auto"/>
        </w:rPr>
      </w:pPr>
      <w:r>
        <w:rPr>
          <w:rFonts w:ascii="Arial" w:cs="Arial" w:eastAsia="Arial" w:hAnsi="Arial"/>
          <w:sz w:val="17"/>
          <w:szCs w:val="17"/>
          <w:color w:val="auto"/>
        </w:rPr>
        <w:t>+1 213 561 3207 ltiari@cooley.com</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26, 2026</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Willdan Group, Inc.</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2401 East Katella Avenue, Suite 300</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Anaheim, CA 92806</w:t>
      </w:r>
    </w:p>
    <w:p>
      <w:pPr>
        <w:spacing w:after="0" w:line="200" w:lineRule="exact"/>
        <w:rPr>
          <w:sz w:val="20"/>
          <w:szCs w:val="20"/>
          <w:color w:val="auto"/>
        </w:rPr>
      </w:pPr>
    </w:p>
    <w:p>
      <w:pPr>
        <w:spacing w:after="0" w:line="24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Willdan Group, Inc. - Registration Statement on Form S-8</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7"/>
          <w:szCs w:val="17"/>
          <w:color w:val="auto"/>
        </w:rPr>
        <w:t>We have acted as counsel to Willdan Group,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by the Company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covering the offering of up to 380,000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issuable pursuant to the Company’s Amended and Restated 2008 Performance Incentive Plan (the “</w:t>
      </w:r>
      <w:r>
        <w:rPr>
          <w:rFonts w:ascii="Arial" w:cs="Arial" w:eastAsia="Arial" w:hAnsi="Arial"/>
          <w:sz w:val="17"/>
          <w:szCs w:val="17"/>
          <w:b w:val="1"/>
          <w:bCs w:val="1"/>
          <w:i w:val="1"/>
          <w:iCs w:val="1"/>
          <w:color w:val="auto"/>
        </w:rPr>
        <w:t>2008 Plan</w:t>
      </w:r>
      <w:r>
        <w:rPr>
          <w:rFonts w:ascii="Arial" w:cs="Arial" w:eastAsia="Arial" w:hAnsi="Arial"/>
          <w:sz w:val="17"/>
          <w:szCs w:val="17"/>
          <w:color w:val="auto"/>
        </w:rPr>
        <w:t>”).</w:t>
      </w:r>
    </w:p>
    <w:p>
      <w:pPr>
        <w:spacing w:after="0" w:line="161"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 (b) the Company’s certificate of incorporation and bylaws, each as currently in effect, (c) the 2008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As to certain factual matters, we have relied upon a certificate of an officer of the Company and have not independently verified such matters.</w:t>
      </w:r>
    </w:p>
    <w:p>
      <w:pPr>
        <w:spacing w:after="0" w:line="191"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6"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2008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8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Cooley LLP 350 S. Grand Ave Suite 3200, Los Angeles, CA 90071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 +1 213 561 3250 • f: +1 213 561 3244 •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348615</wp:posOffset>
            </wp:positionV>
            <wp:extent cx="54540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1047115</wp:posOffset>
            </wp:positionH>
            <wp:positionV relativeFrom="page">
              <wp:posOffset>343535</wp:posOffset>
            </wp:positionV>
            <wp:extent cx="1153795" cy="373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53795" cy="373380"/>
                    </a:xfrm>
                    <a:prstGeom prst="rect">
                      <a:avLst/>
                    </a:prstGeom>
                    <a:noFill/>
                  </pic:spPr>
                </pic:pic>
              </a:graphicData>
            </a:graphic>
          </wp:anchor>
        </w:drawing>
        <w:t>Willdan Group,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26, 2026</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Two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ooley</w:t>
      </w:r>
      <w:r>
        <w:rPr>
          <w:rFonts w:ascii="Arial" w:cs="Arial" w:eastAsia="Arial" w:hAnsi="Arial"/>
          <w:sz w:val="18"/>
          <w:szCs w:val="18"/>
          <w:b w:val="1"/>
          <w:bCs w:val="1"/>
          <w:color w:val="auto"/>
        </w:rPr>
        <w:t xml:space="preserve"> LLP</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By:/s/ Logan Tiari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15240</wp:posOffset>
            </wp:positionV>
            <wp:extent cx="2553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2553335" cy="825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Logan Tiari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Cooley LLP 350 S. Grand Ave Suite 3200, Los Angeles, CA 90071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 +1 213 561 3250 • f: +1 213 561 3244 •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348615</wp:posOffset>
            </wp:positionV>
            <wp:extent cx="54540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ectPr>
          <w:pgSz w:w="11900" w:h="16838" w:orient="portrait"/>
          <w:cols w:equalWidth="0" w:num="1">
            <w:col w:w="9019"/>
          </w:cols>
          <w:pgMar w:left="1440" w:top="1325" w:right="1440" w:bottom="1440" w:gutter="0" w:footer="0" w:header="0"/>
        </w:sectPr>
      </w:pPr>
    </w:p>
    <w:bookmarkStart w:id="9" w:name="page10"/>
    <w:bookmarkEnd w:id="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left="200" w:right="379"/>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Willdan Group, Inc. of our report dated February 26, 2026 relating to the consolidated financial statements and effectiveness of internal control over financial reporting appearing in the Annual Report on Form 10-K of Willdan Group, Inc. for the year ended January 2, 2026.</w:t>
      </w:r>
    </w:p>
    <w:p>
      <w:pPr>
        <w:spacing w:after="0" w:line="1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Crowe LLP</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504190</wp:posOffset>
            </wp:positionV>
            <wp:extent cx="54540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spacing w:after="0" w:line="62" w:lineRule="exact"/>
        <w:rPr>
          <w:sz w:val="20"/>
          <w:szCs w:val="20"/>
          <w:color w:val="auto"/>
        </w:rPr>
      </w:pPr>
    </w:p>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Willdan Group,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ind w:left="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60" w:type="dxa"/>
            <w:vAlign w:val="bottom"/>
            <w:vMerge w:val="restart"/>
            <w:shd w:val="clear" w:color="auto" w:fill="9ADAF6"/>
          </w:tcPr>
          <w:p>
            <w:pPr>
              <w:ind w:left="20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ind w:left="22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3"/>
                <w:szCs w:val="23"/>
                <w:color w:val="auto"/>
              </w:rPr>
            </w:pPr>
          </w:p>
        </w:tc>
        <w:tc>
          <w:tcPr>
            <w:tcW w:w="1260" w:type="dxa"/>
            <w:vAlign w:val="bottom"/>
            <w:shd w:val="clear" w:color="auto" w:fill="9ADAF6"/>
          </w:tcPr>
          <w:p>
            <w:pPr>
              <w:ind w:left="8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reserved for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future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pursuant to</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the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380,000</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$ 82.44</w:t>
            </w:r>
          </w:p>
        </w:tc>
        <w:tc>
          <w:tcPr>
            <w:tcW w:w="20" w:type="dxa"/>
            <w:vAlign w:val="bottom"/>
          </w:tcPr>
          <w:p>
            <w:pPr>
              <w:spacing w:after="0"/>
              <w:rPr>
                <w:sz w:val="10"/>
                <w:szCs w:val="10"/>
                <w:color w:val="auto"/>
              </w:rPr>
            </w:pPr>
          </w:p>
        </w:tc>
        <w:tc>
          <w:tcPr>
            <w:tcW w:w="14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$ 4,326.29</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31,327,200.00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Registrant's</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Amended</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and</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Restated</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2008</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Performance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21"/>
                <w:szCs w:val="21"/>
                <w:color w:val="auto"/>
              </w:rPr>
              <w:t>$ 4,326.29</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31,327,200.00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1"/>
                <w:szCs w:val="21"/>
                <w:color w:val="auto"/>
              </w:rPr>
              <w:t>$ 4,326.29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spacing w:after="0" w:line="252" w:lineRule="auto"/>
        <w:rPr>
          <w:sz w:val="20"/>
          <w:szCs w:val="20"/>
          <w:color w:val="auto"/>
        </w:rPr>
      </w:pPr>
      <w:r>
        <w:rPr>
          <w:rFonts w:ascii="Arial" w:cs="Arial" w:eastAsia="Arial" w:hAnsi="Arial"/>
          <w:sz w:val="21"/>
          <w:szCs w:val="21"/>
          <w:color w:val="auto"/>
        </w:rPr>
        <w:t>Estimated in accordance with Rules 457(c) and 457(h) solely for the purpose of calculating the registration fee on the basis of $82.44 per share, which is the average of the high and low selling prices per share of the common stock, par value $0.01 per share, (the "Common Stock") of Willdan Group, Inc. (the "Registrant") on June 23, 2026 as reported on the Nasdaq Global Market.</w:t>
      </w:r>
    </w:p>
    <w:p>
      <w:pPr>
        <w:spacing w:after="0" w:line="188" w:lineRule="exact"/>
        <w:rPr>
          <w:sz w:val="20"/>
          <w:szCs w:val="20"/>
          <w:color w:val="auto"/>
        </w:rPr>
      </w:pPr>
    </w:p>
    <w:p>
      <w:pPr>
        <w:ind w:left="800" w:right="680"/>
        <w:spacing w:after="0" w:line="246" w:lineRule="auto"/>
        <w:rPr>
          <w:sz w:val="20"/>
          <w:szCs w:val="20"/>
          <w:color w:val="auto"/>
        </w:rPr>
      </w:pPr>
      <w:r>
        <w:rPr>
          <w:rFonts w:ascii="Arial" w:cs="Arial" w:eastAsia="Arial" w:hAnsi="Arial"/>
          <w:sz w:val="21"/>
          <w:szCs w:val="21"/>
          <w:color w:val="auto"/>
        </w:rPr>
        <w:t>Pursuant to Rule 416(a) promulgated under the Securities Act of 1933, as amended, this Registration Statement shall also cover any additional shares of the Registrant's Common Stock, including options and other rights to purchase or acquire the shares of Common Stock, that become issuable under the Registrant's Amended and Restated 2008 Performance Incentive Plan by reason of any stock dividend, stock split, recapitalization, or other similar transaction effected that results in an increase to the number of outstanding shares of the Registrant's Common Stock,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231775</wp:posOffset>
            </wp:positionV>
            <wp:extent cx="6387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026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98360" cy="2026920"/>
                    </a:xfrm>
                    <a:prstGeom prst="rect">
                      <a:avLst/>
                    </a:prstGeom>
                    <a:noFill/>
                  </pic:spPr>
                </pic:pic>
              </a:graphicData>
            </a:graphic>
          </wp:anchor>
        </w:drawing>
      </w:r>
    </w:p>
    <w:p>
      <w:pPr>
        <w:sectPr>
          <w:pgSz w:w="11900" w:h="16900"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900" w:orient="portrait"/>
          <w:cols w:equalWidth="0" w:num="3">
            <w:col w:w="1980" w:space="40"/>
            <w:col w:w="2720" w:space="40"/>
            <w:col w:w="6460"/>
          </w:cols>
          <w:pgMar w:left="360" w:top="142" w:right="299" w:bottom="0" w:gutter="0" w:footer="0" w:header="0"/>
          <w:type w:val="continuous"/>
        </w:sectPr>
      </w:pPr>
    </w:p>
    <w:bookmarkStart w:id="11" w:name="page12"/>
    <w:bookmarkEnd w:id="11"/>
    <w:p>
      <w:pPr>
        <w:spacing w:after="0"/>
        <w:rPr>
          <w:sz w:val="20"/>
          <w:szCs w:val="20"/>
          <w:color w:val="auto"/>
        </w:rPr>
      </w:pPr>
      <w:r>
        <w:rPr>
          <w:rFonts w:ascii="Arial" w:cs="Arial" w:eastAsia="Arial" w:hAnsi="Arial"/>
          <w:sz w:val="21"/>
          <w:szCs w:val="2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494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98360" cy="49403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0079"/>
      </w:cols>
      <w:pgMar w:left="38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5"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jpeg"/><Relationship Id="rId53" Type="http://schemas.openxmlformats.org/officeDocument/2006/relationships/image" Target="media/image27.png"/><Relationship Id="rId54" Type="http://schemas.openxmlformats.org/officeDocument/2006/relationships/image" Target="media/image28.jpe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15" Type="http://schemas.openxmlformats.org/officeDocument/2006/relationships/hyperlink" Target="https://www.sec.gov/Archives/edgar/data/1370450/000110465908052019/a08-20821_1s8.htm" TargetMode="External"/><Relationship Id="rId16" Type="http://schemas.openxmlformats.org/officeDocument/2006/relationships/hyperlink" Target="https://www.sec.gov/Archives/edgar/data/1370450/000110465910044071/a10-15789_1s8.htm" TargetMode="External"/><Relationship Id="rId17" Type="http://schemas.openxmlformats.org/officeDocument/2006/relationships/hyperlink" Target="https://www.sec.gov/Archives/edgar/data/1370450/000110465912075970/a12-26427_1s8.htm" TargetMode="External"/><Relationship Id="rId18" Type="http://schemas.openxmlformats.org/officeDocument/2006/relationships/hyperlink" Target="https://www.sec.gov/Archives/edgar/data/1370450/000155837016007389/wldn-20160804xs8.htm" TargetMode="External"/><Relationship Id="rId19" Type="http://schemas.openxmlformats.org/officeDocument/2006/relationships/hyperlink" Target="https://www.sec.gov/Archives/edgar/data/1370450/000155837017005034/s-8.htm" TargetMode="External"/><Relationship Id="rId20" Type="http://schemas.openxmlformats.org/officeDocument/2006/relationships/hyperlink" Target="https://www.sec.gov/Archives/edgar/data/1370450/000110465919038278/a19-12195_1s8.htm" TargetMode="External"/><Relationship Id="rId21" Type="http://schemas.openxmlformats.org/officeDocument/2006/relationships/hyperlink" Target="https://www.sec.gov/Archives/edgar/data/1370450/000155837022010274/tmb-20220624xs8.htm" TargetMode="External"/><Relationship Id="rId22" Type="http://schemas.openxmlformats.org/officeDocument/2006/relationships/hyperlink" Target="https://www.sec.gov/Archives/edgar/data/1370450/000155837023011662/tmb-20230623xs8.htm" TargetMode="External"/><Relationship Id="rId23" Type="http://schemas.openxmlformats.org/officeDocument/2006/relationships/hyperlink" Target="https://www.sec.gov/Archives/edgar/data/1370450/000155837024009619/tmb-20240628xs8.htm" TargetMode="External"/><Relationship Id="rId24" Type="http://schemas.openxmlformats.org/officeDocument/2006/relationships/hyperlink" Target="https://www.sec.gov/Archives/edgar/data/1370450/000155837025008972/wldn-20250627xs8.htm" TargetMode="External"/><Relationship Id="rId26" Type="http://schemas.openxmlformats.org/officeDocument/2006/relationships/hyperlink" Target="https://www.sec.gov/ix?doc=/Archives/edgar/data/1370450/000110465926020767/wldn-20260102x10k.htm" TargetMode="External"/><Relationship Id="rId27" Type="http://schemas.openxmlformats.org/officeDocument/2006/relationships/hyperlink" Target="https://www.sec.gov/ix?doc=/Archives/edgar/data/1370450/000110465926048621/wldn-20260617xdef14a.htm" TargetMode="External"/><Relationship Id="rId28" Type="http://schemas.openxmlformats.org/officeDocument/2006/relationships/hyperlink" Target="https://www.sec.gov/ix?doc=/Archives/edgar/data/1370450/000110465926057350/wldn-20260403x10q.htm" TargetMode="External"/><Relationship Id="rId29" Type="http://schemas.openxmlformats.org/officeDocument/2006/relationships/hyperlink" Target="https://www.sec.gov/ix?doc=/Archives/edgar/data/1370450/000110465926075795/wldn-20260617x8k.htm" TargetMode="External"/><Relationship Id="rId30" Type="http://schemas.openxmlformats.org/officeDocument/2006/relationships/hyperlink" Target="https://www.sec.gov/Archives/edgar/data/1370450/000155837025002429/wldn-20241227xex4d2.htm" TargetMode="External"/><Relationship Id="rId33" Type="http://schemas.openxmlformats.org/officeDocument/2006/relationships/hyperlink" Target="http://www.sec.gov/Archives/edgar/data/1370450/000104746906010648/a2172308zex-3_1.htm" TargetMode="External"/><Relationship Id="rId34" Type="http://schemas.openxmlformats.org/officeDocument/2006/relationships/hyperlink" Target="https://www.sec.gov/Archives/edgar/data/1370450/000155837023011834/wldn-20230707xex3d1.htm" TargetMode="External"/><Relationship Id="rId35" Type="http://schemas.openxmlformats.org/officeDocument/2006/relationships/hyperlink" Target="https://www.sec.gov/Archives/edgar/data/1370450/000110465926020767/wldn-20260102xex4d2.htm" TargetMode="External"/><Relationship Id="rId36" Type="http://schemas.openxmlformats.org/officeDocument/2006/relationships/hyperlink" Target="https://www.sec.gov/Archives/edgar/data/1370450/000110465926075795/wldn-20260617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2026-06-26T17:47:25Z</dcterms:created>
  <dcterms:modified xsi:type="dcterms:W3CDTF">2026-06-26T17:47:25Z</dcterms:modified>
</cp:coreProperties>
</file>