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MICAH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00"/>
        <w:spacing w:after="0" w:line="365" w:lineRule="auto"/>
        <w:rPr>
          <w:sz w:val="20"/>
          <w:szCs w:val="20"/>
          <w:color w:val="auto"/>
        </w:rPr>
      </w:pPr>
      <w:r>
        <w:rPr>
          <w:rFonts w:ascii="Times New Roman" w:cs="Times New Roman" w:eastAsia="Times New Roman" w:hAnsi="Times New Roman"/>
          <w:sz w:val="17"/>
          <w:szCs w:val="17"/>
          <w:color w:val="0000FF"/>
        </w:rPr>
        <w:t>2401 EAST KATELLA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Willdan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WLDN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EXECUTIVE VP &amp; GENERAL</w:t>
      </w:r>
    </w:p>
    <w:p>
      <w:pPr>
        <w:spacing w:after="0" w:line="31"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COUNSEL</w:t>
      </w:r>
    </w:p>
    <w:p>
      <w:pPr>
        <w:spacing w:after="0" w:line="337"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ANAHEIM</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92806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615</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75.52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47,930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tax withholding obligations in connection with the vesting of restricted stock units on March 20, 2026, which restricted stock was granted on March 20, 2024.</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4,500 shares of restricted stock units that vest in three substantially equal installments on each of March 3, 2027, March 3, 2028 and March 3, 2029, (ii) 3,080 shares of restricted stock units that vest in two substantially equal installments on each of March 17, 2027 and March 17, 2028, and (iii) 1,400 shares of restricted stock units that vest on March 20, 2027, subject to the Reporting Person's continued service to the Issuer through the applicable vesting date.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Creighton K. Early,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Micah</w:t>
      </w:r>
      <w:r>
        <w:rPr>
          <w:sz w:val="20"/>
          <w:szCs w:val="20"/>
          <w:color w:val="auto"/>
        </w:rPr>
        <w:tab/>
      </w:r>
      <w:r>
        <w:rPr>
          <w:rFonts w:ascii="Times New Roman" w:cs="Times New Roman" w:eastAsia="Times New Roman" w:hAnsi="Times New Roman"/>
          <w:sz w:val="17"/>
          <w:szCs w:val="17"/>
          <w:color w:val="0000FF"/>
        </w:rPr>
        <w:t>03/23/2026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2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3678" TargetMode="External"/><Relationship Id="rId14" Type="http://schemas.openxmlformats.org/officeDocument/2006/relationships/hyperlink" Target="http://www.sec.gov/cgi-bin/browse-edgar?action=getcompany&amp;CIK=00013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2026-03-23T16:34:17Z</dcterms:created>
  <dcterms:modified xsi:type="dcterms:W3CDTF">2026-03-23T16:34:17Z</dcterms:modified>
</cp:coreProperties>
</file>