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557530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6" w:lineRule="exact"/>
        <w:rPr>
          <w:sz w:val="24"/>
          <w:szCs w:val="24"/>
          <w:color w:val="auto"/>
        </w:rPr>
      </w:pPr>
    </w:p>
    <w:p>
      <w:pPr>
        <w:ind w:left="640" w:right="759" w:hanging="382"/>
        <w:spacing w:after="0" w:line="273" w:lineRule="auto"/>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 2025</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640" w:right="739" w:hanging="382"/>
        <w:spacing w:after="0" w:line="273" w:lineRule="auto"/>
        <w:tabs>
          <w:tab w:leader="none" w:pos="6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5" w:lineRule="exact"/>
        <w:rPr>
          <w:sz w:val="24"/>
          <w:szCs w:val="24"/>
          <w:color w:val="auto"/>
        </w:rPr>
      </w:pPr>
    </w:p>
    <w:p>
      <w:pPr>
        <w:ind w:left="278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001-33076</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WILLDAN GROUP,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Delaware</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14-1951112</w:t>
            </w:r>
          </w:p>
        </w:tc>
      </w:tr>
      <w:tr>
        <w:trPr>
          <w:trHeight w:val="216"/>
        </w:trPr>
        <w:tc>
          <w:tcPr>
            <w:tcW w:w="3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00" w:type="dxa"/>
            <w:vAlign w:val="bottom"/>
          </w:tcPr>
          <w:p>
            <w:pPr>
              <w:spacing w:after="0"/>
              <w:rPr>
                <w:sz w:val="20"/>
                <w:szCs w:val="20"/>
                <w:color w:val="auto"/>
              </w:rPr>
            </w:pPr>
          </w:p>
        </w:tc>
      </w:tr>
      <w:tr>
        <w:trPr>
          <w:trHeight w:val="315"/>
        </w:trPr>
        <w:tc>
          <w:tcPr>
            <w:tcW w:w="38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2401 East Katella Avenue, Suite 300</w:t>
            </w:r>
          </w:p>
        </w:tc>
        <w:tc>
          <w:tcPr>
            <w:tcW w:w="3400" w:type="dxa"/>
            <w:vAlign w:val="bottom"/>
          </w:tcPr>
          <w:p>
            <w:pPr>
              <w:spacing w:after="0"/>
              <w:rPr>
                <w:sz w:val="24"/>
                <w:szCs w:val="24"/>
                <w:color w:val="auto"/>
              </w:rPr>
            </w:pPr>
          </w:p>
        </w:tc>
      </w:tr>
      <w:tr>
        <w:trPr>
          <w:trHeight w:val="220"/>
        </w:trPr>
        <w:tc>
          <w:tcPr>
            <w:tcW w:w="38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Anaheim, California</w:t>
            </w:r>
          </w:p>
        </w:tc>
        <w:tc>
          <w:tcPr>
            <w:tcW w:w="34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92806</w:t>
            </w:r>
          </w:p>
        </w:tc>
      </w:tr>
      <w:tr>
        <w:trPr>
          <w:trHeight w:val="234"/>
        </w:trPr>
        <w:tc>
          <w:tcPr>
            <w:tcW w:w="38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424-9144</w:t>
      </w:r>
    </w:p>
    <w:p>
      <w:pPr>
        <w:spacing w:after="0" w:line="54"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9"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w:t>
            </w:r>
          </w:p>
        </w:tc>
        <w:tc>
          <w:tcPr>
            <w:tcW w:w="200" w:type="dxa"/>
            <w:vAlign w:val="bottom"/>
          </w:tcPr>
          <w:p>
            <w:pPr>
              <w:spacing w:after="0"/>
              <w:rPr>
                <w:sz w:val="17"/>
                <w:szCs w:val="17"/>
                <w:color w:val="auto"/>
              </w:rPr>
            </w:pPr>
          </w:p>
        </w:tc>
        <w:tc>
          <w:tcPr>
            <w:tcW w:w="2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WLDN</w:t>
            </w:r>
          </w:p>
        </w:tc>
        <w:tc>
          <w:tcPr>
            <w:tcW w:w="200" w:type="dxa"/>
            <w:vAlign w:val="bottom"/>
          </w:tcPr>
          <w:p>
            <w:pPr>
              <w:spacing w:after="0"/>
              <w:rPr>
                <w:sz w:val="17"/>
                <w:szCs w:val="17"/>
                <w:color w:val="auto"/>
              </w:rPr>
            </w:pPr>
          </w:p>
        </w:tc>
        <w:tc>
          <w:tcPr>
            <w:tcW w:w="2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49" w:lineRule="exact"/>
        <w:rPr>
          <w:sz w:val="24"/>
          <w:szCs w:val="24"/>
          <w:color w:val="auto"/>
        </w:rPr>
      </w:pPr>
    </w:p>
    <w:p>
      <w:pPr>
        <w:ind w:left="60" w:right="7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jc w:val="both"/>
        <w:ind w:left="60" w:right="17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jc w:val="center"/>
        <w:ind w:left="62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jc w:val="center"/>
        <w:ind w:right="1879"/>
        <w:spacing w:after="0" w:line="22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96" w:lineRule="exact"/>
        <w:rPr>
          <w:sz w:val="24"/>
          <w:szCs w:val="24"/>
          <w:color w:val="auto"/>
        </w:rPr>
      </w:pPr>
    </w:p>
    <w:p>
      <w:pPr>
        <w:sectPr>
          <w:pgSz w:w="11900" w:h="16838" w:orient="portrait"/>
          <w:cols w:equalWidth="0" w:num="2">
            <w:col w:w="4960" w:space="720"/>
            <w:col w:w="3339"/>
          </w:cols>
          <w:pgMar w:left="1440" w:top="661" w:right="1440" w:bottom="1440" w:gutter="0" w:footer="0" w:header="0"/>
          <w:type w:val="continuous"/>
        </w:sectPr>
      </w:pPr>
    </w:p>
    <w:p>
      <w:pPr>
        <w:ind w:left="192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49" w:lineRule="exact"/>
        <w:rPr>
          <w:sz w:val="24"/>
          <w:szCs w:val="24"/>
          <w:color w:val="auto"/>
        </w:rPr>
      </w:pPr>
    </w:p>
    <w:p>
      <w:pPr>
        <w:sectPr>
          <w:pgSz w:w="11900" w:h="16838" w:orient="portrait"/>
          <w:cols w:equalWidth="0" w:num="2">
            <w:col w:w="4600" w:space="720"/>
            <w:col w:w="3699"/>
          </w:cols>
          <w:pgMar w:left="1440" w:top="661" w:right="1440" w:bottom="1440" w:gutter="0" w:footer="0" w:header="0"/>
          <w:type w:val="continuous"/>
        </w:sect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p>
      <w:pPr>
        <w:spacing w:after="0" w:line="22" w:lineRule="exact"/>
        <w:rPr>
          <w:sz w:val="24"/>
          <w:szCs w:val="24"/>
          <w:color w:val="auto"/>
        </w:rPr>
      </w:pPr>
    </w:p>
    <w:p>
      <w:pPr>
        <w:ind w:left="340" w:hanging="245"/>
        <w:spacing w:after="0" w:line="242" w:lineRule="exact"/>
        <w:tabs>
          <w:tab w:leader="none" w:pos="3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As of November 5, 2025, there were 14,749,882 shares of common stock, $0.01 par value per share, of Willdan Group, Inc.</w:t>
      </w:r>
    </w:p>
    <w:p>
      <w:pPr>
        <w:spacing w:after="0" w:line="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83185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QUARTERLY REPORT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484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6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66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PART II. OTHER INFORMATION</w:t>
            </w:r>
          </w:p>
        </w:tc>
        <w:tc>
          <w:tcPr>
            <w:tcW w:w="59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2"/>
        </w:trPr>
        <w:tc>
          <w:tcPr>
            <w:tcW w:w="6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594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2"/>
        </w:trPr>
        <w:tc>
          <w:tcPr>
            <w:tcW w:w="64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2300" w:type="dxa"/>
            <w:vAlign w:val="bottom"/>
            <w:tcBorders>
              <w:top w:val="single" w:sz="8" w:color="0000EE"/>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60" w:type="dxa"/>
            <w:vAlign w:val="bottom"/>
            <w:tcBorders>
              <w:top w:val="single" w:sz="8" w:color="0000EE"/>
            </w:tcBorders>
            <w:gridSpan w:val="2"/>
          </w:tcPr>
          <w:p>
            <w:pPr>
              <w:spacing w:after="0"/>
              <w:rPr>
                <w:sz w:val="24"/>
                <w:szCs w:val="24"/>
                <w:color w:val="auto"/>
              </w:rPr>
            </w:pPr>
          </w:p>
        </w:tc>
        <w:tc>
          <w:tcPr>
            <w:tcW w:w="29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2"/>
        </w:trPr>
        <w:tc>
          <w:tcPr>
            <w:tcW w:w="6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7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2"/>
        </w:trPr>
        <w:tc>
          <w:tcPr>
            <w:tcW w:w="64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78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rPr>
              <w:t>Other Information</w:t>
            </w:r>
          </w:p>
        </w:tc>
        <w:tc>
          <w:tcPr>
            <w:tcW w:w="55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2"/>
        </w:trPr>
        <w:tc>
          <w:tcPr>
            <w:tcW w:w="64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62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596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6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43"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p>
      <w:pPr>
        <w:spacing w:after="0" w:line="135"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complete projects in a timely manner;</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the highly competitive energy services market, which represented 84% of our consolidated revenue in fiscal year 2024;</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work from our top ten clients, which accounted for 51% of our consolidated contract revenue for fiscal year 2024;</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local and regional economies and government budgets;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new contracts, to renew existing contracts and to compete effectively for contracts awarded through bidding processes;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principal and interest payments on our outstanding debt as they come due and to comply with the financial covenants contained in our debt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supply chain constraints, labor shortages, elevated interest rates, and elevated inflation;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and to refinance our outstanding debt as it matures;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our acquisitions and execute on our growth strategy;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managerial, technical, and administrative talent.</w:t>
      </w:r>
    </w:p>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fiscal year ended December 27, 2024, as such disclosures may be amended, supplemented or superseded from time to 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spacing w:after="0" w:line="156" w:lineRule="exact"/>
        <w:rPr>
          <w:sz w:val="20"/>
          <w:szCs w:val="20"/>
          <w:color w:val="auto"/>
        </w:rPr>
      </w:pPr>
    </w:p>
    <w:p>
      <w:pPr>
        <w:ind w:left="60" w:right="379" w:firstLine="648"/>
        <w:spacing w:after="0" w:line="256" w:lineRule="auto"/>
        <w:rPr>
          <w:sz w:val="20"/>
          <w:szCs w:val="20"/>
          <w:color w:val="auto"/>
        </w:rPr>
      </w:pPr>
      <w:r>
        <w:rPr>
          <w:rFonts w:ascii="Times New Roman" w:cs="Times New Roman" w:eastAsia="Times New Roman" w:hAnsi="Times New Roman"/>
          <w:sz w:val="18"/>
          <w:szCs w:val="18"/>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183"/>
        </w:trPr>
        <w:tc>
          <w:tcPr>
            <w:tcW w:w="6600" w:type="dxa"/>
            <w:vAlign w:val="bottom"/>
            <w:shd w:val="clear" w:color="auto" w:fill="CCEEFF"/>
          </w:tcPr>
          <w:p>
            <w:pPr>
              <w:ind w:left="4160"/>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74,158</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66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$354 and $1,313 at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4"/>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October 3, 2025 and December 27, 2024, respectively</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65,557</w:t>
            </w:r>
          </w:p>
        </w:tc>
        <w:tc>
          <w:tcPr>
            <w:tcW w:w="160" w:type="dxa"/>
            <w:vAlign w:val="bottom"/>
            <w:shd w:val="clear" w:color="auto" w:fill="CCEEFF"/>
          </w:tcPr>
          <w:p>
            <w:pPr>
              <w:spacing w:after="0"/>
              <w:rPr>
                <w:sz w:val="19"/>
                <w:szCs w:val="19"/>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assets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116,494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88,528</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receivables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160" w:type="dxa"/>
            <w:vAlign w:val="bottom"/>
            <w:tcBorders>
              <w:bottom w:val="single" w:sz="8" w:color="CCEEFF"/>
            </w:tcBorders>
          </w:tcPr>
          <w:p>
            <w:pPr>
              <w:spacing w:after="0"/>
              <w:rPr>
                <w:sz w:val="17"/>
                <w:szCs w:val="17"/>
                <w:color w:val="auto"/>
              </w:rPr>
            </w:pPr>
          </w:p>
        </w:tc>
      </w:tr>
      <w:tr>
        <w:trPr>
          <w:trHeight w:val="19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235,524</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leasehold improvements,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29,534</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140,991</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14,035</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29,414</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17,498</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13,346</w:t>
            </w:r>
          </w:p>
        </w:tc>
        <w:tc>
          <w:tcPr>
            <w:tcW w:w="160" w:type="dxa"/>
            <w:vAlign w:val="bottom"/>
            <w:shd w:val="clear" w:color="auto" w:fill="CCEEFF"/>
          </w:tcPr>
          <w:p>
            <w:pPr>
              <w:spacing w:after="0"/>
              <w:rPr>
                <w:sz w:val="17"/>
                <w:szCs w:val="17"/>
                <w:color w:val="auto"/>
              </w:rPr>
            </w:pPr>
          </w:p>
        </w:tc>
      </w:tr>
      <w:tr>
        <w:trPr>
          <w:trHeight w:val="236"/>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507,925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464,863</w:t>
            </w:r>
          </w:p>
        </w:tc>
        <w:tc>
          <w:tcPr>
            <w:tcW w:w="160" w:type="dxa"/>
            <w:vAlign w:val="bottom"/>
            <w:tcBorders>
              <w:bottom w:val="single" w:sz="8" w:color="CCEEFF"/>
            </w:tcBorders>
          </w:tcPr>
          <w:p>
            <w:pPr>
              <w:spacing w:after="0"/>
              <w:rPr>
                <w:sz w:val="20"/>
                <w:szCs w:val="20"/>
                <w:color w:val="auto"/>
              </w:rPr>
            </w:pPr>
          </w:p>
        </w:tc>
      </w:tr>
      <w:tr>
        <w:trPr>
          <w:trHeight w:val="156"/>
        </w:trPr>
        <w:tc>
          <w:tcPr>
            <w:tcW w:w="6600" w:type="dxa"/>
            <w:vAlign w:val="bottom"/>
            <w:shd w:val="clear" w:color="auto" w:fill="CCEEFF"/>
          </w:tcPr>
          <w:p>
            <w:pPr>
              <w:ind w:left="3060"/>
              <w:spacing w:after="0" w:line="15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33,766</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64,769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62,776</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 payable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Notes payable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liability</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5,804</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137,677</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payable, less current portion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payable, less current portion</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79,350</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 less current portion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 less current portion</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9,939</w:t>
            </w: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224,833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230,520</w:t>
            </w:r>
          </w:p>
        </w:tc>
        <w:tc>
          <w:tcPr>
            <w:tcW w:w="160" w:type="dxa"/>
            <w:vAlign w:val="bottom"/>
            <w:tcBorders>
              <w:bottom w:val="single" w:sz="8" w:color="CCEEFF"/>
            </w:tcBorders>
          </w:tcPr>
          <w:p>
            <w:pPr>
              <w:spacing w:after="0"/>
              <w:rPr>
                <w:sz w:val="17"/>
                <w:szCs w:val="17"/>
                <w:color w:val="auto"/>
              </w:rPr>
            </w:pPr>
          </w:p>
        </w:tc>
      </w:tr>
      <w:tr>
        <w:trPr>
          <w:trHeight w:val="196"/>
        </w:trPr>
        <w:tc>
          <w:tcPr>
            <w:tcW w:w="6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1"/>
        </w:trPr>
        <w:tc>
          <w:tcPr>
            <w:tcW w:w="66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stock, $0.01 par value, 10,000 shares authorized, no shares issued and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4"/>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660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Common stock, $0.01 par value, 40,000 shares authorized; 14,754 and 14,169 shares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issued and outstanding at October 3, 2025 and December 27, 2024, respectively</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60" w:type="dxa"/>
            <w:vAlign w:val="bottom"/>
          </w:tcPr>
          <w:p>
            <w:pPr>
              <w:spacing w:after="0"/>
              <w:rPr>
                <w:sz w:val="19"/>
                <w:szCs w:val="19"/>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212,284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197,368</w:t>
            </w:r>
          </w:p>
        </w:tc>
        <w:tc>
          <w:tcPr>
            <w:tcW w:w="160" w:type="dxa"/>
            <w:vAlign w:val="bottom"/>
            <w:shd w:val="clear" w:color="auto" w:fill="CCEEFF"/>
          </w:tcPr>
          <w:p>
            <w:pPr>
              <w:spacing w:after="0"/>
              <w:rPr>
                <w:sz w:val="17"/>
                <w:szCs w:val="17"/>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(331)</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(314)</w:t>
            </w: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70,991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37,147</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283,092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234,343</w:t>
            </w:r>
          </w:p>
        </w:tc>
        <w:tc>
          <w:tcPr>
            <w:tcW w:w="160" w:type="dxa"/>
            <w:vAlign w:val="bottom"/>
            <w:tcBorders>
              <w:bottom w:val="single" w:sz="8" w:color="CCEEFF"/>
            </w:tcBorders>
          </w:tcPr>
          <w:p>
            <w:pPr>
              <w:spacing w:after="0"/>
              <w:rPr>
                <w:sz w:val="17"/>
                <w:szCs w:val="17"/>
                <w:color w:val="auto"/>
              </w:rPr>
            </w:pPr>
          </w:p>
        </w:tc>
      </w:tr>
      <w:tr>
        <w:trPr>
          <w:trHeight w:val="196"/>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507,925</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464,863</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8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980" w:type="dxa"/>
            <w:vAlign w:val="bottom"/>
          </w:tcPr>
          <w:p>
            <w:pPr>
              <w:spacing w:after="0"/>
              <w:rPr>
                <w:sz w:val="10"/>
                <w:szCs w:val="10"/>
                <w:color w:val="auto"/>
              </w:rPr>
            </w:pPr>
          </w:p>
        </w:tc>
        <w:tc>
          <w:tcPr>
            <w:tcW w:w="94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 w:type="dxa"/>
            <w:vAlign w:val="bottom"/>
          </w:tcPr>
          <w:p>
            <w:pPr>
              <w:spacing w:after="0"/>
              <w:rPr>
                <w:sz w:val="10"/>
                <w:szCs w:val="10"/>
                <w:color w:val="auto"/>
              </w:rPr>
            </w:pPr>
          </w:p>
        </w:tc>
      </w:tr>
      <w:tr>
        <w:trPr>
          <w:trHeight w:val="173"/>
        </w:trPr>
        <w:tc>
          <w:tcPr>
            <w:tcW w:w="4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507,865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421,737</w:t>
            </w:r>
          </w:p>
        </w:tc>
        <w:tc>
          <w:tcPr>
            <w:tcW w:w="20" w:type="dxa"/>
            <w:vAlign w:val="bottom"/>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4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Direct costs of contract revenue (inclusive of directly related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69,247</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Subcontractor services and other direct costs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204,667</w:t>
            </w:r>
          </w:p>
        </w:tc>
        <w:tc>
          <w:tcPr>
            <w:tcW w:w="20" w:type="dxa"/>
            <w:vAlign w:val="bottom"/>
          </w:tcPr>
          <w:p>
            <w:pPr>
              <w:spacing w:after="0"/>
              <w:rPr>
                <w:sz w:val="18"/>
                <w:szCs w:val="18"/>
                <w:color w:val="auto"/>
              </w:rPr>
            </w:pPr>
          </w:p>
        </w:tc>
      </w:tr>
      <w:tr>
        <w:trPr>
          <w:trHeight w:val="209"/>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direct costs of contract revenue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273,914</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193,075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147,823</w:t>
            </w:r>
          </w:p>
        </w:tc>
        <w:tc>
          <w:tcPr>
            <w:tcW w:w="20" w:type="dxa"/>
            <w:vAlign w:val="bottom"/>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wages, payroll taxes and employee benefits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78,449</w:t>
            </w:r>
          </w:p>
        </w:tc>
        <w:tc>
          <w:tcPr>
            <w:tcW w:w="20" w:type="dxa"/>
            <w:vAlign w:val="bottom"/>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and facility related</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0" w:type="dxa"/>
            <w:vAlign w:val="bottom"/>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20" w:type="dxa"/>
            <w:vAlign w:val="bottom"/>
          </w:tcPr>
          <w:p>
            <w:pPr>
              <w:spacing w:after="0"/>
              <w:rPr>
                <w:sz w:val="18"/>
                <w:szCs w:val="18"/>
                <w:color w:val="auto"/>
              </w:rPr>
            </w:pPr>
          </w:p>
        </w:tc>
      </w:tr>
      <w:tr>
        <w:trPr>
          <w:trHeight w:val="210"/>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127,340</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20,483</w:t>
            </w:r>
          </w:p>
        </w:tc>
        <w:tc>
          <w:tcPr>
            <w:tcW w:w="2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0" w:type="dxa"/>
            <w:vAlign w:val="bottom"/>
          </w:tcPr>
          <w:p>
            <w:pPr>
              <w:spacing w:after="0"/>
              <w:rPr>
                <w:sz w:val="18"/>
                <w:szCs w:val="18"/>
                <w:color w:val="auto"/>
              </w:rPr>
            </w:pPr>
          </w:p>
        </w:tc>
      </w:tr>
      <w:tr>
        <w:trPr>
          <w:trHeight w:val="21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 w:type="dxa"/>
            <w:vAlign w:val="bottom"/>
          </w:tcPr>
          <w:p>
            <w:pPr>
              <w:spacing w:after="0"/>
              <w:rPr>
                <w:sz w:val="18"/>
                <w:szCs w:val="18"/>
                <w:color w:val="auto"/>
              </w:rPr>
            </w:pPr>
          </w:p>
        </w:tc>
      </w:tr>
      <w:tr>
        <w:trPr>
          <w:trHeight w:val="209"/>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20" w:type="dxa"/>
            <w:vAlign w:val="bottom"/>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Pr>
          <w:p>
            <w:pPr>
              <w:spacing w:after="0"/>
              <w:rPr>
                <w:sz w:val="18"/>
                <w:szCs w:val="18"/>
                <w:color w:val="auto"/>
              </w:rPr>
            </w:pPr>
          </w:p>
        </w:tc>
      </w:tr>
      <w:tr>
        <w:trPr>
          <w:trHeight w:val="210"/>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 contracts, net of tax</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r>
      <w:tr>
        <w:trPr>
          <w:trHeight w:val="209"/>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2"/>
                <w:szCs w:val="22"/>
                <w:color w:val="auto"/>
              </w:rPr>
            </w:pPr>
          </w:p>
        </w:tc>
      </w:tr>
      <w:tr>
        <w:trPr>
          <w:trHeight w:val="196"/>
        </w:trPr>
        <w:tc>
          <w:tcPr>
            <w:tcW w:w="498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4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27, 2024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$197,368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$ 37,147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$ 234,343</w:t>
            </w:r>
          </w:p>
        </w:tc>
        <w:tc>
          <w:tcPr>
            <w:tcW w:w="0" w:type="dxa"/>
            <w:vAlign w:val="bottom"/>
          </w:tcPr>
          <w:p>
            <w:pPr>
              <w:spacing w:after="0"/>
              <w:rPr>
                <w:sz w:val="1"/>
                <w:szCs w:val="1"/>
                <w:color w:val="auto"/>
              </w:rPr>
            </w:pPr>
          </w:p>
        </w:tc>
      </w:tr>
      <w:tr>
        <w:trPr>
          <w:trHeight w:val="198"/>
        </w:trPr>
        <w:tc>
          <w:tcPr>
            <w:tcW w:w="3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incentive stock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issued to acquire businesses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4, 2025</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14,497</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204,036</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$ 41,834</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$ 245,516</w:t>
            </w:r>
          </w:p>
        </w:tc>
        <w:tc>
          <w:tcPr>
            <w:tcW w:w="0" w:type="dxa"/>
            <w:vAlign w:val="bottom"/>
          </w:tcPr>
          <w:p>
            <w:pPr>
              <w:spacing w:after="0"/>
              <w:rPr>
                <w:sz w:val="1"/>
                <w:szCs w:val="1"/>
                <w:color w:val="auto"/>
              </w:rPr>
            </w:pPr>
          </w:p>
        </w:tc>
      </w:tr>
      <w:tr>
        <w:trPr>
          <w:trHeight w:val="151"/>
        </w:trPr>
        <w:tc>
          <w:tcPr>
            <w:tcW w:w="388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7"/>
                <w:szCs w:val="17"/>
                <w:color w:val="auto"/>
              </w:rPr>
              <w:t>Shares of common stock issued in connection</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incentive stock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4, 2025</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208,830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$ 57,270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$ 265,935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incentive stock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 2025</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212,284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$ 70,991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$ 283,092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36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29, 2023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13,682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$185,795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$ 14,577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$ 199,845</w:t>
            </w:r>
          </w:p>
        </w:tc>
        <w:tc>
          <w:tcPr>
            <w:tcW w:w="0" w:type="dxa"/>
            <w:vAlign w:val="bottom"/>
          </w:tcPr>
          <w:p>
            <w:pPr>
              <w:spacing w:after="0"/>
              <w:rPr>
                <w:sz w:val="1"/>
                <w:szCs w:val="1"/>
                <w:color w:val="auto"/>
              </w:rPr>
            </w:pP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incentive stock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188,088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17,519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$ 205,515</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stock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28,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13,916</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190,882</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$ 22,113</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$ 213,005</w:t>
            </w:r>
          </w:p>
        </w:tc>
        <w:tc>
          <w:tcPr>
            <w:tcW w:w="0" w:type="dxa"/>
            <w:vAlign w:val="bottom"/>
          </w:tcPr>
          <w:p>
            <w:pPr>
              <w:spacing w:after="0"/>
              <w:rPr>
                <w:sz w:val="1"/>
                <w:szCs w:val="1"/>
                <w:color w:val="auto"/>
              </w:rPr>
            </w:pPr>
          </w:p>
        </w:tc>
      </w:tr>
      <w:tr>
        <w:trPr>
          <w:trHeight w:val="151"/>
        </w:trPr>
        <w:tc>
          <w:tcPr>
            <w:tcW w:w="396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7"/>
                <w:szCs w:val="17"/>
                <w:color w:val="auto"/>
              </w:rPr>
              <w:t>Shares of common stock issued in connection with</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of common stock issued in connection with</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stock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used to pay taxes on stock grants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restricted stock award and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derivative contracts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27,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14,117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195,168</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29,459</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$ 223,961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WILLDAN GROUP, INC. AND SUBSIDIARIES</w:t>
      </w:r>
    </w:p>
    <w:p>
      <w:pPr>
        <w:ind w:left="1800"/>
        <w:spacing w:after="0" w:line="21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6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 w:type="dxa"/>
            <w:vAlign w:val="bottom"/>
          </w:tcPr>
          <w:p>
            <w:pPr>
              <w:spacing w:after="0"/>
              <w:rPr>
                <w:sz w:val="10"/>
                <w:szCs w:val="10"/>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9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33,844</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w:t>
            </w:r>
          </w:p>
        </w:tc>
        <w:tc>
          <w:tcPr>
            <w:tcW w:w="20" w:type="dxa"/>
            <w:vAlign w:val="bottom"/>
          </w:tcPr>
          <w:p>
            <w:pPr>
              <w:spacing w:after="0"/>
              <w:rPr>
                <w:sz w:val="17"/>
                <w:szCs w:val="17"/>
                <w:color w:val="auto"/>
              </w:rPr>
            </w:pPr>
          </w:p>
        </w:tc>
      </w:tr>
      <w:tr>
        <w:trPr>
          <w:trHeight w:val="18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10,937</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20" w:type="dxa"/>
            <w:vAlign w:val="bottom"/>
          </w:tcPr>
          <w:p>
            <w:pPr>
              <w:spacing w:after="0"/>
              <w:rPr>
                <w:sz w:val="17"/>
                <w:szCs w:val="17"/>
                <w:color w:val="auto"/>
              </w:rPr>
            </w:pPr>
          </w:p>
        </w:tc>
      </w:tr>
      <w:tr>
        <w:trPr>
          <w:trHeight w:val="20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(4,152)</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sale/disposal of equipment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r>
      <w:tr>
        <w:trPr>
          <w:trHeight w:val="20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20" w:type="dxa"/>
            <w:vAlign w:val="bottom"/>
          </w:tcPr>
          <w:p>
            <w:pPr>
              <w:spacing w:after="0"/>
              <w:rPr>
                <w:sz w:val="17"/>
                <w:szCs w:val="17"/>
                <w:color w:val="auto"/>
              </w:rPr>
            </w:pPr>
          </w:p>
        </w:tc>
      </w:tr>
      <w:tr>
        <w:trPr>
          <w:trHeight w:val="20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Accretion and fair value adjustments of contingent consideration</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business acquisitions: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Contract assets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(27,501)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w:t>
            </w:r>
          </w:p>
        </w:tc>
        <w:tc>
          <w:tcPr>
            <w:tcW w:w="20" w:type="dxa"/>
            <w:vAlign w:val="bottom"/>
          </w:tcPr>
          <w:p>
            <w:pPr>
              <w:spacing w:after="0"/>
              <w:rPr>
                <w:sz w:val="17"/>
                <w:szCs w:val="17"/>
                <w:color w:val="auto"/>
              </w:rPr>
            </w:pPr>
          </w:p>
        </w:tc>
      </w:tr>
      <w:tr>
        <w:trPr>
          <w:trHeight w:val="203"/>
        </w:trPr>
        <w:tc>
          <w:tcPr>
            <w:tcW w:w="6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(5,040)</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20" w:type="dxa"/>
            <w:vAlign w:val="bottom"/>
          </w:tcPr>
          <w:p>
            <w:pPr>
              <w:spacing w:after="0"/>
              <w:rPr>
                <w:sz w:val="17"/>
                <w:szCs w:val="17"/>
                <w:color w:val="auto"/>
              </w:rPr>
            </w:pPr>
          </w:p>
        </w:tc>
      </w:tr>
      <w:tr>
        <w:trPr>
          <w:trHeight w:val="203"/>
        </w:trPr>
        <w:tc>
          <w:tcPr>
            <w:tcW w:w="6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20" w:type="dxa"/>
            <w:vAlign w:val="bottom"/>
          </w:tcPr>
          <w:p>
            <w:pPr>
              <w:spacing w:after="0"/>
              <w:rPr>
                <w:sz w:val="17"/>
                <w:szCs w:val="17"/>
                <w:color w:val="auto"/>
              </w:rPr>
            </w:pPr>
          </w:p>
        </w:tc>
      </w:tr>
      <w:tr>
        <w:trPr>
          <w:trHeight w:val="203"/>
        </w:trPr>
        <w:tc>
          <w:tcPr>
            <w:tcW w:w="6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Contract liabilities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(2,470)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Pr>
          <w:p>
            <w:pPr>
              <w:spacing w:after="0"/>
              <w:rPr>
                <w:sz w:val="17"/>
                <w:szCs w:val="17"/>
                <w:color w:val="auto"/>
              </w:rPr>
            </w:pPr>
          </w:p>
        </w:tc>
      </w:tr>
      <w:tr>
        <w:trPr>
          <w:trHeight w:val="203"/>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Right-of-use assets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7"/>
                <w:szCs w:val="17"/>
                <w:color w:val="auto"/>
              </w:rPr>
            </w:pPr>
          </w:p>
        </w:tc>
      </w:tr>
      <w:tr>
        <w:trPr>
          <w:trHeight w:val="196"/>
        </w:trPr>
        <w:tc>
          <w:tcPr>
            <w:tcW w:w="6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40,904</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38,611</w:t>
            </w:r>
          </w:p>
        </w:tc>
        <w:tc>
          <w:tcPr>
            <w:tcW w:w="20" w:type="dxa"/>
            <w:vAlign w:val="bottom"/>
          </w:tcPr>
          <w:p>
            <w:pPr>
              <w:spacing w:after="0"/>
              <w:rPr>
                <w:sz w:val="17"/>
                <w:szCs w:val="17"/>
                <w:color w:val="auto"/>
              </w:rPr>
            </w:pPr>
          </w:p>
        </w:tc>
      </w:tr>
      <w:tr>
        <w:trPr>
          <w:trHeight w:val="19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equipment, software, and leasehold improvements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(6,924)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20" w:type="dxa"/>
            <w:vAlign w:val="bottom"/>
          </w:tcPr>
          <w:p>
            <w:pPr>
              <w:spacing w:after="0"/>
              <w:rPr>
                <w:sz w:val="18"/>
                <w:szCs w:val="18"/>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(33,431)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96"/>
        </w:trPr>
        <w:tc>
          <w:tcPr>
            <w:tcW w:w="6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(40,327)</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w:t>
            </w:r>
          </w:p>
        </w:tc>
        <w:tc>
          <w:tcPr>
            <w:tcW w:w="20" w:type="dxa"/>
            <w:vAlign w:val="bottom"/>
          </w:tcPr>
          <w:p>
            <w:pPr>
              <w:spacing w:after="0"/>
              <w:rPr>
                <w:sz w:val="17"/>
                <w:szCs w:val="17"/>
                <w:color w:val="auto"/>
              </w:rPr>
            </w:pPr>
          </w:p>
        </w:tc>
      </w:tr>
      <w:tr>
        <w:trPr>
          <w:trHeight w:val="19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debt issuance costs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made to retire prior credit agreement</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(90,000)</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 to fund new credit agreement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outstanding debt</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(39,039)</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stock option exercise</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common stock under employee stock purchase plan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used to pay taxes on stock grants</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(5,137)</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0" w:type="dxa"/>
            <w:vAlign w:val="bottom"/>
          </w:tcPr>
          <w:p>
            <w:pPr>
              <w:spacing w:after="0"/>
              <w:rPr>
                <w:sz w:val="17"/>
                <w:szCs w:val="17"/>
                <w:color w:val="auto"/>
              </w:rPr>
            </w:pPr>
          </w:p>
        </w:tc>
      </w:tr>
      <w:tr>
        <w:trPr>
          <w:trHeight w:val="196"/>
        </w:trPr>
        <w:tc>
          <w:tcPr>
            <w:tcW w:w="65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(41,626)</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20" w:type="dxa"/>
            <w:vAlign w:val="bottom"/>
          </w:tcPr>
          <w:p>
            <w:pPr>
              <w:spacing w:after="0"/>
              <w:rPr>
                <w:sz w:val="17"/>
                <w:szCs w:val="17"/>
                <w:color w:val="auto"/>
              </w:rPr>
            </w:pPr>
          </w:p>
        </w:tc>
      </w:tr>
      <w:tr>
        <w:trPr>
          <w:trHeight w:val="19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29,709</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74,158</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23,397</w:t>
            </w:r>
          </w:p>
        </w:tc>
        <w:tc>
          <w:tcPr>
            <w:tcW w:w="20" w:type="dxa"/>
            <w:vAlign w:val="bottom"/>
          </w:tcPr>
          <w:p>
            <w:pPr>
              <w:spacing w:after="0"/>
              <w:rPr>
                <w:sz w:val="17"/>
                <w:szCs w:val="17"/>
                <w:color w:val="auto"/>
              </w:rPr>
            </w:pPr>
          </w:p>
        </w:tc>
      </w:tr>
      <w:tr>
        <w:trPr>
          <w:trHeight w:val="23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33,109</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53,106</w:t>
            </w:r>
          </w:p>
        </w:tc>
        <w:tc>
          <w:tcPr>
            <w:tcW w:w="20" w:type="dxa"/>
            <w:vAlign w:val="bottom"/>
          </w:tcPr>
          <w:p>
            <w:pPr>
              <w:spacing w:after="0"/>
              <w:rPr>
                <w:sz w:val="20"/>
                <w:szCs w:val="20"/>
                <w:color w:val="auto"/>
              </w:rPr>
            </w:pPr>
          </w:p>
        </w:tc>
      </w:tr>
      <w:tr>
        <w:trPr>
          <w:trHeight w:val="183"/>
        </w:trPr>
        <w:tc>
          <w:tcPr>
            <w:tcW w:w="65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20" w:type="dxa"/>
            <w:vAlign w:val="bottom"/>
          </w:tcPr>
          <w:p>
            <w:pPr>
              <w:spacing w:after="0"/>
              <w:rPr>
                <w:sz w:val="17"/>
                <w:szCs w:val="17"/>
                <w:color w:val="auto"/>
              </w:rPr>
            </w:pPr>
          </w:p>
        </w:tc>
      </w:tr>
      <w:tr>
        <w:trPr>
          <w:trHeight w:val="202"/>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 related to business acquisitions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1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Equipment acquired under finance leases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2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(Unaudited)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 OF THE COMPANY</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spacing w:after="0" w:line="173"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Operations of the Company”</w:t>
      </w:r>
      <w:r>
        <w:rPr>
          <w:rFonts w:ascii="Times New Roman" w:cs="Times New Roman" w:eastAsia="Times New Roman" w:hAnsi="Times New Roman"/>
          <w:sz w:val="18"/>
          <w:szCs w:val="18"/>
          <w:color w:val="auto"/>
        </w:rPr>
        <w:t>, of the Notes to Consolidated Financial Statements included in the Company’s Annual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Form 10-K for the fiscal year ended December 27, 2024. In the opinion of management, all adjustments necessary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fairly state the Condensed Consolidated Financial Statements have been made. All such adjustments are of a normal,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recurring nature. Certain information and footnote disclosures normally included in the Consolidated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prepared in accordance with accounting principles generally accepted in the United States (“U.S. GAAP”)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been condensed or omitted pursuant to the rules and regulations of the Securities and Exchange Commission (“SEC”).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Condensed Consolidated Financial Statements and related notes thereto should be read in conjunction with</w:t>
      </w:r>
    </w:p>
    <w:p>
      <w:pPr>
        <w:spacing w:after="0" w:line="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and the notes thereto included in the Company’s Annual Report on Form 10-K for the fiscal year ended December 27, 2024. The results of operations for interim periods are not necessarily indicative of results to be expected for the full year.</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Fiscal Years</w:t>
      </w:r>
    </w:p>
    <w:p>
      <w:pPr>
        <w:spacing w:after="0" w:line="227"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2025, which ends on January 2, 2026, will be comprised of</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 weeks, with the first quarter consisting of 14 weeks and the remaining quarters consisting of 13 weeks each. Fiscal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which ended on December 27, 2024, was comprised of 52 weeks, with all quarters consisting of 13 weeks each.</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in the condensed consolidated financial statements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380" w:right="4899" w:hanging="330"/>
        <w:spacing w:after="0" w:line="483" w:lineRule="auto"/>
        <w:tabs>
          <w:tab w:leader="none" w:pos="2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color w:val="auto"/>
        </w:rPr>
        <w:t>Accounting Pronouncements Recently Issued</w:t>
      </w: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In September 2025, the Financial Accounting Standards Board (“FASB”) issued Accounting Standards Update (“ASU”) No. 2025-06, “Intangibles – Goodwill and Other – Internal-Use Software (Subtopic 350-40): Targeted Improvements to the Accounting for Internal Software” (“ASU 2025-06”). ASU 2025-06 removes references to prescriptive and sequential software development stages which are referred to as “project stages” throughout Subtopic 350-</w:t>
      </w:r>
    </w:p>
    <w:p>
      <w:pPr>
        <w:spacing w:after="0" w:line="3" w:lineRule="exact"/>
        <w:rPr>
          <w:sz w:val="20"/>
          <w:szCs w:val="20"/>
          <w:color w:val="auto"/>
        </w:rPr>
      </w:pPr>
    </w:p>
    <w:p>
      <w:pPr>
        <w:ind w:left="60" w:right="119" w:hanging="10"/>
        <w:spacing w:after="0" w:line="252" w:lineRule="auto"/>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introduces a principles-based approach to capitalization of internal-use software costs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The amendments are effective for the annual reporting periods beginning after December 15, 2027, and interim periods within those fiscal year reporting periods beginning after December 15, 2027, with early adoption permitted. The Company does not believe the amendments in ASU 2025-06 will have a material impact on its Consolidated Financial Statements.</w:t>
      </w:r>
    </w:p>
    <w:p>
      <w:pPr>
        <w:spacing w:after="0" w:line="14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Measurement of Credit Losses for Accounts Receivable and Contract Assets” (“ASU 2025-05”). ASU 2025-05 allows an entity to elect a practical expedient to assume that current conditions as of the balance sheet date do not change for the remaining life of the asset in the development of a reasonable and supportable forecast as part of estimating expected credit losses. The amendments are effective for the annual reporting periods beginning after December 15, 2025, and interim periods within those fiscal year reporting periods beginning after December 15, 2025, with early adoption permitted. The Company does not believe the amendments in ASU 2025-05 will have a material impact on its Consolidated Financial Statements.</w:t>
      </w:r>
    </w:p>
    <w:p>
      <w:pPr>
        <w:spacing w:after="0" w:line="16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May 2025, the FASB issued ASU No. 2025-03, “Business Combinations (Topic 805) and Consolidation (Topic 810): Determining the Accounting Acquirer in the Acquisition of a Variable Interest Entity” (“ASU 2025-03”). ASU 2025-03 requires an entity involved in an acquisition transaction effected primarily by exchanging equity interests when the legal acquiree is a Variable Interest Entity (“VIE”) that meets the definition of a business to consider the factors in paragraphs 805-10-55-12 through 55-15 to determine which entity is the accounting acquirer, rather than defaulting to the conclusion that the primary beneficiary is always the acquirer. The amendments are effective for the annual reporting periods beginning after December 15, 2026, and interim periods within those fiscal year reporting periods beginning after December 15, 2026, with early adoption permitted. The Company does not believe the amendments in ASU 2025-03 will have a material impact on its Consolidated Financial Statements.</w:t>
      </w:r>
    </w:p>
    <w:p>
      <w:pPr>
        <w:spacing w:after="0" w:line="14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 permitted. The Company is currently evaluating the impact this update will have on its Consolidated Financial Statements.</w:t>
      </w:r>
    </w:p>
    <w:p>
      <w:pPr>
        <w:spacing w:after="0" w:line="14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 permitted. The Company is currently evaluating the impact this update will have on its Consolidated Financial Statements.</w:t>
      </w:r>
    </w:p>
    <w:p>
      <w:pPr>
        <w:spacing w:after="0" w:line="16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on any of the Company’s current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4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8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two reportable segments and the types of contracts that each most commonly enters into for revenue generating activities.</w:t>
      </w:r>
    </w:p>
    <w:p>
      <w:pPr>
        <w:spacing w:after="0" w:line="173"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Recognition Method</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09"/>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10"/>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Software license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09"/>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r>
        <w:trPr>
          <w:trHeight w:val="209"/>
        </w:trPr>
        <w:tc>
          <w:tcPr>
            <w:tcW w:w="3000" w:type="dxa"/>
            <w:vAlign w:val="bottom"/>
            <w:tcBorders>
              <w:left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Time-and-materials</w:t>
            </w:r>
          </w:p>
        </w:tc>
      </w:tr>
      <w:tr>
        <w:trPr>
          <w:trHeight w:val="210"/>
        </w:trPr>
        <w:tc>
          <w:tcPr>
            <w:tcW w:w="3000" w:type="dxa"/>
            <w:vAlign w:val="bottom"/>
            <w:tcBorders>
              <w:left w:val="single" w:sz="8" w:color="auto"/>
              <w:bottom w:val="single" w:sz="8" w:color="CCEEFF"/>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Engineering and Consulting</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Unit-based</w:t>
            </w:r>
          </w:p>
        </w:tc>
      </w:tr>
      <w:tr>
        <w:trPr>
          <w:trHeight w:val="209"/>
        </w:trPr>
        <w:tc>
          <w:tcPr>
            <w:tcW w:w="3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Fixed price</w:t>
            </w:r>
          </w:p>
        </w:tc>
        <w:tc>
          <w:tcPr>
            <w:tcW w:w="2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Percentage-of-completion</w:t>
            </w: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Many of the Company’s fixed price contracts involve a high degree of subcontracted fixed price effort and, usually, are relatively short in duration, thereby lowering the risks of not properly estimating the percent complete. 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spacing w:after="0" w:line="188"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the Company’s consolidated contract revenue.</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spacing w:after="0" w:line="194"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spacing w:after="0" w:line="18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spacing w:after="0" w:line="19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spacing w:after="0" w:line="192"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October 3, 2025 and December 27, 2024, contract assets included retainage of $26.7 million and $22.0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right="4579" w:hanging="330"/>
        <w:spacing w:after="0" w:line="443" w:lineRule="auto"/>
        <w:tabs>
          <w:tab w:leader="none" w:pos="23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FINANCIAL STATEMENT DATA </w:t>
      </w:r>
      <w:r>
        <w:rPr>
          <w:rFonts w:ascii="Times New Roman" w:cs="Times New Roman" w:eastAsia="Times New Roman" w:hAnsi="Times New Roman"/>
          <w:sz w:val="18"/>
          <w:szCs w:val="18"/>
          <w:i w:val="1"/>
          <w:iCs w:val="1"/>
          <w:color w:val="212529"/>
        </w:rPr>
        <w:t>Restricted Cash</w:t>
      </w:r>
    </w:p>
    <w:p>
      <w:pPr>
        <w:spacing w:after="0" w:line="2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40" w:type="dxa"/>
            <w:vAlign w:val="bottom"/>
          </w:tcPr>
          <w:p>
            <w:pPr>
              <w:spacing w:after="0"/>
              <w:rPr>
                <w:sz w:val="13"/>
                <w:szCs w:val="13"/>
                <w:color w:val="auto"/>
              </w:rPr>
            </w:pPr>
          </w:p>
        </w:tc>
        <w:tc>
          <w:tcPr>
            <w:tcW w:w="13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160" w:type="dxa"/>
            <w:vAlign w:val="bottom"/>
            <w:tcBorders>
              <w:top w:val="single" w:sz="8" w:color="CCEEFF"/>
            </w:tcBorders>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w:t>
            </w:r>
          </w:p>
        </w:tc>
        <w:tc>
          <w:tcPr>
            <w:tcW w:w="300" w:type="dxa"/>
            <w:vAlign w:val="bottom"/>
            <w:tcBorders>
              <w:top w:val="single" w:sz="8" w:color="auto"/>
            </w:tcBorders>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74,158</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Equipment and Leasehold Improvements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460" w:type="dxa"/>
            <w:vAlign w:val="bottom"/>
          </w:tcPr>
          <w:p>
            <w:pPr>
              <w:spacing w:after="0"/>
              <w:rPr>
                <w:sz w:val="13"/>
                <w:szCs w:val="13"/>
                <w:color w:val="auto"/>
              </w:rPr>
            </w:pP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2"/>
                <w:szCs w:val="12"/>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51,904</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 trucks, and field equipment</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09"/>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70,962</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(46,892)</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(41,428)</w:t>
            </w:r>
          </w:p>
        </w:tc>
      </w:tr>
      <w:tr>
        <w:trPr>
          <w:trHeight w:val="210"/>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3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w:t>
            </w: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Included in accumulated depreciation and amortization is $1.1 million and $1.5 million of amortization expense related to equipment held under finance leases for the nine months ended October 3, 2025 and for fiscal year 2024,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subcontractor costs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withholdings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payroll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 and other</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accounting costs and taxes</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5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Additions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Purchase Cost</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right"/>
              <w:ind w:right="21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40" w:type="dxa"/>
            <w:vAlign w:val="bottom"/>
          </w:tcPr>
          <w:p>
            <w:pPr>
              <w:spacing w:after="0"/>
              <w:rPr>
                <w:sz w:val="18"/>
                <w:szCs w:val="18"/>
                <w:color w:val="auto"/>
              </w:rPr>
            </w:pPr>
          </w:p>
        </w:tc>
        <w:tc>
          <w:tcPr>
            <w:tcW w:w="3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ind w:lef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140,991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October 3, 2025.</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1340" w:type="dxa"/>
            <w:vAlign w:val="bottom"/>
            <w:gridSpan w:val="3"/>
            <w:vMerge w:val="restart"/>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3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jc w:val="center"/>
              <w:ind w:left="57"/>
              <w:spacing w:after="0" w:line="142" w:lineRule="exact"/>
              <w:rPr>
                <w:sz w:val="20"/>
                <w:szCs w:val="20"/>
                <w:color w:val="auto"/>
              </w:rPr>
            </w:pPr>
            <w:r>
              <w:rPr>
                <w:rFonts w:ascii="Times New Roman" w:cs="Times New Roman" w:eastAsia="Times New Roman" w:hAnsi="Times New Roman"/>
                <w:sz w:val="14"/>
                <w:szCs w:val="14"/>
                <w:i w:val="1"/>
                <w:iCs w:val="1"/>
                <w:color w:val="auto"/>
              </w:rPr>
              <w:t>(in years)</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6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16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4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520" w:type="dxa"/>
            <w:vAlign w:val="bottom"/>
          </w:tcPr>
          <w:p>
            <w:pPr>
              <w:spacing w:after="0"/>
              <w:rPr>
                <w:sz w:val="18"/>
                <w:szCs w:val="18"/>
                <w:color w:val="auto"/>
              </w:rPr>
            </w:pP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1.0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Tradename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8.0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118,117</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75,055</w:t>
            </w: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Company uses certain interest rate derivative contracts to hedge interest rate exposures on its variable rate debt. The Company’s hedging program is not designated for trading or speculative purposes.</w:t>
      </w:r>
    </w:p>
    <w:p>
      <w:pPr>
        <w:spacing w:after="0" w:line="16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November 30, 2023, the Company entered into an interest rate swap agreement that the Company designated as cash flow hedge to fix the variable interest rate on a portion of the Company’s Term Loan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for information regarding our indebtedness). The interest rate swap agreement has a total notional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has a fixed annual interest rate of 4.77%, and expires on September 29, 2026. As of October 3, 2025, the effective portion of the Company’s interest rate swap agreement designated as a cash flow hedge before tax effects was $(0.3) million, of which no amounts were reclassified from accumulated other comprehensive income (loss) to interest expense in the nine months ended October 3, 2025. The Company expects to reclassify $0.4 million from accumulated other comprehensive income (loss) to interest expense within the next twelve months.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values of the Company’s outstanding derivatives designated as hedging instruments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Fair Value of Derivative</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Instruments as of</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160" w:type="dxa"/>
            <w:vAlign w:val="bottom"/>
            <w:gridSpan w:val="2"/>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October 3, 2025</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left="61"/>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4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impact of the effective portions of derivative instruments in cash flow hedging relationships and fair value relationships on other comprehensive income (loss) was immaterial to the Company’s condensed consolidated financial statements for the three and nine months ended October 3,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accumulated balances and reporting period activities for the periods below related to reclassifications out of accumulated other comprehensive income (loss) are summarized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Gain (Loss) on</w:t>
            </w:r>
          </w:p>
        </w:tc>
        <w:tc>
          <w:tcPr>
            <w:tcW w:w="22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gridSpan w:val="4"/>
          </w:tcPr>
          <w:p>
            <w:pPr>
              <w:jc w:val="right"/>
              <w:ind w:right="1371"/>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27,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 derivative instruments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April 4,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 derivative instruments</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July 4,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benefit (expense) related to derivative instruments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October 3,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 OBLIGATIONS</w:t>
      </w:r>
    </w:p>
    <w:p>
      <w:pPr>
        <w:spacing w:after="0" w:line="227"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color w:val="auto"/>
        </w:rPr>
        <w:t>Debt obligations, excluding obligations under finance leases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below), consisted of the following:</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New Credit Agreement</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5"/>
          </w:tcPr>
          <w:p>
            <w:pPr>
              <w:jc w:val="right"/>
              <w:ind w:right="65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74"/>
        </w:trPr>
        <w:tc>
          <w:tcPr>
            <w:tcW w:w="53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borrowings on Term Loan A</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borrowings on Delayed Draw Term Loan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Prior Credit Agreement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borrowings on Term Loan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 agreements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0"/>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Subtotal</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r>
        <w:trPr>
          <w:trHeight w:val="209"/>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Long-term debt portion</w:t>
            </w:r>
          </w:p>
        </w:tc>
        <w:tc>
          <w:tcPr>
            <w:tcW w:w="1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Prior Credit Agreement</w:t>
      </w:r>
    </w:p>
    <w:p>
      <w:pPr>
        <w:spacing w:after="0" w:line="2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September 29, 2023 (the “Prior Credit Agreement Closing Date”), the Company and certain of its subsidiaries entered into a credit agreement (the “Prior Credit Agreement”) with a syndicate of financial institutions as lenders and BMO Bank, N.A. (“BMO”), as administrative agent (the “Administrative Agent”).</w:t>
      </w:r>
    </w:p>
    <w:p>
      <w:pPr>
        <w:spacing w:after="0" w:line="176"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The Prior Credit Agreement provided for (i) a $100.0 million term loan (the “Term Loan”) and (ii) a $50.0 million revolving credit facility (the “Prior Revolving Credit Facility”, and collectively with the Term Loan, the “Prior Credit Facilities”), each maturing on September 29, 2026. The Company could also request lenders to add incremental term loans or increase the aggregate commitment under the Prior Revolving Credit Facility by an aggregate amount of up to</w:t>
      </w:r>
    </w:p>
    <w:p>
      <w:pPr>
        <w:spacing w:after="0" w:line="3"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$75.0 million, subject to meeting certain conditions, and only if the lenders agreed to provide such additional term loans or revolving commitments.</w:t>
      </w:r>
    </w:p>
    <w:p>
      <w:pPr>
        <w:spacing w:after="0" w:line="181"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Borrowings under the Prior Credit Facilities bore interest at either a Base Rate (as defined in the Prior Credit Agreement) or the adjusted Secured Overnight Financing Rate (“SOFR”), at the Company’s option, and in each case, plus an applicable margin, which applicable margin ranged from 0.75% to 2.00% with respect to Base Rate borrowings</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and 1.75% to 3.00% with respect to SOFR borrowings, depending on the Company’s Total Net Leverage Ratio (as defined in the Prior Credit Agreement); provided, that SOFR and the Base Rate could not be less than 0.00%, with the specific pricing reset on each date on which the Administrative Agent received the required financial statements under the Prior Credit Agreement for the fiscal quarter then ended. The Company would also pay a commitment fee for the unused portion of the Prior Revolving Credit Facility, which ranged from 0.20% to 0.40% per annum depending on the Company’s Total Net Leverage Ratio, and fees on the face amount of any letters of credit outstanding under the Prior Revolving Credit Facility, which ranged from 1.3125% to 2.25% per annum, in each case, depending on the Company’s Total Net Leverage Ratio, as well as customary fronting fees payable to BMO as letter of credit issuer. In connection with the closing of the Prior Credit Facilities, the Company paid certain other fees and expenses.</w:t>
      </w:r>
    </w:p>
    <w:p>
      <w:pPr>
        <w:spacing w:after="0" w:line="193"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prior Term Loan amortized quarterly in an amount equal to (i) 7.5% per annum for the first year ending after the Prior Credit Agreement Closing Date and (ii) 10.0% per annum for the second and third years ending after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92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Prior Credit Agreement Closing Date, with a final payment of all then remaining principal and interest due on the maturity date of September 29, 2026. The amounts outstanding under the Prior Credit Facilities could be prepaid in whole or in part at any time without penalty (other than customary breakage costs).</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Willdan Group, Inc. was the borrower under the Prior Credit Agreement and its obligations under the Prior Credit Agreement were guaranteed by its present and future domestic subsidiaries (other than inactive subsidiaries). In addition, subject to certain exceptions, all such obligations were secured by substantially all of the assets of Willdan Group, Inc. and the subsidiary guarantors (other than inactive subsidiaries).</w:t>
      </w:r>
    </w:p>
    <w:p>
      <w:pPr>
        <w:spacing w:after="0" w:line="180" w:lineRule="exact"/>
        <w:rPr>
          <w:sz w:val="20"/>
          <w:szCs w:val="20"/>
          <w:color w:val="auto"/>
        </w:rPr>
      </w:pPr>
    </w:p>
    <w:p>
      <w:pPr>
        <w:ind w:left="60" w:right="279" w:firstLine="648"/>
        <w:spacing w:after="0" w:line="270" w:lineRule="auto"/>
        <w:rPr>
          <w:sz w:val="20"/>
          <w:szCs w:val="20"/>
          <w:color w:val="auto"/>
        </w:rPr>
      </w:pPr>
      <w:r>
        <w:rPr>
          <w:rFonts w:ascii="Times New Roman" w:cs="Times New Roman" w:eastAsia="Times New Roman" w:hAnsi="Times New Roman"/>
          <w:sz w:val="17"/>
          <w:szCs w:val="17"/>
          <w:color w:val="auto"/>
        </w:rPr>
        <w:t>The Prior Credit Agreement required compliance with financial covenants, including a maximum Net Leverage Ratio and a minimum Fixed Charge Coverage Ratio (as defined in the Prior Credit Agreement). The Prior Credit Agreement also contained customary restrictive covenants, including (i) restrictions on the incurrence of additional indebtedness and additional liens on property, (ii) restrictions on permitted acquisitions and other investments and</w:t>
      </w:r>
    </w:p>
    <w:p>
      <w:pPr>
        <w:spacing w:after="0" w:line="3" w:lineRule="exact"/>
        <w:rPr>
          <w:sz w:val="20"/>
          <w:szCs w:val="20"/>
          <w:color w:val="auto"/>
        </w:rPr>
      </w:pPr>
    </w:p>
    <w:p>
      <w:pPr>
        <w:ind w:left="60" w:right="99" w:hanging="10"/>
        <w:spacing w:after="0" w:line="250" w:lineRule="auto"/>
        <w:tabs>
          <w:tab w:leader="none" w:pos="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asset sales, mergers and acquisitions. Further, the Prior Credit Agreement limited the Company’s payment of future dividends and distributions and share repurchases by the Company. Subject to certain exceptions, the borrowings under the Prior Credit Agreement were also subject to mandatory prepayment from (a) any issuances of debt or equity securities, (b) any sale or disposition of assets, (c) insurance and condemnation proceeds, and (d) a percentage</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excess cash flow. The Prior Credit Agreement included customary events of default.</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Amended and Restated Credit Agreement</w:t>
      </w:r>
    </w:p>
    <w:p>
      <w:pPr>
        <w:spacing w:after="0" w:line="227"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On May 5, 2025 (the “Closing Date”), the Company entered into the Amended and Restated Credit Agreement (the “Amended and Restated Credit Agreement”) with BMO as Administrative Agent and the lenders party thereto, which amended and restated the Prior Credit Agreement. The Amended and Restated Credit Agreement, (A) increased the borrowing limit under the Prior Revolving Credit Facility to $100.0 million (as amended, the “Revolving Credit Facility”),</w:t>
      </w:r>
    </w:p>
    <w:p>
      <w:pPr>
        <w:spacing w:after="0" w:line="3" w:lineRule="exact"/>
        <w:rPr>
          <w:sz w:val="20"/>
          <w:szCs w:val="20"/>
          <w:color w:val="auto"/>
        </w:rPr>
      </w:pPr>
    </w:p>
    <w:p>
      <w:pPr>
        <w:ind w:left="340" w:hanging="290"/>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Term Loan A (“TLA”) commitment to $50.0 million, (C) provided a new $50.0 million Delayed Draw</w:t>
      </w:r>
    </w:p>
    <w:p>
      <w:pPr>
        <w:spacing w:after="0" w:line="9" w:lineRule="exact"/>
        <w:rPr>
          <w:rFonts w:ascii="Times New Roman" w:cs="Times New Roman" w:eastAsia="Times New Roman" w:hAnsi="Times New Roman"/>
          <w:sz w:val="18"/>
          <w:szCs w:val="18"/>
          <w:color w:val="auto"/>
        </w:rPr>
      </w:pPr>
    </w:p>
    <w:p>
      <w:pPr>
        <w:ind w:left="60" w:right="139"/>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Term Loan (the “Delayed Draw Term Loan”, and together with the Revolving Credit Facility and TLA, the “Amended and Restated Credit Facilities”), and (D) extended the maturity date of the Amended and Restated Credit Facilities to May 5, 2030. The Company may also request lenders to add incremental term loans or increase the aggregate commitment under the Revolving Credit Facility by an aggregate amount of (i) up to $75.0 million or (ii) 1.0x the Company’s last twelve months (“LTM”) Adjusted EBITDA (as calculated pursuant to the Amended and Restated Credit Agreement), subject to meeting certain conditions, and only if the lenders agree to provide such additional term loans or revolving commitments.</w:t>
      </w:r>
    </w:p>
    <w:p>
      <w:pPr>
        <w:spacing w:after="0" w:line="174"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7"/>
          <w:szCs w:val="17"/>
          <w:color w:val="auto"/>
        </w:rPr>
        <w:t>Pursuant to the Amended and Restated Credit Agreement, borrowings under the Amended and Restated Credit Facilities bear interest at either a Base Rate (as defined in the Amended and Restated Credit Agreement) or the adjusted SOFR, at the Company’s option, and in each case, plus an applicable margin, which applicable margin ranges from 0.50% to 1.50% with respect to Base Rate borrowings and 1.50% to 2.50% with respect to SOFR borrowings, depending on the Company’s Total Net Leverage Ratio (as defined in the Amended and Restated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w:t>
      </w: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 In connection with the closing of the Amended and Restated Credit Facilities, the Company paid certain other fees and expenses.</w:t>
      </w:r>
    </w:p>
    <w:p>
      <w:pPr>
        <w:spacing w:after="0" w:line="214"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TLA will amortize quarterly in an amount equal to 5.0% per annum beginning with the first full fiscal quarter ending after the Amended and Restated Credit Agreement Closing Date, with a final payment of all then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40" w:right="90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remaining principal and interest due on the maturity date of May 5, 2030. Each borrowing under the Delayed Draw Term Loan will amortize in an amount equal to 5.0% per annum of the aggregate outstanding borrowings under the Delayed Draw Term Loan, beginning with the first full fiscal quarter ending after the initial borrowing date, with a final payment of all then remaining principal and interest due on the maturity date of May 5, 2030. The amounts outstanding under the Amended and Restated Credit Facilities may be prepaid in whole or in part at any time without penalty (other than customary breakage costs).</w:t>
      </w:r>
    </w:p>
    <w:p>
      <w:pPr>
        <w:spacing w:after="0" w:line="214"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TLA issuance costs are amortized to interest expense over the term of the TLA, and as of October 3, 2025, issuance costs of $0.3 million remained unamortized. The Revolving Credit Facility unamortized issuance costs are included in assets in the accompanying Condensed Consolidated Balance Sheets, and as of October 3, 2025, consisted of $0.6 million.</w:t>
      </w:r>
    </w:p>
    <w:p>
      <w:pPr>
        <w:spacing w:after="0" w:line="22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Willdan Group, Inc. is the borrower under the Amended and Restated Credit Agreement and its obligations under the Amended and Restated Credit Agreement are guaranteed by its present and future domestic subsidiaries (other than inactive subsidiaries). In addition, subject to certain exceptions, all such obligations are secured by substantially all of the assets of Willdan Group, Inc. and the subsidiary guarantors (other than inactive subsidiaries).</w:t>
      </w:r>
    </w:p>
    <w:p>
      <w:pPr>
        <w:spacing w:after="0" w:line="220"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Credit Agreement requires compliance with financial covenants, including a maximum Net Leverage Ratio and a minimum Fixed Charge Coverage Ratio (as defined in the Credit Agreement). The Amended and Restated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Amended and Restated Credit Agreement limits the Company’s payment of future dividends and distributions and share repurchases by the Company. Subject to certain exceptions, the borrowings under the Amended and Restated Credit Agreement are also subject to mandatory prepayment from (a) any issuances of debt or equity securities, (b) any sale or disposition of assets,</w:t>
      </w:r>
    </w:p>
    <w:p>
      <w:pPr>
        <w:spacing w:after="0" w:line="1" w:lineRule="exact"/>
        <w:rPr>
          <w:sz w:val="20"/>
          <w:szCs w:val="20"/>
          <w:color w:val="auto"/>
        </w:rPr>
      </w:pPr>
    </w:p>
    <w:p>
      <w:pPr>
        <w:ind w:left="60" w:right="559" w:hanging="10"/>
        <w:spacing w:after="0" w:line="290" w:lineRule="auto"/>
        <w:tabs>
          <w:tab w:leader="none" w:pos="30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and condemnation proceeds, and (d) a percentage of Excess Cash Flow, as defined in the Amended and Restated Credit Agreement. The Amended and Restated Credit Agreement includes customary events of default.</w:t>
      </w:r>
    </w:p>
    <w:p>
      <w:pPr>
        <w:spacing w:after="0" w:line="184"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October 3, 2025, the Company was in compliance with all these covenants contained in the Amended and Restated Credit Agreement. In addition, as of October 3, 2025, the Company’s composite interest rate, exclusive of the effects of upfront fees, undrawn fees and issuance cost amortization, was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facilities under long-term, non-cancellable operating leases that expire at various dates through 2034. In addition, the Company is obligated under finance leases for certain furniture and office equipment that expire at various dates through 2029.</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one to eight years, some of which may include options to extend the leases for up to five years, and some of which may include options to terminate 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October 3, 2025, the Company had no 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Company’s lease expense: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9"/>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7"/>
                <w:szCs w:val="17"/>
                <w:color w:val="auto"/>
              </w:rPr>
            </w:pPr>
          </w:p>
        </w:tc>
        <w:tc>
          <w:tcPr>
            <w:tcW w:w="250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lease information presented on the Company’s consolidated balance sheet: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4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9"/>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56"/>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280" w:type="dxa"/>
            <w:vAlign w:val="bottom"/>
            <w:tcBorders>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8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80" w:type="dxa"/>
            <w:vAlign w:val="bottom"/>
            <w:shd w:val="clear" w:color="auto" w:fill="CCEEFF"/>
          </w:tcPr>
          <w:p>
            <w:pPr>
              <w:spacing w:after="0"/>
              <w:rPr>
                <w:sz w:val="18"/>
                <w:szCs w:val="18"/>
                <w:color w:val="auto"/>
              </w:rPr>
            </w:pPr>
          </w:p>
        </w:tc>
      </w:tr>
      <w:tr>
        <w:trPr>
          <w:trHeight w:val="250"/>
        </w:trPr>
        <w:tc>
          <w:tcPr>
            <w:tcW w:w="5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80" w:type="dxa"/>
            <w:vAlign w:val="bottom"/>
            <w:tcBorders>
              <w:bottom w:val="single" w:sz="8" w:color="CCEEFF"/>
            </w:tcBorders>
          </w:tcPr>
          <w:p>
            <w:pPr>
              <w:spacing w:after="0"/>
              <w:rPr>
                <w:sz w:val="21"/>
                <w:szCs w:val="21"/>
                <w:color w:val="auto"/>
              </w:rPr>
            </w:pPr>
          </w:p>
        </w:tc>
      </w:tr>
      <w:tr>
        <w:trPr>
          <w:trHeight w:val="196"/>
        </w:trPr>
        <w:tc>
          <w:tcPr>
            <w:tcW w:w="5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8"/>
        </w:trPr>
        <w:tc>
          <w:tcPr>
            <w:tcW w:w="5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Finance leases (included in equipment and leasehold improvements,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and leasehold improvements,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(4,869)</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(4,662)</w:t>
            </w:r>
          </w:p>
        </w:tc>
      </w:tr>
      <w:tr>
        <w:trPr>
          <w:trHeight w:val="209"/>
        </w:trPr>
        <w:tc>
          <w:tcPr>
            <w:tcW w:w="53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equipment and leasehold improvements,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80" w:type="dxa"/>
            <w:vAlign w:val="bottom"/>
            <w:tcBorders>
              <w:bottom w:val="single" w:sz="8" w:color="CCEEFF"/>
            </w:tcBorders>
          </w:tcPr>
          <w:p>
            <w:pPr>
              <w:spacing w:after="0"/>
              <w:rPr>
                <w:sz w:val="18"/>
                <w:szCs w:val="18"/>
                <w:color w:val="auto"/>
              </w:rPr>
            </w:pPr>
          </w:p>
        </w:tc>
      </w:tr>
      <w:tr>
        <w:trPr>
          <w:trHeight w:val="209"/>
        </w:trPr>
        <w:tc>
          <w:tcPr>
            <w:tcW w:w="53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finance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6.89 %</w:t>
            </w:r>
          </w:p>
        </w:tc>
        <w:tc>
          <w:tcPr>
            <w:tcW w:w="3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6.97 %</w:t>
            </w: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6.21 %</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6.87 %</w:t>
            </w:r>
          </w:p>
        </w:tc>
      </w:tr>
    </w:tbl>
    <w:p>
      <w:pPr>
        <w:spacing w:after="0" w:line="198" w:lineRule="exact"/>
        <w:rPr>
          <w:sz w:val="20"/>
          <w:szCs w:val="20"/>
          <w:color w:val="auto"/>
        </w:rPr>
      </w:pPr>
    </w:p>
    <w:p>
      <w:pPr>
        <w:jc w:val="both"/>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Rent expense was $1.6 million and $5.1 million for the three and nine months ended October 3, 2025 respectively, as compared to $1.7 million and $5.2 million for the three and nine months ended September 27, 2024, respectively.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0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9"/>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 from operating leases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5,103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2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1,142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4,834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Company’s maturities of lease liabilities as of October 3,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42"/>
        </w:trPr>
        <w:tc>
          <w:tcPr>
            <w:tcW w:w="6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612"/>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2"/>
                <w:szCs w:val="1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Remainder of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 and thereafter</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r>
      <w:tr>
        <w:trPr>
          <w:trHeight w:val="21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18"/>
                <w:szCs w:val="18"/>
                <w:color w:val="auto"/>
              </w:rPr>
            </w:pPr>
          </w:p>
        </w:tc>
      </w:tr>
      <w:tr>
        <w:trPr>
          <w:trHeight w:val="21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right="4099" w:hanging="330"/>
        <w:spacing w:after="0" w:line="503" w:lineRule="auto"/>
        <w:tabs>
          <w:tab w:leader="none" w:pos="2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VARIABLE INTEREST ENTITIES </w:t>
      </w:r>
      <w:r>
        <w:rPr>
          <w:rFonts w:ascii="Times New Roman" w:cs="Times New Roman" w:eastAsia="Times New Roman" w:hAnsi="Times New Roman"/>
          <w:sz w:val="18"/>
          <w:szCs w:val="18"/>
          <w:i w:val="1"/>
          <w:iCs w:val="1"/>
          <w:color w:val="auto"/>
        </w:rPr>
        <w:t>Employee Benefit Plans</w:t>
      </w: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a qualified profit sharing plan pursuant to Code Section 401(a) and qualified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Plan, the Company may make discretionary contributions to employee accounts.</w:t>
      </w:r>
    </w:p>
    <w:p>
      <w:pPr>
        <w:spacing w:after="0" w:line="180" w:lineRule="exact"/>
        <w:rPr>
          <w:sz w:val="20"/>
          <w:szCs w:val="20"/>
          <w:color w:val="auto"/>
        </w:rPr>
      </w:pPr>
    </w:p>
    <w:p>
      <w:pPr>
        <w:ind w:left="60" w:right="939"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October 3, 2025 and September 27, 2024, the Company made matching contributions of $2.4 million and $2.1 million,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October 3, 2025, the Company had one VIE — Genesys.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right="4539" w:hanging="330"/>
        <w:spacing w:after="0" w:line="503" w:lineRule="auto"/>
        <w:tabs>
          <w:tab w:leader="none" w:pos="23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GEOGRAPHICAL INFORMATION </w:t>
      </w:r>
      <w:r>
        <w:rPr>
          <w:rFonts w:ascii="Times New Roman" w:cs="Times New Roman" w:eastAsia="Times New Roman" w:hAnsi="Times New Roman"/>
          <w:sz w:val="18"/>
          <w:szCs w:val="18"/>
          <w:i w:val="1"/>
          <w:iCs w:val="1"/>
          <w:color w:val="auto"/>
        </w:rPr>
        <w:t>Segment Information</w:t>
      </w: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The Company’s two segments are Energy, and Engineering and Consulting, and the Company’s chief operating decision maker, which continues to be its chief executive officer, receives and reviews financial information in this format.</w:t>
      </w:r>
    </w:p>
    <w:p>
      <w:pPr>
        <w:spacing w:after="0" w:line="140"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ASU 2023-07, the Company’s chief operating decision maker (“CODM”) evaluates the performance of each segment based upon the information provided below.</w:t>
      </w:r>
    </w:p>
    <w:p>
      <w:pPr>
        <w:spacing w:after="0" w:line="162"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intersegment sales during the three and nine months ended October 3, 2025 and September 27, 2024. In addition, enterprise-wide service line contract revenue is not included as it is impracticable to report this information for each group of similar services.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7"/>
              </w:rPr>
              <w:t>Engineering</w:t>
            </w:r>
          </w:p>
        </w:tc>
        <w:tc>
          <w:tcPr>
            <w:tcW w:w="140" w:type="dxa"/>
            <w:vAlign w:val="bottom"/>
          </w:tcPr>
          <w:p>
            <w:pPr>
              <w:spacing w:after="0"/>
              <w:rPr>
                <w:sz w:val="12"/>
                <w:szCs w:val="12"/>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Unallocated</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r>
      <w:tr>
        <w:trPr>
          <w:trHeight w:val="162"/>
        </w:trPr>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10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&amp; Consulting</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0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9"/>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18"/>
                <w:szCs w:val="18"/>
                <w:color w:val="auto"/>
                <w:vertAlign w:val="superscript"/>
              </w:rPr>
              <w:t>(1)</w:t>
            </w:r>
          </w:p>
        </w:tc>
      </w:tr>
      <w:tr>
        <w:trPr>
          <w:trHeight w:val="128"/>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3"/>
                <w:szCs w:val="13"/>
                <w:i w:val="1"/>
                <w:iCs w:val="1"/>
                <w:color w:val="auto"/>
                <w:w w:val="96"/>
              </w:rPr>
              <w:t>(in thousands)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4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Three Months Ended October 3, 2025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154,750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27,256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182,006</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85,536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1,503</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87,039</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17,169</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10,709</w:t>
            </w:r>
          </w:p>
        </w:tc>
        <w:tc>
          <w:tcPr>
            <w:tcW w:w="1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27,878</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52,045</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15,044</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67,089</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35,793</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9,878</w:t>
            </w:r>
          </w:p>
        </w:tc>
        <w:tc>
          <w:tcPr>
            <w:tcW w:w="1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2,643</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48,314</w:t>
            </w:r>
          </w:p>
        </w:tc>
      </w:tr>
      <w:tr>
        <w:trPr>
          <w:trHeight w:val="162"/>
        </w:trPr>
        <w:tc>
          <w:tcPr>
            <w:tcW w:w="40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3"/>
                <w:szCs w:val="13"/>
                <w:color w:val="auto"/>
              </w:rPr>
              <w:t xml:space="preserve">EBITDA </w:t>
            </w:r>
            <w:r>
              <w:rPr>
                <w:rFonts w:ascii="Times New Roman" w:cs="Times New Roman" w:eastAsia="Times New Roman" w:hAnsi="Times New Roman"/>
                <w:sz w:val="18"/>
                <w:szCs w:val="18"/>
                <w:color w:val="auto"/>
                <w:vertAlign w:val="superscript"/>
              </w:rPr>
              <w:t>(2)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16,269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5,165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(2,329)</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19,105</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902</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3,451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462</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12,818</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4,702</w:t>
            </w:r>
          </w:p>
        </w:tc>
        <w:tc>
          <w:tcPr>
            <w:tcW w:w="1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(3,230)</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14,290</w:t>
            </w:r>
          </w:p>
        </w:tc>
      </w:tr>
      <w:tr>
        <w:trPr>
          <w:trHeight w:val="16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(1,205)</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6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11,709</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4,038</w:t>
            </w:r>
          </w:p>
        </w:tc>
        <w:tc>
          <w:tcPr>
            <w:tcW w:w="1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13,721</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Segment assets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428,984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40,979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61,092</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(23,130)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507,925</w:t>
            </w:r>
          </w:p>
        </w:tc>
      </w:tr>
      <w:tr>
        <w:trPr>
          <w:trHeight w:val="149"/>
        </w:trPr>
        <w:tc>
          <w:tcPr>
            <w:tcW w:w="4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Nine Months Ended October 3, 2025</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507,865</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228,410</w:t>
            </w:r>
          </w:p>
        </w:tc>
        <w:tc>
          <w:tcPr>
            <w:tcW w:w="1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4,182</w:t>
            </w:r>
          </w:p>
        </w:tc>
        <w:tc>
          <w:tcPr>
            <w:tcW w:w="14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232,592</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49,886</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32,312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82,198</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149,451</w:t>
            </w:r>
          </w:p>
        </w:tc>
        <w:tc>
          <w:tcPr>
            <w:tcW w:w="1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43,624</w:t>
            </w:r>
          </w:p>
        </w:tc>
        <w:tc>
          <w:tcPr>
            <w:tcW w:w="14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193,075</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106,219</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29,507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145,504</w:t>
            </w: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42,518</w:t>
            </w:r>
          </w:p>
        </w:tc>
        <w:tc>
          <w:tcPr>
            <w:tcW w:w="1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14,112</w:t>
            </w:r>
          </w:p>
        </w:tc>
        <w:tc>
          <w:tcPr>
            <w:tcW w:w="14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(8,219)</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48,411</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4,890</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4,890</w:t>
            </w:r>
          </w:p>
        </w:tc>
      </w:tr>
      <w:tr>
        <w:trPr>
          <w:trHeight w:val="149"/>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12,346</w:t>
            </w:r>
          </w:p>
        </w:tc>
        <w:tc>
          <w:tcPr>
            <w:tcW w:w="1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1,511</w:t>
            </w:r>
          </w:p>
        </w:tc>
        <w:tc>
          <w:tcPr>
            <w:tcW w:w="14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13,857</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30,173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12,600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(13,109)</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29,664</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(4,252)</w:t>
            </w:r>
          </w:p>
        </w:tc>
        <w:tc>
          <w:tcPr>
            <w:tcW w:w="16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(1,775)</w:t>
            </w:r>
          </w:p>
        </w:tc>
        <w:tc>
          <w:tcPr>
            <w:tcW w:w="14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(4,180)</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34,424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14,376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(14,956)</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33,844</w:t>
            </w:r>
          </w:p>
        </w:tc>
      </w:tr>
      <w:tr>
        <w:trPr>
          <w:trHeight w:val="285"/>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Segment assets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428,984</w:t>
            </w:r>
          </w:p>
        </w:tc>
        <w:tc>
          <w:tcPr>
            <w:tcW w:w="1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40,979</w:t>
            </w:r>
          </w:p>
        </w:tc>
        <w:tc>
          <w:tcPr>
            <w:tcW w:w="140" w:type="dxa"/>
            <w:vAlign w:val="bottom"/>
          </w:tcPr>
          <w:p>
            <w:pPr>
              <w:spacing w:after="0"/>
              <w:rPr>
                <w:sz w:val="24"/>
                <w:szCs w:val="2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61,092</w:t>
            </w:r>
          </w:p>
        </w:tc>
        <w:tc>
          <w:tcPr>
            <w:tcW w:w="3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(23,130)</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0"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29" w:lineRule="exact"/>
        <w:rPr>
          <w:rFonts w:ascii="Times New Roman" w:cs="Times New Roman" w:eastAsia="Times New Roman" w:hAnsi="Times New Roman"/>
          <w:sz w:val="11"/>
          <w:szCs w:val="11"/>
          <w:i w:val="1"/>
          <w:iCs w:val="1"/>
          <w:color w:val="auto"/>
        </w:rPr>
      </w:pPr>
    </w:p>
    <w:p>
      <w:pPr>
        <w:ind w:left="720" w:hanging="319"/>
        <w:spacing w:after="0"/>
        <w:tabs>
          <w:tab w:leader="none" w:pos="720" w:val="left"/>
        </w:tabs>
        <w:numPr>
          <w:ilvl w:val="0"/>
          <w:numId w:val="1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“EBITDA” is defined as earnings before interest, taxes, depreciation and amortization.</w:t>
      </w:r>
    </w:p>
    <w:p>
      <w:pPr>
        <w:spacing w:after="0" w:line="28" w:lineRule="exact"/>
        <w:rPr>
          <w:rFonts w:ascii="Times New Roman" w:cs="Times New Roman" w:eastAsia="Times New Roman" w:hAnsi="Times New Roman"/>
          <w:sz w:val="11"/>
          <w:szCs w:val="11"/>
          <w:i w:val="1"/>
          <w:iCs w:val="1"/>
          <w:color w:val="auto"/>
        </w:rPr>
      </w:pPr>
    </w:p>
    <w:p>
      <w:pPr>
        <w:ind w:left="720" w:hanging="319"/>
        <w:spacing w:after="0"/>
        <w:tabs>
          <w:tab w:leader="none" w:pos="720" w:val="left"/>
        </w:tabs>
        <w:numPr>
          <w:ilvl w:val="0"/>
          <w:numId w:val="1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Segment assets are presented net of intercompany receivables.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7"/>
              </w:rPr>
              <w:t>Engineering</w:t>
            </w:r>
          </w:p>
        </w:tc>
        <w:tc>
          <w:tcPr>
            <w:tcW w:w="180" w:type="dxa"/>
            <w:vAlign w:val="bottom"/>
          </w:tcPr>
          <w:p>
            <w:pPr>
              <w:spacing w:after="0"/>
              <w:rPr>
                <w:sz w:val="12"/>
                <w:szCs w:val="12"/>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Unallocated</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r>
      <w:tr>
        <w:trPr>
          <w:trHeight w:val="162"/>
        </w:trPr>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9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&amp; Consulting</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0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9"/>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18"/>
                <w:szCs w:val="18"/>
                <w:color w:val="auto"/>
                <w:vertAlign w:val="superscript"/>
              </w:rPr>
              <w:t>(1)</w:t>
            </w:r>
          </w:p>
        </w:tc>
      </w:tr>
      <w:tr>
        <w:trPr>
          <w:trHeight w:val="128"/>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3"/>
                <w:szCs w:val="13"/>
                <w:i w:val="1"/>
                <w:iCs w:val="1"/>
                <w:color w:val="auto"/>
                <w:w w:val="96"/>
              </w:rPr>
              <w:t>(in thousands)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8"/>
        </w:trPr>
        <w:tc>
          <w:tcPr>
            <w:tcW w:w="4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Three Months Ended September 27, 2024</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134,036</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24,216</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158,252</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81,805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82,563</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14,212</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9,876</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24,088</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38,019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13,582</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51,601</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28,532</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8,924</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1,755</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39,211</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9,513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4,658</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13,153</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3,337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6,176</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4,280</w:t>
            </w:r>
          </w:p>
        </w:tc>
        <w:tc>
          <w:tcPr>
            <w:tcW w:w="18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(2,953)</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7,503</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6,202</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4,194</w:t>
            </w:r>
          </w:p>
        </w:tc>
        <w:tc>
          <w:tcPr>
            <w:tcW w:w="18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(3,050)</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7,346</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Segment assets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348,617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29,523</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92,243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(23,130)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447,253</w:t>
            </w:r>
          </w:p>
        </w:tc>
      </w:tr>
      <w:tr>
        <w:trPr>
          <w:trHeight w:val="149"/>
        </w:trPr>
        <w:tc>
          <w:tcPr>
            <w:tcW w:w="4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Nine Months Ended September 27, 2024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352,634</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69,103</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421,737</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subcontractor services and other direct costs</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202,015</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2,652</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204,667</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Direct salaries and wages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40,430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28,817</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69,247</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110,189</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37,634</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147,823</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indirect costs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84,874</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26,884</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4,645</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116,403</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25,686</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10,745</w:t>
            </w:r>
          </w:p>
        </w:tc>
        <w:tc>
          <w:tcPr>
            <w:tcW w:w="18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(2,718)</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33,713</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6,031</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6,031</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9,800</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1,137</w:t>
            </w:r>
          </w:p>
        </w:tc>
        <w:tc>
          <w:tcPr>
            <w:tcW w:w="180" w:type="dxa"/>
            <w:vAlign w:val="bottom"/>
          </w:tcPr>
          <w:p>
            <w:pPr>
              <w:spacing w:after="0"/>
              <w:rPr>
                <w:sz w:val="12"/>
                <w:szCs w:val="12"/>
                <w:color w:val="auto"/>
              </w:rPr>
            </w:pPr>
          </w:p>
        </w:tc>
        <w:tc>
          <w:tcPr>
            <w:tcW w:w="8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10,937</w:t>
            </w:r>
          </w:p>
        </w:tc>
      </w:tr>
      <w:tr>
        <w:trPr>
          <w:trHeight w:val="148"/>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Segment profit (loss) before income tax expense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15,886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9,608</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(8,749)</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16,745</w:t>
            </w:r>
          </w:p>
        </w:tc>
      </w:tr>
      <w:tr>
        <w:trPr>
          <w:trHeight w:val="148"/>
        </w:trPr>
        <w:tc>
          <w:tcPr>
            <w:tcW w:w="40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18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(973)</w:t>
            </w:r>
          </w:p>
        </w:tc>
        <w:tc>
          <w:tcPr>
            <w:tcW w:w="3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w:t>
            </w:r>
          </w:p>
        </w:tc>
      </w:tr>
      <w:tr>
        <w:trPr>
          <w:trHeight w:val="149"/>
        </w:trPr>
        <w:tc>
          <w:tcPr>
            <w:tcW w:w="40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14,119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(7,776)</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14,882</w:t>
            </w:r>
          </w:p>
        </w:tc>
      </w:tr>
      <w:tr>
        <w:trPr>
          <w:trHeight w:val="285"/>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Segment assets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348,617</w:t>
            </w: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29,523</w:t>
            </w:r>
          </w:p>
        </w:tc>
        <w:tc>
          <w:tcPr>
            <w:tcW w:w="180" w:type="dxa"/>
            <w:vAlign w:val="bottom"/>
          </w:tcPr>
          <w:p>
            <w:pPr>
              <w:spacing w:after="0"/>
              <w:rPr>
                <w:sz w:val="24"/>
                <w:szCs w:val="2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92,243</w:t>
            </w:r>
          </w:p>
        </w:tc>
        <w:tc>
          <w:tcPr>
            <w:tcW w:w="3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(23,130)</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0"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29" w:lineRule="exact"/>
        <w:rPr>
          <w:rFonts w:ascii="Times New Roman" w:cs="Times New Roman" w:eastAsia="Times New Roman" w:hAnsi="Times New Roman"/>
          <w:sz w:val="11"/>
          <w:szCs w:val="11"/>
          <w:i w:val="1"/>
          <w:iCs w:val="1"/>
          <w:color w:val="auto"/>
        </w:rPr>
      </w:pPr>
    </w:p>
    <w:p>
      <w:pPr>
        <w:ind w:left="720" w:hanging="319"/>
        <w:spacing w:after="0"/>
        <w:tabs>
          <w:tab w:leader="none" w:pos="720" w:val="left"/>
        </w:tabs>
        <w:numPr>
          <w:ilvl w:val="0"/>
          <w:numId w:val="1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“EBITDA” is defined as earnings before interest, taxes, depreciation and amortization.</w:t>
      </w:r>
    </w:p>
    <w:p>
      <w:pPr>
        <w:spacing w:after="0" w:line="28" w:lineRule="exact"/>
        <w:rPr>
          <w:rFonts w:ascii="Times New Roman" w:cs="Times New Roman" w:eastAsia="Times New Roman" w:hAnsi="Times New Roman"/>
          <w:sz w:val="11"/>
          <w:szCs w:val="11"/>
          <w:i w:val="1"/>
          <w:iCs w:val="1"/>
          <w:color w:val="auto"/>
        </w:rPr>
      </w:pPr>
    </w:p>
    <w:p>
      <w:pPr>
        <w:ind w:left="720" w:hanging="319"/>
        <w:spacing w:after="0"/>
        <w:tabs>
          <w:tab w:leader="none" w:pos="720" w:val="left"/>
        </w:tabs>
        <w:numPr>
          <w:ilvl w:val="0"/>
          <w:numId w:val="1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Segment assets are presented net of intercompany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disaggregated revenue by contract type, client type and geographical region: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Three months ended October 3, 2025</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40" w:type="dxa"/>
            <w:vAlign w:val="bottom"/>
          </w:tcPr>
          <w:p>
            <w:pPr>
              <w:spacing w:after="0"/>
              <w:rPr>
                <w:sz w:val="10"/>
                <w:szCs w:val="10"/>
                <w:color w:val="auto"/>
              </w:rPr>
            </w:pPr>
          </w:p>
        </w:tc>
        <w:tc>
          <w:tcPr>
            <w:tcW w:w="9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12,866</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18,382</w:t>
            </w:r>
          </w:p>
        </w:tc>
        <w:tc>
          <w:tcPr>
            <w:tcW w:w="140" w:type="dxa"/>
            <w:vAlign w:val="bottom"/>
          </w:tcPr>
          <w:p>
            <w:pPr>
              <w:spacing w:after="0"/>
              <w:rPr>
                <w:sz w:val="12"/>
                <w:szCs w:val="12"/>
                <w:color w:val="auto"/>
              </w:rPr>
            </w:pPr>
          </w:p>
        </w:tc>
        <w:tc>
          <w:tcPr>
            <w:tcW w:w="4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31,248</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6,965</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65,217</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83,632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85,541</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154,750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27,256</w:t>
            </w: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140" w:type="dxa"/>
            <w:vAlign w:val="bottom"/>
          </w:tcPr>
          <w:p>
            <w:pPr>
              <w:spacing w:after="0"/>
              <w:rPr>
                <w:sz w:val="12"/>
                <w:szCs w:val="12"/>
                <w:color w:val="auto"/>
              </w:rPr>
            </w:pPr>
          </w:p>
        </w:tc>
        <w:tc>
          <w:tcPr>
            <w:tcW w:w="4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17,887</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25,256</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89,843</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74,221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74,276</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154,750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27,256</w:t>
            </w: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154,750</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27,256</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Nine months ended October 3, 2025</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20" w:type="dxa"/>
            <w:vAlign w:val="bottom"/>
          </w:tcPr>
          <w:p>
            <w:pPr>
              <w:spacing w:after="0"/>
              <w:rPr>
                <w:sz w:val="10"/>
                <w:szCs w:val="10"/>
                <w:color w:val="auto"/>
              </w:rPr>
            </w:pPr>
          </w:p>
        </w:tc>
        <w:tc>
          <w:tcPr>
            <w:tcW w:w="9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36,201</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55,341</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91,542</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19,707</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183,916</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227,337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232,407</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507,865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47,550</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53,061</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74,452</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243,202</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211,447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211,602</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507,865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Three months ended September 27, 2024</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40" w:type="dxa"/>
            <w:vAlign w:val="bottom"/>
          </w:tcPr>
          <w:p>
            <w:pPr>
              <w:spacing w:after="0"/>
              <w:rPr>
                <w:sz w:val="10"/>
                <w:szCs w:val="10"/>
                <w:color w:val="auto"/>
              </w:rPr>
            </w:pPr>
          </w:p>
        </w:tc>
        <w:tc>
          <w:tcPr>
            <w:tcW w:w="13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80" w:type="dxa"/>
            <w:vAlign w:val="bottom"/>
          </w:tcPr>
          <w:p>
            <w:pPr>
              <w:spacing w:after="0"/>
              <w:rPr>
                <w:sz w:val="10"/>
                <w:szCs w:val="10"/>
                <w:color w:val="auto"/>
              </w:rPr>
            </w:pPr>
          </w:p>
        </w:tc>
        <w:tc>
          <w:tcPr>
            <w:tcW w:w="8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17,767</w:t>
            </w:r>
          </w:p>
        </w:tc>
        <w:tc>
          <w:tcPr>
            <w:tcW w:w="140" w:type="dxa"/>
            <w:vAlign w:val="bottom"/>
          </w:tcPr>
          <w:p>
            <w:pPr>
              <w:spacing w:after="0"/>
              <w:rPr>
                <w:sz w:val="12"/>
                <w:szCs w:val="12"/>
                <w:color w:val="auto"/>
              </w:rPr>
            </w:pP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52,487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57,480</w:t>
            </w:r>
          </w:p>
        </w:tc>
        <w:tc>
          <w:tcPr>
            <w:tcW w:w="0" w:type="dxa"/>
            <w:vAlign w:val="bottom"/>
          </w:tcPr>
          <w:p>
            <w:pPr>
              <w:spacing w:after="0"/>
              <w:rPr>
                <w:sz w:val="1"/>
                <w:szCs w:val="1"/>
                <w:color w:val="auto"/>
              </w:rPr>
            </w:pPr>
          </w:p>
        </w:tc>
      </w:tr>
      <w:tr>
        <w:trPr>
          <w:trHeight w:val="148"/>
        </w:trPr>
        <w:tc>
          <w:tcPr>
            <w:tcW w:w="45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73,596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75,052</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134,036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24,216</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158,252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7,964</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w:t>
            </w:r>
          </w:p>
        </w:tc>
        <w:tc>
          <w:tcPr>
            <w:tcW w:w="140" w:type="dxa"/>
            <w:vAlign w:val="bottom"/>
          </w:tcPr>
          <w:p>
            <w:pPr>
              <w:spacing w:after="0"/>
              <w:rPr>
                <w:sz w:val="12"/>
                <w:szCs w:val="12"/>
                <w:color w:val="auto"/>
              </w:rPr>
            </w:pP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9,932</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22,155</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83,270</w:t>
            </w:r>
          </w:p>
        </w:tc>
        <w:tc>
          <w:tcPr>
            <w:tcW w:w="0" w:type="dxa"/>
            <w:vAlign w:val="bottom"/>
          </w:tcPr>
          <w:p>
            <w:pPr>
              <w:spacing w:after="0"/>
              <w:rPr>
                <w:sz w:val="1"/>
                <w:szCs w:val="1"/>
                <w:color w:val="auto"/>
              </w:rPr>
            </w:pPr>
          </w:p>
        </w:tc>
      </w:tr>
      <w:tr>
        <w:trPr>
          <w:trHeight w:val="148"/>
        </w:trPr>
        <w:tc>
          <w:tcPr>
            <w:tcW w:w="45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64,957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65,050</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134,036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24,216</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158,252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134,036</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24,216</w:t>
            </w: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158,252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Nine months ended September 27, 2024</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40" w:type="dxa"/>
            <w:vAlign w:val="bottom"/>
          </w:tcPr>
          <w:p>
            <w:pPr>
              <w:spacing w:after="0"/>
              <w:rPr>
                <w:sz w:val="10"/>
                <w:szCs w:val="10"/>
                <w:color w:val="auto"/>
              </w:rPr>
            </w:pPr>
          </w:p>
        </w:tc>
        <w:tc>
          <w:tcPr>
            <w:tcW w:w="13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60" w:type="dxa"/>
            <w:vAlign w:val="bottom"/>
          </w:tcPr>
          <w:p>
            <w:pPr>
              <w:spacing w:after="0"/>
              <w:rPr>
                <w:sz w:val="10"/>
                <w:szCs w:val="10"/>
                <w:color w:val="auto"/>
              </w:rPr>
            </w:pPr>
          </w:p>
        </w:tc>
        <w:tc>
          <w:tcPr>
            <w:tcW w:w="9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25,190</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51,193</w:t>
            </w:r>
          </w:p>
        </w:tc>
        <w:tc>
          <w:tcPr>
            <w:tcW w:w="140" w:type="dxa"/>
            <w:vAlign w:val="bottom"/>
          </w:tcPr>
          <w:p>
            <w:pPr>
              <w:spacing w:after="0"/>
              <w:rPr>
                <w:sz w:val="12"/>
                <w:szCs w:val="12"/>
                <w:color w:val="auto"/>
              </w:rPr>
            </w:pPr>
          </w:p>
        </w:tc>
        <w:tc>
          <w:tcPr>
            <w:tcW w:w="4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76,383</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14,375</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161,397</w:t>
            </w:r>
          </w:p>
        </w:tc>
        <w:tc>
          <w:tcPr>
            <w:tcW w:w="0" w:type="dxa"/>
            <w:vAlign w:val="bottom"/>
          </w:tcPr>
          <w:p>
            <w:pPr>
              <w:spacing w:after="0"/>
              <w:rPr>
                <w:sz w:val="1"/>
                <w:szCs w:val="1"/>
                <w:color w:val="auto"/>
              </w:rPr>
            </w:pPr>
          </w:p>
        </w:tc>
      </w:tr>
      <w:tr>
        <w:trPr>
          <w:trHeight w:val="148"/>
        </w:trPr>
        <w:tc>
          <w:tcPr>
            <w:tcW w:w="45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183,957</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352,634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69,103</w:t>
            </w: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23,858</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5,281</w:t>
            </w:r>
          </w:p>
        </w:tc>
        <w:tc>
          <w:tcPr>
            <w:tcW w:w="140" w:type="dxa"/>
            <w:vAlign w:val="bottom"/>
          </w:tcPr>
          <w:p>
            <w:pPr>
              <w:spacing w:after="0"/>
              <w:rPr>
                <w:sz w:val="12"/>
                <w:szCs w:val="12"/>
                <w:color w:val="auto"/>
              </w:rPr>
            </w:pPr>
          </w:p>
        </w:tc>
        <w:tc>
          <w:tcPr>
            <w:tcW w:w="4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29,139</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63,614</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212,017</w:t>
            </w:r>
          </w:p>
        </w:tc>
        <w:tc>
          <w:tcPr>
            <w:tcW w:w="0" w:type="dxa"/>
            <w:vAlign w:val="bottom"/>
          </w:tcPr>
          <w:p>
            <w:pPr>
              <w:spacing w:after="0"/>
              <w:rPr>
                <w:sz w:val="1"/>
                <w:szCs w:val="1"/>
                <w:color w:val="auto"/>
              </w:rPr>
            </w:pPr>
          </w:p>
        </w:tc>
      </w:tr>
      <w:tr>
        <w:trPr>
          <w:trHeight w:val="148"/>
        </w:trPr>
        <w:tc>
          <w:tcPr>
            <w:tcW w:w="45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180,373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180,581</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352,634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69,103</w:t>
            </w: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352,634</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69,103</w:t>
            </w:r>
          </w:p>
        </w:tc>
        <w:tc>
          <w:tcPr>
            <w:tcW w:w="140" w:type="dxa"/>
            <w:vAlign w:val="bottom"/>
          </w:tcPr>
          <w:p>
            <w:pPr>
              <w:spacing w:after="0"/>
              <w:rPr>
                <w:sz w:val="12"/>
                <w:szCs w:val="12"/>
                <w:color w:val="auto"/>
              </w:rPr>
            </w:pPr>
          </w:p>
        </w:tc>
        <w:tc>
          <w:tcPr>
            <w:tcW w:w="460" w:type="dxa"/>
            <w:vAlign w:val="bottom"/>
            <w:tcBorders>
              <w:bottom w:val="single" w:sz="8" w:color="auto"/>
            </w:tcBorders>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5" w:lineRule="exact"/>
        <w:rPr>
          <w:rFonts w:ascii="Times New Roman" w:cs="Times New Roman" w:eastAsia="Times New Roman" w:hAnsi="Times New Roman"/>
          <w:sz w:val="12"/>
          <w:szCs w:val="12"/>
          <w:i w:val="1"/>
          <w:iCs w:val="1"/>
          <w:color w:val="auto"/>
        </w:rPr>
      </w:pPr>
    </w:p>
    <w:p>
      <w:pPr>
        <w:ind w:left="720" w:hanging="319"/>
        <w:spacing w:after="0" w:line="221" w:lineRule="auto"/>
        <w:tabs>
          <w:tab w:leader="none" w:pos="720" w:val="left"/>
        </w:tabs>
        <w:numPr>
          <w:ilvl w:val="0"/>
          <w:numId w:val="1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Includes the portion of revenue related to small business programs paid by the end user/customer.</w:t>
      </w:r>
    </w:p>
    <w:p>
      <w:pPr>
        <w:ind w:left="720" w:right="319" w:hanging="319"/>
        <w:spacing w:after="0" w:line="239" w:lineRule="auto"/>
        <w:tabs>
          <w:tab w:leader="none" w:pos="720" w:val="left"/>
        </w:tabs>
        <w:numPr>
          <w:ilvl w:val="0"/>
          <w:numId w:val="1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Revenue from the Company’s foreign operations was not material for the three and nine months ended October 3, 2025 and September 27, 2024.</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and nine months ended October 3, 2025, nor for the three and nine months ended September 27,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October 3, 2025, the Company’s top 10 customers accounted for 54.8%, and 52.3%, respectively, of the Company’s consolidated contract revenue. For the three and nine months ended September 27, 2024, the Company’s top 10 customers accounted for 49.1%, and 49.5%, respectively, of the Company’s consolidated contract revenue.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three and nine months ended October 3, 2025, the Company had individual customers that accounted</w:t>
      </w:r>
    </w:p>
    <w:p>
      <w:pPr>
        <w:spacing w:after="0" w:line="2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for more than 10% of its consolidated contract revenue. For the three months ended October 3, 2025, the Company derived 26.8% of its consolidated contract revenue from two customers, Southern California Edison and Clark County School District. For the nine months ended October 3, 2025, the Company derived 25.8% of its consolidated contract revenue from two customers, Southern California Edison and Clark County School District. For the three and nine months ended September 27, 2024, the Company had no individual customers that accounted for more than 10% of its consolidated contract revenue.</w:t>
      </w:r>
    </w:p>
    <w:p>
      <w:pPr>
        <w:spacing w:after="0" w:line="190" w:lineRule="exact"/>
        <w:rPr>
          <w:sz w:val="20"/>
          <w:szCs w:val="20"/>
          <w:color w:val="auto"/>
        </w:rPr>
      </w:pPr>
    </w:p>
    <w:p>
      <w:pPr>
        <w:ind w:left="60" w:right="279" w:firstLine="693"/>
        <w:spacing w:after="0" w:line="268" w:lineRule="auto"/>
        <w:rPr>
          <w:sz w:val="20"/>
          <w:szCs w:val="20"/>
          <w:color w:val="auto"/>
        </w:rPr>
      </w:pPr>
      <w:r>
        <w:rPr>
          <w:rFonts w:ascii="Times New Roman" w:cs="Times New Roman" w:eastAsia="Times New Roman" w:hAnsi="Times New Roman"/>
          <w:sz w:val="17"/>
          <w:szCs w:val="17"/>
          <w:color w:val="auto"/>
        </w:rPr>
        <w:t>On a segment basis, the Company had individual customers that accounted for more than 10% of its segment contract revenues. For the three months ended October 3, 2025, the Company derived 31.5% of its Energy segment revenues from two customers, Southern California Edison and Clark County School District, and no single customer accounted for 10% or more of the Company’s Engineering and Consulting segment revenues. For the nine months ended October 3, 2025, the Company derived 30.7% of its Energy segment revenues from two customers, Southern California Edison and Clark County School District, and no single customer accounted for 10% or more of the Company’s Engineering and Consulting segment revenues. For the three months ended September 27, 2024, the Company</w:t>
      </w:r>
    </w:p>
    <w:p>
      <w:pPr>
        <w:spacing w:after="0" w:line="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derived 22.1% of its Energy segment revenues from two customers, Southern California Edison and Clark County School District, and no single customer accounted for 10% or more of the Company’s Engineering and Consulting segment revenues. For the nine months ended September 27, 2024, no single customer accounted for 10% or more of the Company’s Energy segment revenues, and no single customer accounted for 10% or more of the Company’s Engineering and Consulting segment revenues.</w:t>
      </w:r>
    </w:p>
    <w:p>
      <w:pPr>
        <w:spacing w:after="0" w:line="21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a geographical basis, through the nine months ended October 3, 2025, the Company’s largest clients are based in California, New York, and Nevada. For the three and nine months ended October 3, 2025, services provided to clients in California accounted for 46.3% and 43.7%, respectively, of the Company’s consolidated contract revenue, services provided to clients in New York accounted for 17.3% and 19.0%, respectively, of the Company’s consolidated contract revenue, and services provided to clients in Nevada accounted for 12.9% and 12.6%, respectively, of the Company’s consolidated contract revenue. Through the nine months ended September 27, 2024, the Company’s largest clients are based in California and New York. For the three and nine months ended September 27, 2024, services provided to clients in California accounted for 42.2% and 43.3%, respectively, of the Company’s consolidated contract revenue, and services provided to clients in New York accounted for 21.0% and 23.7%, respectively, of the Company’s consolidated contract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At the end of fiscal year 2024, the Company’s total valuation allowance was $1.1 million, reflecting a $0.1 million release of the valuation allowance balance of $1.2 million from the end of fiscal year 2023 as a result of expected future utilization of deferred tax assets. As of October 3, 2025, the Company assessed all available positive and negative evidence available to determine whether, based on the weight of that evidence, there was a change in judgment related to the utilization of deferred tax assets in future years. The Company concluded that as of October 3, 2025, the valuation allowance for the Company’s deferred tax assets was appropriate in accordance with ASC 740. Consequently, there was no change to the valuation allowance during the three and nine months ended October 3, 2025.</w:t>
      </w:r>
    </w:p>
    <w:p>
      <w:pPr>
        <w:spacing w:after="0" w:line="18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spacing w:after="0" w:line="187" w:lineRule="exact"/>
        <w:rPr>
          <w:sz w:val="20"/>
          <w:szCs w:val="20"/>
          <w:color w:val="auto"/>
        </w:rPr>
      </w:pPr>
    </w:p>
    <w:p>
      <w:pPr>
        <w:jc w:val="both"/>
        <w:ind w:left="60" w:right="439" w:firstLine="648"/>
        <w:spacing w:after="0" w:line="270" w:lineRule="auto"/>
        <w:rPr>
          <w:sz w:val="20"/>
          <w:szCs w:val="20"/>
          <w:color w:val="auto"/>
        </w:rPr>
      </w:pPr>
      <w:r>
        <w:rPr>
          <w:rFonts w:ascii="Times New Roman" w:cs="Times New Roman" w:eastAsia="Times New Roman" w:hAnsi="Times New Roman"/>
          <w:sz w:val="17"/>
          <w:szCs w:val="17"/>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w:t>
      </w:r>
    </w:p>
    <w:p>
      <w:pPr>
        <w:spacing w:after="0" w:line="3"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October 3, 2025, and the three and nine months ended September 27, 2024, the Company did not record a liability for uncertain tax positions.</w:t>
      </w:r>
    </w:p>
    <w:p>
      <w:pPr>
        <w:spacing w:after="0" w:line="18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Based on the Company’s estimates and determination of an effective tax rate for the year, the Company recorded an income tax expense of $0.6 million for the three months ended October 3, 2025, and recorded an income tax benefit of $4.2 million for the nine months ended October 3, 2025, compared to an income tax expense of $0.2 million and $1.9 million for the three and nine months ended September 27, 2024, respectively. During the three and nine months ended October 3, 2025, the difference between the effective tax rate and the federal statutory rate was primarily attributable to state taxes, non-deductible executive compensation, deductions related to stock option exercises, research and development tax credits, and the commercial energy-efficiency building deduction. During the three and nine months ended September 27, 2024, the difference between the effective tax rate and the federal statutory rate was primarily attributable to state taxes, non-deductible stock compensation, nondeductible executive compensation, research and development tax credits, and the commercial energy-efficiency building deduction.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40" w:right="90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makes permanent some key tax provisions for tax year 2025, including 100% bonus depreciation, immediate expensing of domestic research costs, and increased limitations for deducting business interest expense. In addition, the OBBBA includes key tax provisions that will take effect in future tax years, such as reduced deductions available for foreign derived income and the repeal of the energy-efficiency building deduction under Section 179D for property for which construction begins after June 30, 2026. ASC 740 requires the effects of changes in tax rates and laws on deferred tax balances to be recognized in the period in which the legislation is enacted. Accordingly, the effects of the OBBBA have been incorporated into the income tax provision computation for this period ended October 3, 2025, and the impact was not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 (“EPS”)</w:t>
      </w:r>
    </w:p>
    <w:p>
      <w:pPr>
        <w:spacing w:after="0" w:line="229"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spacing w:after="0" w:line="164"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weighted-average common shares outstanding used to compute basic and diluted EPS: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20" w:type="dxa"/>
            <w:vAlign w:val="bottom"/>
            <w:gridSpan w:val="7"/>
          </w:tcPr>
          <w:p>
            <w:pPr>
              <w:ind w:left="1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14,603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Effect of dilutive stock options and restricted stock</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 2025, the Company did not exclude any shares subject to outstanding equity awards from the calculation of diluted shares. For the nine months ended October 3, 2025, the Company excluded 2,000 common shares subject to outstanding equity awards from the calculation of diluted shares because their impact would have been anti-dilutive. For the three months ended September 27, 2024, the Company did not exclude any shares subject to outstanding equity awards from the calculation of diluted shares. For the nine months ended September 27, 2024, the Company excluded 269,000 common shares subject to outstanding equity awards from the calculation of diluted shares because their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92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BUSINESS COMBINATIONS</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Alternative Power Generation, Inc.</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On March 3, 2025 (the “APG Closing Date”), the Company, through its wholly owned subsidiary, WES, acquired all of the capital stock of Alternative Power Generation, Inc. (“APG”), pursuant to the terms of the Stock Purchase Agreement, dated as of March 3, 2025 (the “APG Stock Purchase Agreement”), by and among the Company, WES, and each of the stockholders of APG (the “APG Stockholders”).</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APG provides innovative, progressive, and customized electric power solutions for EV charging, solar, AI data centers, microgrids, battery energy storage systems (“BESS”), and substations. APG offers consulting, design, engineering, procurement, and construction management. APG’s financial information is included within the Energy segment beginning in the first quarter of fiscal year 2025.</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APG Stock Purchase Agreement, the Company agreed to pay up to $43.5 million for the purchase of all the capital stock of APG, which purchase price consists of (i) $19.5 million in cash paid on the APG Closing Date (subject to holdbacks and adjustments), (ii) $6.0 million in shares of the Company’s common stock, based on the closing average price per share of the Company’s common stock for the twenty trading days preceding the APG Closing Date, and (iii) up to $18.0 million in cash if APG exceeds certain financial targets during the three years after the APG Closing Date, as more fully described below (such potential payments of up to $18.0 million being referred to as “APG Earnout Payments” and $18.0 million in respect thereof, being referred to as the “APG Maximum Payout”).</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APG Earnout Payments to be paid will be determined based on APG’s earnings before interest, taxes, depreciation and amortization (“APG EBITDA”). The APG Stockholders will receive APG Earnout Payments in each of the three years after the APG Closing Date (the “APG Earnout Period”) based on the amount by which APG EBITDA exceeds certain targets. The amounts due to the APG Stockholders as APG Earnout Payments will in no event, individually or in the aggregate, exceed the APG Maximum Payout. APG Earnout Payments will be made in annual installments for each of the three years of the APG Earnout Period. In addition, the APG Earnout Payments will be subject to certain subordination provisions in favor of the lenders under the Company’s Credit Agreement.</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APG Stock Purchase Agreement contains customary representations and warranties regarding the Company, WES, APG, and the APG Stockholders, indemnification provisions, and other provisions customary for transactions of this nature.</w:t>
      </w:r>
    </w:p>
    <w:p>
      <w:pPr>
        <w:spacing w:after="0" w:line="17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used cash on hand and restricted common stock to fund the initial purchase price on the APG Closing Date.</w:t>
      </w:r>
    </w:p>
    <w:p>
      <w:pPr>
        <w:spacing w:after="0" w:line="16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APG’s assembled workforce. The Company estimates that the entire $31.6 million of goodwill resulting from the acquisition of APG will be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Company engaged a third-party independent valuation specialist to assist in management’s determination of fair values of tangible and intangible assets acquired and liabilities assumed, including the determination of the fair value of the contingent consideration liability. The Company’s third-party independent valuation specialist determined the fair value of the contingent consideration liability utilizing a Monte Carlo valuation model, which involves a simulation of future revenues during the earn out-period using management’s best estimates, or a probability-weighted discounted cash flow analysis.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Consideration for the acquisition of APG includes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APG</w:t>
            </w:r>
          </w:p>
        </w:tc>
      </w:tr>
      <w:tr>
        <w:trPr>
          <w:trHeight w:val="142"/>
        </w:trPr>
        <w:tc>
          <w:tcPr>
            <w:tcW w:w="7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working capital adjustments and holdbacks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1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w:t>
            </w:r>
          </w:p>
        </w:tc>
      </w:tr>
      <w:tr>
        <w:trPr>
          <w:trHeight w:val="209"/>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36,829</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APG</w:t>
            </w:r>
          </w:p>
        </w:tc>
      </w:tr>
      <w:tr>
        <w:trPr>
          <w:trHeight w:val="142"/>
        </w:trPr>
        <w:tc>
          <w:tcPr>
            <w:tcW w:w="7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20" w:type="dxa"/>
            <w:vAlign w:val="bottom"/>
          </w:tcPr>
          <w:p>
            <w:pPr>
              <w:spacing w:after="0"/>
              <w:rPr>
                <w:sz w:val="18"/>
                <w:szCs w:val="18"/>
                <w:color w:val="auto"/>
              </w:rPr>
            </w:pPr>
          </w:p>
        </w:tc>
      </w:tr>
      <w:tr>
        <w:trPr>
          <w:trHeight w:val="216"/>
        </w:trPr>
        <w:tc>
          <w:tcPr>
            <w:tcW w:w="71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20" w:type="dxa"/>
            <w:vAlign w:val="bottom"/>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0" w:type="dxa"/>
            <w:vAlign w:val="bottom"/>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8"/>
                <w:szCs w:val="18"/>
                <w:color w:val="auto"/>
              </w:rPr>
            </w:pPr>
          </w:p>
        </w:tc>
      </w:tr>
      <w:tr>
        <w:trPr>
          <w:trHeight w:val="21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20" w:type="dxa"/>
            <w:vAlign w:val="bottom"/>
          </w:tcPr>
          <w:p>
            <w:pPr>
              <w:spacing w:after="0"/>
              <w:rPr>
                <w:sz w:val="18"/>
                <w:szCs w:val="18"/>
                <w:color w:val="auto"/>
              </w:rPr>
            </w:pPr>
          </w:p>
        </w:tc>
      </w:tr>
      <w:tr>
        <w:trPr>
          <w:trHeight w:val="210"/>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backlog, customer relationships, tradename, and goodwill.</w:t>
      </w:r>
    </w:p>
    <w:p>
      <w:pPr>
        <w:spacing w:after="0" w:line="190"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3, 2025, the Company made adjustments, primarily related to other working capital adjustments and holdbacks, to the consideration paid for APG which resulted in an adjustment to the purchase price allocation of APG. The adjustments resulted in an increase of $6.9 million in the net carrying value of backlog and goodwill, and an aggregate decrease of $5.3 million in the net carrying value of customer relationships, and tradename. The change in the fair value of intangible assets resulted in a decrease in the amortization expense of $1.7 million to the consolidated financial statements for the three and nine months ended October 3, 2025.</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 2025, there were no acquisition related costs associated with APG included in other general and administrative expenses in the condensed consolidated statements of comprehensive income. For the nine months ended October 3, 2025, there were $0.2 million in acquisition related costs associated with APG included in other general and administrative expenses in the condensed consolidated statements of comprehensive income.</w:t>
      </w:r>
    </w:p>
    <w:p>
      <w:pPr>
        <w:spacing w:after="0" w:line="18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October 3, 2025, the acquisition of APG contributed $4.8 million and $14.6 million in revenue and contributed $(0.8) million and $0.4 million in income (loss) from operations.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Alpha Inspections, Inc.</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(the “Alpha Closing Date”), the Company, through its wholly owned subsidiary, Willdan Engineering, Inc., acquired all of the capital stock of Alpha Inspections, Inc. (“Alpha”), pursuant to the terms of the Stock Purchase Agreement, dated as of January 31, 2025 (the “Alpha Stock Purchase Agreement”), by and among the Company, Willdan Engineering, Inc., and the sole shareholder of Alpha Inspections, Inc. (the “Alpha Member”).</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Alpha is a company that provides an array of municipal services including building inspections, and plan reviews. Alpha’s financial information is included within the Engineering and Consulting segment beginning in the first quarter of fiscal year 2025.</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of the Alpha Stock Purchase Agreement, the purchase price consisted of $12.0 million to be paid in cash on the Alpha Closing Date (subject to holdbacks and adjustments). The Alpha Stock Purchase Agreement contains customary representations and warranties regarding the Company, Willdan Engineering, Alpha, and the Alpha Member, indemnification provisions and other provisions customary for transactions of this nature. Pursuant to the terms of the Alpha Stock Purchase Agreement, the Company, and Willdan Engineering, provided guarantees to the Alpha Member which guarantee certain of Alpha’s obligations under the Alpha Stock Purchase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purchase price on the Alpha Closing Date.</w:t>
      </w:r>
    </w:p>
    <w:p>
      <w:pPr>
        <w:spacing w:after="0" w:line="22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Alpha’s assembled workforce. The Company estimates that the entire $4.9 million of goodwill resulting from the acquisition of Alpha will be tax deductible.</w:t>
      </w:r>
    </w:p>
    <w:p>
      <w:pPr>
        <w:spacing w:after="0" w:line="183"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engaged a third-party independent valuation specialist to assist in management’s determination of fair values of tangible and intangible assets acquired and liabilities assumed.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Consideration for the acquisition of Alpha includes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Alpha</w:t>
            </w:r>
          </w:p>
        </w:tc>
      </w:tr>
      <w:tr>
        <w:trPr>
          <w:trHeight w:val="142"/>
        </w:trPr>
        <w:tc>
          <w:tcPr>
            <w:tcW w:w="7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r>
      <w:tr>
        <w:trPr>
          <w:trHeight w:val="21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working capital adjustments and holdbacks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tbl>
      <w:tblPr>
        <w:tblLayout w:type="fixed"/>
        <w:tblInd w:w="4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Alpha</w:t>
            </w:r>
          </w:p>
        </w:tc>
      </w:tr>
      <w:tr>
        <w:trPr>
          <w:trHeight w:val="142"/>
        </w:trPr>
        <w:tc>
          <w:tcPr>
            <w:tcW w:w="7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8"/>
                <w:szCs w:val="18"/>
                <w:color w:val="auto"/>
              </w:rPr>
            </w:pPr>
          </w:p>
        </w:tc>
      </w:tr>
      <w:tr>
        <w:trPr>
          <w:trHeight w:val="216"/>
        </w:trPr>
        <w:tc>
          <w:tcPr>
            <w:tcW w:w="71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0" w:type="dxa"/>
            <w:vAlign w:val="bottom"/>
          </w:tcPr>
          <w:p>
            <w:pPr>
              <w:spacing w:after="0"/>
              <w:rPr>
                <w:sz w:val="18"/>
                <w:szCs w:val="18"/>
                <w:color w:val="auto"/>
              </w:rPr>
            </w:pPr>
          </w:p>
        </w:tc>
      </w:tr>
      <w:tr>
        <w:trPr>
          <w:trHeight w:val="20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backlog, customer relationships, tradename, and goodwill.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40" w:right="90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3, 2025, the Company made adjustments, primarily related to other working capital adjustments and holdbacks, to the consideration paid for Alpha, which resulted in an adjustment to the purchase price allocation of Alpha. The adjustments resulted in an aggregate increase of $3.6 million in the net carrying value of customer relationships and non-current assets, and an aggregate decrease of $3.5 million in the net carrying value of backlog, tradename, liabilities, and goodwill. The change in the fair value of intangible assets resulted in a decrease of $0.1 million in the amortization expense for the three and nine months ended October 3, 2025.</w:t>
      </w:r>
    </w:p>
    <w:p>
      <w:pPr>
        <w:spacing w:after="0" w:line="187"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For the three months ended October 3, 2025, there were no acquisition related costs associated with Alpha included in other general and administrative expenses in the condensed consolidated statements of comprehensive income. For the nine months ended October 3, 2025, the acquisition related costs associated with Alpha included in other general and administrative expenses in the condensed consolidated statements of comprehensive income were not material.</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Enica Engineering, PLLC.</w:t>
      </w:r>
    </w:p>
    <w:p>
      <w:pPr>
        <w:spacing w:after="0" w:line="229" w:lineRule="exact"/>
        <w:rPr>
          <w:sz w:val="20"/>
          <w:szCs w:val="20"/>
          <w:color w:val="auto"/>
        </w:rPr>
      </w:pPr>
    </w:p>
    <w:p>
      <w:pPr>
        <w:ind w:left="60" w:right="159" w:firstLine="648"/>
        <w:spacing w:after="0" w:line="273" w:lineRule="auto"/>
        <w:rPr>
          <w:sz w:val="20"/>
          <w:szCs w:val="20"/>
          <w:color w:val="auto"/>
        </w:rPr>
      </w:pPr>
      <w:r>
        <w:rPr>
          <w:rFonts w:ascii="Times New Roman" w:cs="Times New Roman" w:eastAsia="Times New Roman" w:hAnsi="Times New Roman"/>
          <w:sz w:val="17"/>
          <w:szCs w:val="17"/>
          <w:color w:val="auto"/>
        </w:rPr>
        <w:t>On October 23, 2024, (the “Enica Closing Date”), the Company, through its wholly owned subsidiary, WES, acquired substantially all of the assets of Enica Engineering, PLLC. (“Enica”), pursuant to the terms of the Asset Purchase Agreement, dated as of October 23, 2024 (the “Enica Agreement”), by and among the Company, WES, Genesys, Enica, and Reed Berinato (“Berinato”) and Mark Prewett (“Prewett” and, together with Berinato, the “Enica Members”). Enica is an energy efficiency company that provides an array of services around energy projects, metering, and consulting services to help its customers drive energy efficiency, decarbonization, and energy reduction. Enica’s financial information is included within the Company’s Energy segment beginning in the fourth quarter of fiscal year 2024.</w:t>
      </w:r>
    </w:p>
    <w:p>
      <w:pPr>
        <w:spacing w:after="0" w:line="17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agreed to pay (i) $12.0 million in cash on the Enica Closing Date (subject to holdbacks and adjustments) and (ii) up to $6.0 million in cash if Enica exceeds certain financial targets during the two years after the Enica Closing Date, as further described below (such potential payments of up to $6.0 million, being referred to as “Enica Earnout Payments” and $6.0 million in respect thereof, being referred to as the “Enica Maximum Earnout”); for a potential maximum purchase price of $18.0 million.</w:t>
      </w:r>
    </w:p>
    <w:p>
      <w:pPr>
        <w:spacing w:after="0" w:line="14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amount of the Enica Earnout Payments to be paid will be determined based on Enica’s earnings before interest, taxes, depreciation and amortization (“Enica’s EBITDA”). The Enica Members will receive Enica Earnout Payments in each of the two years after the Enica Closing Date (the “Earnout Period”) based on the amount by which Enica’s EBITDA exceeds certain targets. The amounts due to the Enica Members as Enica Earnout Payments will in no event, individually or in the aggregate, exceed the Enica Maximum Earnout. Enica Earnout Payments will be made in annual installments for each of the two years of the Enica Earnout Period. In addition, the Enica Earnout Payments will be subject to certain subordination provisions in favor of the lenders under the Company’s Credit Agreement.</w:t>
      </w:r>
    </w:p>
    <w:p>
      <w:pPr>
        <w:spacing w:after="0" w:line="189"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The Enica Agreement contains customary representations and warranties regarding the Company, WES, Genesys, Enica, and the Enica Members, indemnification provisions and other provisions customary for transactions of this nature.</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used cash on hand to fund the initial purchase price on the Enica Closing Date.</w:t>
      </w:r>
    </w:p>
    <w:p>
      <w:pPr>
        <w:spacing w:after="0" w:line="19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Enica’s assembled workforce. The Company estimates that the entire $9.8 million of goodwill resulting from the acquisition will be tax deductible.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Consideration for the acquisition of Enica includes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Enica</w:t>
            </w:r>
          </w:p>
        </w:tc>
      </w:tr>
      <w:tr>
        <w:trPr>
          <w:trHeight w:val="142"/>
        </w:trPr>
        <w:tc>
          <w:tcPr>
            <w:tcW w:w="7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working capital adjustments and holdbacks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1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0" w:right="319" w:firstLine="675"/>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amounts for the acquired assets recorded at their estimated fair value as of the acquisition date:</w:t>
      </w:r>
    </w:p>
    <w:tbl>
      <w:tblPr>
        <w:tblLayout w:type="fixed"/>
        <w:tblInd w:w="4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Enica</w:t>
            </w:r>
          </w:p>
        </w:tc>
      </w:tr>
      <w:tr>
        <w:trPr>
          <w:trHeight w:val="142"/>
        </w:trPr>
        <w:tc>
          <w:tcPr>
            <w:tcW w:w="7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Non-current assets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0" w:type="dxa"/>
            <w:vAlign w:val="bottom"/>
          </w:tcPr>
          <w:p>
            <w:pPr>
              <w:spacing w:after="0"/>
              <w:rPr>
                <w:sz w:val="18"/>
                <w:szCs w:val="18"/>
                <w:color w:val="auto"/>
              </w:rPr>
            </w:pPr>
          </w:p>
        </w:tc>
      </w:tr>
      <w:tr>
        <w:trPr>
          <w:trHeight w:val="21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720" w:hanging="319"/>
        <w:spacing w:after="0" w:line="229" w:lineRule="auto"/>
        <w:tabs>
          <w:tab w:leader="none" w:pos="7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Excluded from non-current assets are right-of-use assets, backlog, customer relationships, tradename, and goodwill.</w:t>
      </w:r>
    </w:p>
    <w:p>
      <w:pPr>
        <w:spacing w:after="0" w:line="191"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 2025, the Company did not make any adjustments to the consideration paid for Enica, and as a result, there were no adjustments to the purchase price allocation for the nine months ended October 3, 2025.</w:t>
      </w:r>
    </w:p>
    <w:p>
      <w:pPr>
        <w:spacing w:after="0" w:line="176"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For the three months ended October 3, 2025, there were no acquisition related costs associated with Enica included in other general and administrative expenses in the condensed consolidated statements of comprehensive income. For the nine months ended October 3, 2025, there were $0.1 million in acquisition related costs associated with Enica included in other general and administrative expenses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8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three and nine months ended October 3, 2025 and September 27, 2024 assumes that the acquisitions of all the outstanding shares of APG and Alpha, and the acquisition of substantially all of the assets of Enica, occurred on the first day of the year prior to the year of acquisition:</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20" w:type="dxa"/>
            <w:vAlign w:val="bottom"/>
            <w:gridSpan w:val="5"/>
          </w:tcPr>
          <w:p>
            <w:pPr>
              <w:jc w:val="right"/>
              <w:ind w:right="15"/>
              <w:spacing w:after="0" w:line="118" w:lineRule="exact"/>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182,006</w:t>
            </w:r>
          </w:p>
        </w:tc>
        <w:tc>
          <w:tcPr>
            <w:tcW w:w="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511,736</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income (loss) from operations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33,462</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Pro forma net income (loss) </w:t>
            </w:r>
            <w:r>
              <w:rPr>
                <w:rFonts w:ascii="Times New Roman" w:cs="Times New Roman" w:eastAsia="Times New Roman" w:hAnsi="Times New Roman"/>
                <w:sz w:val="25"/>
                <w:szCs w:val="25"/>
                <w:color w:val="auto"/>
                <w:vertAlign w:val="superscript"/>
              </w:rPr>
              <w:t>(1)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33,556</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14,397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14,987</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Adjustments to pro forma net income include income from operations, amortization and interest expenses.</w:t>
      </w:r>
    </w:p>
    <w:p>
      <w:pPr>
        <w:spacing w:after="0" w:line="19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This pro forma supplemental information does not purport to be indicative of what the Company’s operating results would have been had these acquisitions occurred on the first day of the year prior to the year of acquisition and may not be indicative of future operating results.</w:t>
      </w:r>
    </w:p>
    <w:p>
      <w:pPr>
        <w:spacing w:after="0" w:line="176"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During the three and nine months ended October 3, 2025, the acquisitions of APG, Alpha and Enica contributed $8.2 million and $25.3 million in revenue, and contributed $0.5 million and $4.5 million in income (loss) from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94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700" w:right="6779" w:hanging="650"/>
        <w:spacing w:after="0" w:line="507" w:lineRule="auto"/>
        <w:tabs>
          <w:tab w:leader="none" w:pos="322"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b w:val="1"/>
          <w:bCs w:val="1"/>
          <w:i w:val="1"/>
          <w:iCs w:val="1"/>
          <w:color w:val="auto"/>
        </w:rPr>
        <w:t>Claims and Lawsuits</w:t>
      </w:r>
    </w:p>
    <w:p>
      <w:pPr>
        <w:spacing w:after="0" w:line="2"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spacing w:after="0" w:line="185" w:lineRule="exact"/>
        <w:rPr>
          <w:sz w:val="20"/>
          <w:szCs w:val="20"/>
          <w:color w:val="auto"/>
        </w:rPr>
      </w:pPr>
    </w:p>
    <w:p>
      <w:pPr>
        <w:ind w:left="60" w:right="79" w:firstLine="648"/>
        <w:spacing w:after="0" w:line="235" w:lineRule="auto"/>
        <w:rPr>
          <w:sz w:val="20"/>
          <w:szCs w:val="20"/>
          <w:color w:val="auto"/>
        </w:rPr>
      </w:pPr>
      <w:r>
        <w:rPr>
          <w:rFonts w:ascii="Times New Roman" w:cs="Times New Roman" w:eastAsia="Times New Roman" w:hAnsi="Times New Roman"/>
          <w:sz w:val="18"/>
          <w:szCs w:val="18"/>
          <w:color w:val="auto"/>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spacing w:after="0" w:line="188" w:lineRule="exact"/>
        <w:rPr>
          <w:sz w:val="20"/>
          <w:szCs w:val="20"/>
          <w:color w:val="auto"/>
        </w:rPr>
      </w:pPr>
    </w:p>
    <w:p>
      <w:pPr>
        <w:ind w:left="60" w:right="159" w:firstLine="648"/>
        <w:spacing w:after="0" w:line="246" w:lineRule="auto"/>
        <w:rPr>
          <w:sz w:val="20"/>
          <w:szCs w:val="20"/>
          <w:color w:val="auto"/>
        </w:rPr>
      </w:pPr>
      <w:r>
        <w:rPr>
          <w:rFonts w:ascii="Times New Roman" w:cs="Times New Roman" w:eastAsia="Times New Roman" w:hAnsi="Times New Roman"/>
          <w:sz w:val="17"/>
          <w:szCs w:val="17"/>
          <w:color w:val="auto"/>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780" w:right="660"/>
        <w:spacing w:after="0" w:line="278" w:lineRule="auto"/>
        <w:rPr>
          <w:sz w:val="20"/>
          <w:szCs w:val="20"/>
          <w:color w:val="auto"/>
        </w:rPr>
      </w:pPr>
      <w:r>
        <w:rPr>
          <w:rFonts w:ascii="Times New Roman" w:cs="Times New Roman" w:eastAsia="Times New Roman" w:hAnsi="Times New Roman"/>
          <w:sz w:val="18"/>
          <w:szCs w:val="18"/>
          <w:b w:val="1"/>
          <w:bCs w:val="1"/>
          <w:color w:val="auto"/>
        </w:rPr>
        <w:t>WILLDAN GROUP, INC. AND SUBSIDIARIES NOTES TO CONDENSED CONSOLIDATED FINANCIAL STATEMENTS – (Continued) (Unaudited)</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02"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ASC Topic 855, Subsequent Events, the Company evaluates subsequent events up until the date the Condensed Consolidated Financial Statements are issued. As of November 6, 2025, there were no subsequent events required to be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right="79" w:hanging="744"/>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management, we plan, design and deliver trusted, comprehensive, innovative, and proven solutions to improve efficiency, resiliency, and sustainability in energy and infrastructure to our clients.</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spacing w:after="0" w:line="1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Our Energy segment provides specialized, innovative, comprehensive energy solutions to businesses, utilities, state agencies, municipalities, and non-profit organizations in the U.S. Our experienced engineers, consultants, and staff help our clients realize cost and energy savings by tailoring efficient and cost-effective solutions to assist in optimizing energy spend. Our energy efficiency services include comprehensive audit and surveys, program design, master planning, demand reduction, grid optimization, benchmarking analyses, design engineering, construction management, performance contracting, installation, alternative financing, measurement and verification services, and advances in software and data analytics for long-term planning.</w:t>
      </w:r>
    </w:p>
    <w:p>
      <w:pPr>
        <w:spacing w:after="0" w:line="189"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Our Engineering and Consulting segment provides civil engineering-related construction management, building and safety, city engineering office management, city planning, civil design, geotechnical, material testing and other engineering consulting services to our clients. Our engineering services include traffic, bridges, rail, port, water, mining and other civil engineering projects. We also provide economic and financial consulting to public agencies. Lastly, we supplement the engineering services that we offer our clients by offering expertise and support for the various financing techniques public agencies utilize to finance their operations and infrastructure. We also support the mandated reporting and other requirements associated with these financings. We provide financial advisory services for municipal securities but do not provide underwriting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Third Quarter and Nine Months Overview</w:t>
      </w:r>
    </w:p>
    <w:p>
      <w:pPr>
        <w:spacing w:after="0" w:line="160" w:lineRule="exact"/>
        <w:rPr>
          <w:sz w:val="20"/>
          <w:szCs w:val="20"/>
          <w:color w:val="auto"/>
        </w:rPr>
      </w:pPr>
    </w:p>
    <w:p>
      <w:pPr>
        <w:ind w:left="60" w:right="799"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information derived from our condensed consolidated statements of comprehensive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80" w:type="dxa"/>
            <w:vAlign w:val="bottom"/>
          </w:tcPr>
          <w:p>
            <w:pPr>
              <w:spacing w:after="0"/>
              <w:rPr>
                <w:sz w:val="11"/>
                <w:szCs w:val="11"/>
                <w:color w:val="auto"/>
              </w:rPr>
            </w:pPr>
          </w:p>
        </w:tc>
        <w:tc>
          <w:tcPr>
            <w:tcW w:w="156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3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6"/>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w:t>
            </w:r>
          </w:p>
        </w:tc>
        <w:tc>
          <w:tcPr>
            <w:tcW w:w="164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w w:val="92"/>
              </w:rPr>
              <w:t>thousands, except percentages)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93"/>
        </w:trPr>
        <w:tc>
          <w:tcPr>
            <w:tcW w:w="3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182,006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23,754</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15.0 %</w:t>
            </w:r>
          </w:p>
        </w:tc>
      </w:tr>
      <w:tr>
        <w:trPr>
          <w:trHeight w:val="142"/>
        </w:trPr>
        <w:tc>
          <w:tcPr>
            <w:tcW w:w="39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Direct costs of contract revenue:</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Subcontractor services and other direct costs</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87,039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82,563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4,476</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direct costs of contract revenue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114,917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106,651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8,266</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67,089</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51,601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15,488</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 payroll taxes and employee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5,844</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Facilities and facilities related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w:t>
            </w:r>
          </w:p>
        </w:tc>
      </w:tr>
      <w:tr>
        <w:trPr>
          <w:trHeight w:val="148"/>
        </w:trPr>
        <w:tc>
          <w:tcPr>
            <w:tcW w:w="3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8,934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52,227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42,927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9,300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42"/>
        </w:trPr>
        <w:tc>
          <w:tcPr>
            <w:tcW w:w="39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14,862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8,674</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6,188</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w:t>
            </w:r>
          </w:p>
        </w:tc>
        <w:tc>
          <w:tcPr>
            <w:tcW w:w="120" w:type="dxa"/>
            <w:vAlign w:val="bottom"/>
            <w:shd w:val="clear" w:color="auto" w:fill="CCEEFF"/>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12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(53.4)</w:t>
            </w:r>
          </w:p>
        </w:tc>
      </w:tr>
      <w:tr>
        <w:trPr>
          <w:trHeight w:val="149"/>
        </w:trPr>
        <w:tc>
          <w:tcPr>
            <w:tcW w:w="3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(56.7)</w:t>
            </w:r>
          </w:p>
        </w:tc>
      </w:tr>
      <w:tr>
        <w:trPr>
          <w:trHeight w:val="142"/>
        </w:trPr>
        <w:tc>
          <w:tcPr>
            <w:tcW w:w="39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other income (expense)</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599</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2"/>
                <w:szCs w:val="12"/>
                <w:color w:val="auto"/>
              </w:rPr>
            </w:pPr>
          </w:p>
        </w:tc>
      </w:tr>
      <w:tr>
        <w:trPr>
          <w:trHeight w:val="149"/>
        </w:trPr>
        <w:tc>
          <w:tcPr>
            <w:tcW w:w="3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(Loss) before income tax expense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6,787</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20" w:type="dxa"/>
            <w:vAlign w:val="bottom"/>
          </w:tcPr>
          <w:p>
            <w:pPr>
              <w:spacing w:after="0"/>
              <w:rPr>
                <w:sz w:val="12"/>
                <w:szCs w:val="12"/>
                <w:color w:val="auto"/>
              </w:rPr>
            </w:pPr>
          </w:p>
        </w:tc>
      </w:tr>
      <w:tr>
        <w:trPr>
          <w:trHeight w:val="148"/>
        </w:trPr>
        <w:tc>
          <w:tcPr>
            <w:tcW w:w="3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r>
      <w:tr>
        <w:trPr>
          <w:trHeight w:val="142"/>
        </w:trPr>
        <w:tc>
          <w:tcPr>
            <w:tcW w:w="39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13,721</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7,346</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6,375</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86.8</w:t>
            </w:r>
          </w:p>
        </w:tc>
        <w:tc>
          <w:tcPr>
            <w:tcW w:w="120" w:type="dxa"/>
            <w:vAlign w:val="bottom"/>
          </w:tcPr>
          <w:p>
            <w:pPr>
              <w:spacing w:after="0"/>
              <w:rPr>
                <w:sz w:val="12"/>
                <w:szCs w:val="12"/>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6" w:lineRule="exact"/>
        <w:rPr>
          <w:sz w:val="20"/>
          <w:szCs w:val="20"/>
          <w:color w:val="auto"/>
        </w:rPr>
      </w:pPr>
    </w:p>
    <w:p>
      <w:pPr>
        <w:ind w:left="380" w:hanging="330"/>
        <w:spacing w:after="0"/>
        <w:tabs>
          <w:tab w:leader="none" w:pos="380" w:val="left"/>
        </w:tabs>
        <w:numPr>
          <w:ilvl w:val="0"/>
          <w:numId w:val="21"/>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4"/>
          <w:szCs w:val="14"/>
          <w:i w:val="1"/>
          <w:iCs w:val="1"/>
          <w:color w:val="auto"/>
        </w:rPr>
        <w:t>Percentages are expressed as a percentage of contract revenue and may not total due to rounding</w:t>
      </w:r>
      <w:r>
        <w:rPr>
          <w:rFonts w:ascii="Times New Roman" w:cs="Times New Roman" w:eastAsia="Times New Roman" w:hAnsi="Times New Roman"/>
          <w:sz w:val="16"/>
          <w:szCs w:val="16"/>
          <w:i w:val="1"/>
          <w:iCs w:val="1"/>
          <w:color w:val="auto"/>
        </w:rPr>
        <w:t>.</w:t>
      </w:r>
    </w:p>
    <w:p>
      <w:pPr>
        <w:ind w:left="380" w:hanging="330"/>
        <w:spacing w:after="0"/>
        <w:tabs>
          <w:tab w:leader="none" w:pos="38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212529"/>
        </w:rPr>
        <w:t>N/M = Not meaningful</w:t>
      </w:r>
      <w:r>
        <w:rPr>
          <w:rFonts w:ascii="Times New Roman" w:cs="Times New Roman" w:eastAsia="Times New Roman" w:hAnsi="Times New Roman"/>
          <w:sz w:val="14"/>
          <w:szCs w:val="14"/>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00" w:type="dxa"/>
            <w:vAlign w:val="bottom"/>
          </w:tcPr>
          <w:p>
            <w:pPr>
              <w:spacing w:after="0"/>
              <w:rPr>
                <w:sz w:val="10"/>
                <w:szCs w:val="10"/>
                <w:color w:val="auto"/>
              </w:rPr>
            </w:pPr>
          </w:p>
        </w:tc>
        <w:tc>
          <w:tcPr>
            <w:tcW w:w="1600" w:type="dxa"/>
            <w:vAlign w:val="bottom"/>
            <w:gridSpan w:val="6"/>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vMerge w:val="restart"/>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w:t>
            </w:r>
          </w:p>
        </w:tc>
        <w:tc>
          <w:tcPr>
            <w:tcW w:w="170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w w:val="95"/>
              </w:rPr>
              <w:t>thousands, except percentages)</w:t>
            </w:r>
          </w:p>
        </w:tc>
        <w:tc>
          <w:tcPr>
            <w:tcW w:w="1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507,865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421,737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86,128</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0" w:type="dxa"/>
            <w:vAlign w:val="bottom"/>
          </w:tcPr>
          <w:p>
            <w:pPr>
              <w:spacing w:after="0"/>
              <w:rPr>
                <w:sz w:val="1"/>
                <w:szCs w:val="1"/>
                <w:color w:val="auto"/>
              </w:rPr>
            </w:pPr>
          </w:p>
        </w:tc>
      </w:tr>
      <w:tr>
        <w:trPr>
          <w:trHeight w:val="142"/>
        </w:trPr>
        <w:tc>
          <w:tcPr>
            <w:tcW w:w="39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Direct costs of contract revenue:</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Subcontractor services and other direct costs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232,592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204,667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27,925</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direct costs of contract revenue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314,790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273,914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40,876</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193,075</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147,823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45,252</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wages, payroll taxes and employee benefits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78,449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16,955</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Facilities and facilities related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25,368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8,615</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127,340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32,021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33,714</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20,483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13,231</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(4,890)</w:t>
            </w:r>
          </w:p>
        </w:tc>
        <w:tc>
          <w:tcPr>
            <w:tcW w:w="140" w:type="dxa"/>
            <w:vAlign w:val="bottom"/>
          </w:tcPr>
          <w:p>
            <w:pPr>
              <w:spacing w:after="0"/>
              <w:rPr>
                <w:sz w:val="12"/>
                <w:szCs w:val="12"/>
                <w:color w:val="auto"/>
              </w:rPr>
            </w:pP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(6,031)</w:t>
            </w: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(1,453)</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42"/>
        </w:trPr>
        <w:tc>
          <w:tcPr>
            <w:tcW w:w="39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other income (expense)</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(3,738)</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(312)</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(Loss) before income tax expense</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12,919</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(4,180)</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(6,043)</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2"/>
        </w:trPr>
        <w:tc>
          <w:tcPr>
            <w:tcW w:w="39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33,844</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14,882</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18,962</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Percentages are expressed as a percentage of contract revenue and may not total due to rounding</w:t>
      </w:r>
      <w:r>
        <w:rPr>
          <w:rFonts w:ascii="Times New Roman" w:cs="Times New Roman" w:eastAsia="Times New Roman" w:hAnsi="Times New Roman"/>
          <w:sz w:val="16"/>
          <w:szCs w:val="16"/>
          <w:i w:val="1"/>
          <w:iCs w:val="1"/>
          <w:color w:val="auto"/>
        </w:rPr>
        <w:t>.</w:t>
      </w:r>
    </w:p>
    <w:p>
      <w:pPr>
        <w:ind w:left="380" w:hanging="330"/>
        <w:spacing w:after="0"/>
        <w:tabs>
          <w:tab w:leader="none" w:pos="380" w:val="left"/>
        </w:tabs>
        <w:numPr>
          <w:ilvl w:val="0"/>
          <w:numId w:val="2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212529"/>
        </w:rPr>
        <w:t>N/M = Not meaningful</w:t>
      </w:r>
      <w:r>
        <w:rPr>
          <w:rFonts w:ascii="Times New Roman" w:cs="Times New Roman" w:eastAsia="Times New Roman" w:hAnsi="Times New Roman"/>
          <w:sz w:val="14"/>
          <w:szCs w:val="14"/>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about disaggregated revenue of our two segments, Energy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Engineering and Consulting, by contract type, client type and geographical region:</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Three months ended October 3, 2025</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40" w:type="dxa"/>
            <w:vAlign w:val="bottom"/>
          </w:tcPr>
          <w:p>
            <w:pPr>
              <w:spacing w:after="0"/>
              <w:rPr>
                <w:sz w:val="10"/>
                <w:szCs w:val="10"/>
                <w:color w:val="auto"/>
              </w:rPr>
            </w:pPr>
          </w:p>
        </w:tc>
        <w:tc>
          <w:tcPr>
            <w:tcW w:w="9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12,866</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18,382</w:t>
            </w:r>
          </w:p>
        </w:tc>
        <w:tc>
          <w:tcPr>
            <w:tcW w:w="140" w:type="dxa"/>
            <w:vAlign w:val="bottom"/>
          </w:tcPr>
          <w:p>
            <w:pPr>
              <w:spacing w:after="0"/>
              <w:rPr>
                <w:sz w:val="12"/>
                <w:szCs w:val="12"/>
                <w:color w:val="auto"/>
              </w:rPr>
            </w:pPr>
          </w:p>
        </w:tc>
        <w:tc>
          <w:tcPr>
            <w:tcW w:w="4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31,248</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6,965</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65,217</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83,632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85,541</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154,750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27,256</w:t>
            </w: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15,942</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140" w:type="dxa"/>
            <w:vAlign w:val="bottom"/>
          </w:tcPr>
          <w:p>
            <w:pPr>
              <w:spacing w:after="0"/>
              <w:rPr>
                <w:sz w:val="12"/>
                <w:szCs w:val="12"/>
                <w:color w:val="auto"/>
              </w:rPr>
            </w:pPr>
          </w:p>
        </w:tc>
        <w:tc>
          <w:tcPr>
            <w:tcW w:w="4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17,887</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25,256</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89,843</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74,221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74,276</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154,750</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27,256</w:t>
            </w: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154,750</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27,256</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Nine months ended October 3, 2025</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20" w:type="dxa"/>
            <w:vAlign w:val="bottom"/>
          </w:tcPr>
          <w:p>
            <w:pPr>
              <w:spacing w:after="0"/>
              <w:rPr>
                <w:sz w:val="10"/>
                <w:szCs w:val="10"/>
                <w:color w:val="auto"/>
              </w:rPr>
            </w:pPr>
          </w:p>
        </w:tc>
        <w:tc>
          <w:tcPr>
            <w:tcW w:w="9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36,201</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55,341</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91,542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19,707</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183,916</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227,337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232,407</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507,865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47,550</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w:t>
            </w:r>
          </w:p>
        </w:tc>
        <w:tc>
          <w:tcPr>
            <w:tcW w:w="1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53,061</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74,452</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243,202</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211,447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211,602</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507,865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427,747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80,118</w:t>
            </w: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Three months ended September 27, 2024</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500" w:type="dxa"/>
            <w:vAlign w:val="bottom"/>
          </w:tcPr>
          <w:p>
            <w:pPr>
              <w:spacing w:after="0"/>
              <w:rPr>
                <w:sz w:val="10"/>
                <w:szCs w:val="10"/>
                <w:color w:val="auto"/>
              </w:rPr>
            </w:pPr>
          </w:p>
        </w:tc>
        <w:tc>
          <w:tcPr>
            <w:tcW w:w="8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17,767</w:t>
            </w:r>
          </w:p>
        </w:tc>
        <w:tc>
          <w:tcPr>
            <w:tcW w:w="140" w:type="dxa"/>
            <w:vAlign w:val="bottom"/>
          </w:tcPr>
          <w:p>
            <w:pPr>
              <w:spacing w:after="0"/>
              <w:rPr>
                <w:sz w:val="12"/>
                <w:szCs w:val="12"/>
                <w:color w:val="auto"/>
              </w:rPr>
            </w:pPr>
          </w:p>
        </w:tc>
        <w:tc>
          <w:tcPr>
            <w:tcW w:w="50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25,720</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57,480</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73,596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75,052</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134,036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24,216</w:t>
            </w: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158,252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7,964</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w:t>
            </w:r>
          </w:p>
        </w:tc>
        <w:tc>
          <w:tcPr>
            <w:tcW w:w="140" w:type="dxa"/>
            <w:vAlign w:val="bottom"/>
          </w:tcPr>
          <w:p>
            <w:pPr>
              <w:spacing w:after="0"/>
              <w:rPr>
                <w:sz w:val="12"/>
                <w:szCs w:val="12"/>
                <w:color w:val="auto"/>
              </w:rPr>
            </w:pPr>
          </w:p>
        </w:tc>
        <w:tc>
          <w:tcPr>
            <w:tcW w:w="50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9,932</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83,270</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64,957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65,050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134,036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24,216</w:t>
            </w: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158,252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134,036</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24,216</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158,252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Nine months ended September 27, 2024</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Engineering and</w:t>
            </w:r>
          </w:p>
        </w:tc>
        <w:tc>
          <w:tcPr>
            <w:tcW w:w="480" w:type="dxa"/>
            <w:vAlign w:val="bottom"/>
          </w:tcPr>
          <w:p>
            <w:pPr>
              <w:spacing w:after="0"/>
              <w:rPr>
                <w:sz w:val="10"/>
                <w:szCs w:val="10"/>
                <w:color w:val="auto"/>
              </w:rPr>
            </w:pPr>
          </w:p>
        </w:tc>
        <w:tc>
          <w:tcPr>
            <w:tcW w:w="9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Time-and-materials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25,190</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51,193</w:t>
            </w:r>
          </w:p>
        </w:tc>
        <w:tc>
          <w:tcPr>
            <w:tcW w:w="140" w:type="dxa"/>
            <w:vAlign w:val="bottom"/>
          </w:tcPr>
          <w:p>
            <w:pPr>
              <w:spacing w:after="0"/>
              <w:rPr>
                <w:sz w:val="12"/>
                <w:szCs w:val="12"/>
                <w:color w:val="auto"/>
              </w:rPr>
            </w:pP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76,383</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Unit-based</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14,375</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161,397</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Fixed price</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183,957</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352,634</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69,103</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421,737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Client Type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23,858</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5,281</w:t>
            </w:r>
          </w:p>
        </w:tc>
        <w:tc>
          <w:tcPr>
            <w:tcW w:w="140" w:type="dxa"/>
            <w:vAlign w:val="bottom"/>
          </w:tcPr>
          <w:p>
            <w:pPr>
              <w:spacing w:after="0"/>
              <w:rPr>
                <w:sz w:val="12"/>
                <w:szCs w:val="12"/>
                <w:color w:val="auto"/>
              </w:rPr>
            </w:pP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29,139</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63,614</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212,017</w:t>
            </w: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Utilities </w:t>
            </w:r>
            <w:r>
              <w:rPr>
                <w:rFonts w:ascii="Times New Roman" w:cs="Times New Roman" w:eastAsia="Times New Roman" w:hAnsi="Times New Roman"/>
                <w:sz w:val="17"/>
                <w:szCs w:val="17"/>
                <w:color w:val="auto"/>
                <w:vertAlign w:val="superscript"/>
              </w:rPr>
              <w:t>(2)</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180,373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180,581</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352,634</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69,103</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421,737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Geography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Domestic</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352,634</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69,103</w:t>
            </w: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421,737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Amounts may not add to the totals due to rounding.</w:t>
      </w:r>
    </w:p>
    <w:p>
      <w:pPr>
        <w:spacing w:after="0" w:line="5" w:lineRule="exact"/>
        <w:rPr>
          <w:rFonts w:ascii="Times New Roman" w:cs="Times New Roman" w:eastAsia="Times New Roman" w:hAnsi="Times New Roman"/>
          <w:sz w:val="12"/>
          <w:szCs w:val="12"/>
          <w:i w:val="1"/>
          <w:iCs w:val="1"/>
          <w:color w:val="auto"/>
        </w:rPr>
      </w:pPr>
    </w:p>
    <w:p>
      <w:pPr>
        <w:ind w:left="380" w:hanging="330"/>
        <w:spacing w:after="0"/>
        <w:tabs>
          <w:tab w:leader="none" w:pos="380" w:val="left"/>
        </w:tabs>
        <w:numPr>
          <w:ilvl w:val="0"/>
          <w:numId w:val="2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4"/>
          <w:szCs w:val="14"/>
          <w:i w:val="1"/>
          <w:iCs w:val="1"/>
          <w:color w:val="auto"/>
        </w:rPr>
        <w:t>Includes the portion of revenue related to small business programs paid by the end user/customer.</w:t>
      </w:r>
    </w:p>
    <w:p>
      <w:pPr>
        <w:spacing w:after="0" w:line="11" w:lineRule="exact"/>
        <w:rPr>
          <w:rFonts w:ascii="Times New Roman" w:cs="Times New Roman" w:eastAsia="Times New Roman" w:hAnsi="Times New Roman"/>
          <w:sz w:val="12"/>
          <w:szCs w:val="12"/>
          <w:i w:val="1"/>
          <w:iCs w:val="1"/>
          <w:color w:val="auto"/>
        </w:rPr>
      </w:pPr>
    </w:p>
    <w:p>
      <w:pPr>
        <w:ind w:left="380" w:hanging="330"/>
        <w:spacing w:after="0" w:line="187" w:lineRule="auto"/>
        <w:tabs>
          <w:tab w:leader="none" w:pos="38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i w:val="1"/>
          <w:iCs w:val="1"/>
          <w:color w:val="auto"/>
        </w:rPr>
        <w:t>Revenue from our foreign operations was not material for the three and nine months ended October 3, 2025 and September 27, 2024</w:t>
      </w:r>
      <w:r>
        <w:rPr>
          <w:rFonts w:ascii="Times New Roman" w:cs="Times New Roman" w:eastAsia="Times New Roman" w:hAnsi="Times New Roman"/>
          <w:sz w:val="14"/>
          <w:szCs w:val="14"/>
          <w:color w:val="auto"/>
        </w:rPr>
        <w: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Three Months Ended October 3, 2025 Compared to Three Months Ended September 27, 2024</w:t>
      </w:r>
    </w:p>
    <w:p>
      <w:pPr>
        <w:spacing w:after="0" w:line="225"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Consolidated contract revenue increased $23.8 million, or 15.0%,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compared to the three months ended September 27, 2024, reflecting increased demand for our services in both our Energy segment and our Engineering and Consulting segment.</w:t>
      </w:r>
    </w:p>
    <w:p>
      <w:pPr>
        <w:spacing w:after="0" w:line="17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Contract revenue in our Energy segment increased $20.7 million, or 15.5%, in the three months ended October 3, 2025, compared to the three months ended September 27, 2024, primarily as a result of increased demand for energy efficiency and electrification services under utility programs, higher construction management revenues, higher planning and advisory consulting revenues, and the incremental revenues from our acquisitions of Enica Engineering, PLCC. (“Enica”) and Alternative Power Generation, Inc. (“APG”).</w:t>
      </w:r>
    </w:p>
    <w:p>
      <w:pPr>
        <w:spacing w:after="0" w:line="183" w:lineRule="exact"/>
        <w:rPr>
          <w:sz w:val="20"/>
          <w:szCs w:val="20"/>
          <w:color w:val="auto"/>
        </w:rPr>
      </w:pPr>
    </w:p>
    <w:p>
      <w:pPr>
        <w:jc w:val="both"/>
        <w:ind w:left="60" w:right="579" w:firstLine="648"/>
        <w:spacing w:after="0" w:line="261" w:lineRule="auto"/>
        <w:rPr>
          <w:sz w:val="20"/>
          <w:szCs w:val="20"/>
          <w:color w:val="auto"/>
        </w:rPr>
      </w:pPr>
      <w:r>
        <w:rPr>
          <w:rFonts w:ascii="Times New Roman" w:cs="Times New Roman" w:eastAsia="Times New Roman" w:hAnsi="Times New Roman"/>
          <w:sz w:val="18"/>
          <w:szCs w:val="18"/>
          <w:color w:val="auto"/>
        </w:rPr>
        <w:t>Contract revenue in our Engineering and Consulting segment increased $3.1 million, or 12.5%, in the three months ended October 3, 2025, compared to the three months ended September 27, 2024, primarily due to increased demand for services provided to our clients, combined with the incremental revenues from our acquisition of Alpha Inspections, Inc. (“Alpha”).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Direct costs of contract revenue. </w:t>
      </w:r>
      <w:r>
        <w:rPr>
          <w:rFonts w:ascii="Times New Roman" w:cs="Times New Roman" w:eastAsia="Times New Roman" w:hAnsi="Times New Roman"/>
          <w:sz w:val="18"/>
          <w:szCs w:val="18"/>
          <w:color w:val="auto"/>
        </w:rPr>
        <w:t>Direct costs of consolidated contract revenue increased $8.3 million, or 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October 3, 2025, compared to the three months ended September 27, 2024, primarily as a result of the increase and change of mix in contract revenues as described above. As a percentage of contract revenue, subcontractor services and other direct costs decreased to 47.8% in the three months ended October 3, 2025 from 52.2% in the three months ended September 27, 2024. Direct salaries and wages increased $3.8 million, or 15.7%, to support the increased volume of projects in the three months ended October 3, 2025, compared to the three months ended September 27, 2024.</w:t>
      </w:r>
    </w:p>
    <w:p>
      <w:pPr>
        <w:spacing w:after="0" w:line="185"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Direct costs of contract revenue in our Energy segment increased $6.7 million, or 7.0%, for the three months ended October 3, 2025, compared to the three months ended September 27, 2024. Direct costs of contract revenue for the Engineering and Consulting segment increased $1.6 million, or 14.9%, in the three months ended October 3, 2025, compared to the three months ended September 27, 2024.</w:t>
      </w:r>
    </w:p>
    <w:p>
      <w:pPr>
        <w:spacing w:after="0" w:line="18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Subcontractor services and other direct costs increased by $4.5 million, or 5.4%, in the three months ended October 3, 2025, compared to the three months ended September 27, 2024, primarily due to the increase in utility program revenues and construction management revenues, which utilize a higher percentage of material cost and installation subcontracting. Salaries and wages increased by $3.8 million, or 15.7%, in the three months ended October 3, 2025, compared to the three months ended September 27, 2024, primarily as a result of the increases in contract revenue as described above.</w:t>
      </w:r>
    </w:p>
    <w:p>
      <w:pPr>
        <w:spacing w:after="0" w:line="185" w:lineRule="exact"/>
        <w:rPr>
          <w:sz w:val="20"/>
          <w:szCs w:val="20"/>
          <w:color w:val="auto"/>
        </w:rPr>
      </w:pPr>
    </w:p>
    <w:p>
      <w:pPr>
        <w:jc w:val="both"/>
        <w:ind w:left="60" w:right="1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Gross profit increased 30.0% to $67.1 million, or 36.9% gross margin, for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October 3, 2025, compared to gross profit of $51.6 million, or 32.6% gross margin, for the three months ended September 27, 2024. The increase in our gross margin was primarily driven by changes in the mix of revenues as described above.</w:t>
      </w:r>
    </w:p>
    <w:p>
      <w:pPr>
        <w:spacing w:after="0" w:line="15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(“G&amp;A”) expenses increased $9.3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21.7%, to $52.2 million in the three months ended October 3, 2025, compared to $42.9 million for the three months ended September 27, 2024. G&amp;A expenses consisted of an increase of $7.4 million, or 23.1%, in the Energy segment combined with an increase of $1.0 million, or 11.1%, in the Engineering and Consulting segment, and an increase of $0.9 million in unallocated corporate expenses.</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overall increase in G&amp;A expenses consisted of an increase of $5.8 million in salaries and wages, payroll taxes and employee benefits, an increase of $2.1 million in other general and administrative expenses, and an increase of $1.1 million in stock-based compensation. The increase in salaries and wages, payroll taxes and employee benefits was primarily due to increased staffing from acquisitions, an increase in incentive compensation to support revenue growth, consistent with the improvement in operating profit, and higher fringe benefit costs consistent with the growth in direct and indirect labor costs. The increase in other general and administrative expenses was primarily due to increased professional service fees and computer-related expenses. The increase in stock-based compensation expenses was primarily related to new stock grants to current employees, executives, and Board of directors at a higher stock price.</w:t>
      </w:r>
    </w:p>
    <w:p>
      <w:pPr>
        <w:spacing w:after="0" w:line="190" w:lineRule="exact"/>
        <w:rPr>
          <w:sz w:val="20"/>
          <w:szCs w:val="20"/>
          <w:color w:val="auto"/>
        </w:rPr>
      </w:pPr>
    </w:p>
    <w:p>
      <w:pPr>
        <w:jc w:val="both"/>
        <w:ind w:left="60" w:right="3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(loss) from operations. </w:t>
      </w:r>
      <w:r>
        <w:rPr>
          <w:rFonts w:ascii="Times New Roman" w:cs="Times New Roman" w:eastAsia="Times New Roman" w:hAnsi="Times New Roman"/>
          <w:sz w:val="18"/>
          <w:szCs w:val="18"/>
          <w:color w:val="auto"/>
        </w:rPr>
        <w:t>Operating income increased 71.3% to $14.9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compared to an operating income of $8.7 million for the three months ended September 27, 2024, as a result of the factors noted above.</w:t>
      </w:r>
    </w:p>
    <w:p>
      <w:pPr>
        <w:spacing w:after="0" w:line="146" w:lineRule="exact"/>
        <w:rPr>
          <w:sz w:val="20"/>
          <w:szCs w:val="20"/>
          <w:color w:val="auto"/>
        </w:rPr>
      </w:pPr>
    </w:p>
    <w:p>
      <w:pPr>
        <w:ind w:left="60" w:right="31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Total other expense, net. </w:t>
      </w:r>
      <w:r>
        <w:rPr>
          <w:rFonts w:ascii="Times New Roman" w:cs="Times New Roman" w:eastAsia="Times New Roman" w:hAnsi="Times New Roman"/>
          <w:sz w:val="17"/>
          <w:szCs w:val="17"/>
          <w:color w:val="auto"/>
        </w:rPr>
        <w:t>Total other expense, net, decreased $0.6 million, or 51.2%, for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October 3, 2025, compared to the three months ended September 27, 2024, primarily due to the lower interest expense resulting from the reduced interest rate spread derived from lower debt leverage levels under our credit facilities.</w:t>
      </w:r>
    </w:p>
    <w:p>
      <w:pPr>
        <w:spacing w:after="0" w:line="155"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was $0.6 million for the three months ended October 3,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effective tax expense rate of 4.0% on income before income tax expense, compared to an income tax expense of $0.2 million for the three months ended September 27, 2024, an effective tax expense rate of 2.1% on income before tax expense. The increase in the effective tax rate resulted from the higher income before income tax combined with decreases in discrete items related lower energy-efficiency building deductions, partially offset by increases in discrete items related to stock compensation deductions.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Our net income was $13.7 million for the three months ended October 3,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net income of $7.3 million for the three months ended September 27, 2024. The increase in net income was primarily attributable to the increase in income from operations combined with the decrease in total other expense, net, partially offset by the higher effective tax rate.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Nine Months Ended October 3, 2025 Compared to Nine Months Ended September 27, 2024</w:t>
      </w:r>
    </w:p>
    <w:p>
      <w:pPr>
        <w:spacing w:after="0" w:line="225" w:lineRule="exact"/>
        <w:rPr>
          <w:sz w:val="20"/>
          <w:szCs w:val="20"/>
          <w:color w:val="auto"/>
        </w:rPr>
      </w:pPr>
    </w:p>
    <w:p>
      <w:pPr>
        <w:ind w:left="60" w:right="1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Consolidated contract revenue increased $86.1 million, or 20.4%,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compared to the nine months ended September 27, 2024, reflecting increased demand for our services in both our Energy segment and our Engineering and Consulting segment.</w:t>
      </w:r>
    </w:p>
    <w:p>
      <w:pPr>
        <w:spacing w:after="0" w:line="17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Contract revenue in our Energy segment increased $75.1 million, or 21.3%, in the nine months ended October 3, 2025, compared to the nine months ended September 27, 2024, primarily as a result of increased demand for energy efficiency and electrification services under utility programs, higher construction management revenues, higher planning and advisory consulting revenues, and the incremental revenues from our acquisitions of Enica and APG.</w:t>
      </w:r>
    </w:p>
    <w:p>
      <w:pPr>
        <w:spacing w:after="0" w:line="180" w:lineRule="exact"/>
        <w:rPr>
          <w:sz w:val="20"/>
          <w:szCs w:val="20"/>
          <w:color w:val="auto"/>
        </w:rPr>
      </w:pPr>
    </w:p>
    <w:p>
      <w:pPr>
        <w:jc w:val="both"/>
        <w:ind w:left="60" w:right="579" w:firstLine="648"/>
        <w:spacing w:after="0" w:line="289" w:lineRule="auto"/>
        <w:rPr>
          <w:sz w:val="20"/>
          <w:szCs w:val="20"/>
          <w:color w:val="auto"/>
        </w:rPr>
      </w:pPr>
      <w:r>
        <w:rPr>
          <w:rFonts w:ascii="Times New Roman" w:cs="Times New Roman" w:eastAsia="Times New Roman" w:hAnsi="Times New Roman"/>
          <w:sz w:val="17"/>
          <w:szCs w:val="17"/>
          <w:color w:val="auto"/>
        </w:rPr>
        <w:t>Contract revenue in our Engineering and Consulting segment increased $11.0 million, or 15.9%, in the nine months ended October 3, 2025, compared to the nine months ended September 27, 2024, primarily due to increased demand for services provided to our clients, combined with the incremental revenues from our acquisition of Alpha.</w:t>
      </w:r>
    </w:p>
    <w:p>
      <w:pPr>
        <w:spacing w:after="0" w:line="1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Direct costs of contract revenue. </w:t>
      </w:r>
      <w:r>
        <w:rPr>
          <w:rFonts w:ascii="Times New Roman" w:cs="Times New Roman" w:eastAsia="Times New Roman" w:hAnsi="Times New Roman"/>
          <w:sz w:val="18"/>
          <w:szCs w:val="18"/>
          <w:color w:val="auto"/>
        </w:rPr>
        <w:t>Direct costs of consolidated contract revenue increased $40.9 million, or 14.9%,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October 3, 2025, compared to the nine months ended September 27, 2024, primarily as a result of the increase and change of mix in contract revenues as described above. As a percentage of contract revenue, subcontractor services and other direct costs decreased to 45.8% in the nine months ended October 3, 2025 from 48.5% in the nine months ended September 27, 2024. Direct salaries and wages increased $13.0 million, or 18.7%, to support the increased volume of projects in the nine months ended October 3, 2025, compared to the nine months ended September 27, 2024.</w:t>
      </w:r>
    </w:p>
    <w:p>
      <w:pPr>
        <w:spacing w:after="0" w:line="185"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Direct costs of contract revenue in our Energy segment increased $35.9 million, or 14.8%, for the nine months ended October 3, 2025, compared to the nine months ended September 27, 2024. Direct costs of contract revenue for the Engineering and Consulting segment increased $5.0 million, or 16.0%, in the nine months ended October 3, 2025, compared to the nine months ended September 27, 2024.</w:t>
      </w:r>
    </w:p>
    <w:p>
      <w:pPr>
        <w:spacing w:after="0" w:line="180"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Subcontractor services and other direct costs increased by $27.9 million, or 13.6%, in the nine months ended October 3, 2025, compared to the nine months ended September 27, 2024, primarily due to the increase in utility program revenues and construction management revenues, which utilize a higher percentage of material cost and installation subcontracting. Salaries and wages increased by $13.0 million, or 18.7%, in the nine months ended October 3, 2025, compared to the nine months ended September 27, 2024, primarily as a result of the increases in contract revenue as described above.</w:t>
      </w:r>
    </w:p>
    <w:p>
      <w:pPr>
        <w:spacing w:after="0" w:line="185" w:lineRule="exact"/>
        <w:rPr>
          <w:sz w:val="20"/>
          <w:szCs w:val="20"/>
          <w:color w:val="auto"/>
        </w:rPr>
      </w:pPr>
    </w:p>
    <w:p>
      <w:pPr>
        <w:jc w:val="both"/>
        <w:ind w:left="60" w:right="13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Gross profit increased 30.6% to $193.1 million, or 38.0% gross margin, for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October 3, 2025, compared to gross profit of $147.8 million, or 35.1% gross margin, for the nine months ended September 27, 2024. The increase in our gross margin was primarily driven by changes in the mix of revenues as described above.</w:t>
      </w:r>
    </w:p>
    <w:p>
      <w:pPr>
        <w:spacing w:after="0" w:line="15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G&amp;A expenses increased $32.0 million, or 25.1%, to $159.4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October 3, 2025, compared to $127.3 million for the nine months ended September 27, 2024. G&amp;A expenses consisted of an increase of $23.9 million, or 25.2%, in the Energy segment combined with an increase of $3.0 million, or 10.7%, in the Engineering and Consulting segment, and an increase of $5.1 million in unallocated corporate expenses.</w:t>
      </w:r>
    </w:p>
    <w:p>
      <w:pPr>
        <w:spacing w:after="0" w:line="18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overall increase in G&amp;A expenses consisted of an increase of $17.0 million in salaries and wages, payroll taxes and employee benefits, an increase of $8.6 million in other general and administrative expenses, an increase of $3.4 million in stock-based compensation, and an increase of $2.9 million in depreciation and amortization. The increase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salaries and wages, payroll taxes and employee benefits was primarily due to increased staffing from acquisitions, an increase in incentive compensation to support revenue growth, consistent with the improvement in operating profit, and higher fringe benefit costs consistent with the growth in direct and indirect labor costs. The increase in other general and administrative expenses was primarily due to increased professional service fees and computer-related expenses. The increase in stock-based compensation expenses was primarily related to new stock grants to current employees, executives and Board of directors at a higher stock price. The increase in depreciation and amortization was primarily related to higher amortization of intangible assets from recent acquisitions.</w:t>
      </w:r>
    </w:p>
    <w:p>
      <w:pPr>
        <w:spacing w:after="0" w:line="187" w:lineRule="exact"/>
        <w:rPr>
          <w:sz w:val="20"/>
          <w:szCs w:val="20"/>
          <w:color w:val="auto"/>
        </w:rPr>
      </w:pPr>
    </w:p>
    <w:p>
      <w:pPr>
        <w:jc w:val="both"/>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(loss) from operations. </w:t>
      </w:r>
      <w:r>
        <w:rPr>
          <w:rFonts w:ascii="Times New Roman" w:cs="Times New Roman" w:eastAsia="Times New Roman" w:hAnsi="Times New Roman"/>
          <w:sz w:val="18"/>
          <w:szCs w:val="18"/>
          <w:color w:val="auto"/>
        </w:rPr>
        <w:t>Operating income increased 64.6% to $33.7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compared to an operating income of $20.5 million for the nine months ended September 27, 2024, as a result of the factors noted above.</w:t>
      </w:r>
    </w:p>
    <w:p>
      <w:pPr>
        <w:spacing w:after="0" w:line="146"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other expense, net. </w:t>
      </w:r>
      <w:r>
        <w:rPr>
          <w:rFonts w:ascii="Times New Roman" w:cs="Times New Roman" w:eastAsia="Times New Roman" w:hAnsi="Times New Roman"/>
          <w:sz w:val="18"/>
          <w:szCs w:val="18"/>
          <w:color w:val="auto"/>
        </w:rPr>
        <w:t>Total other expense, net, increased $0.3 million, or 8.3%,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compared to the nine months ended September 27, 2024, primarily due to a one-time charge for unamortized debt issuance costs related to our prior credit facilities combined with a one-time charge related to a facility lease modification, partially offset by lower interest expense resulting from the reduced interest rate spread derived from lower debt leverage levels under our credit facilities.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We recorded an income tax benefit of $4.2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2025, an effective tax benefit rate of 14.1% on income before income tax expense, compared to an income tax expense of $1.9 million for the nine months ended September 27, 2024, an effective tax rate of 11.1% on income before tax expense. The reduction in the effective tax rate resulted from increases in discrete items related to stock compensation deductions and additional energy-efficiency building deductions.</w:t>
      </w:r>
    </w:p>
    <w:p>
      <w:pPr>
        <w:spacing w:after="0" w:line="183"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Our net income was $33.8 million for the nine months ended October 3, 2025,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of $14.9 million for the nine months ended September 27, 2024. The increase in net income was primarily attributable to the increase in income from operations combined with the tax benefit.</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340" w:type="dxa"/>
            <w:vAlign w:val="bottom"/>
          </w:tcPr>
          <w:p>
            <w:pPr>
              <w:spacing w:after="0"/>
              <w:rPr>
                <w:sz w:val="18"/>
                <w:szCs w:val="18"/>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9"/>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7"/>
                <w:szCs w:val="17"/>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38,611</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(40,327)</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(41,626)</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1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for the next 12 months and beyond are cash generated from operations, cash and cash equivalents, and available borrowings under our Revolving Credit Facility and Delayed Draw Term Loan under the Credit Agreement (the “Credit Facilities”). We believe these sources will be sufficient to finance our operating activities for at least the next 12 months.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October 3, 2025, we had a fully drawn $50.0 million term loan with $49.4 million outstanding, a</w:t>
      </w:r>
    </w:p>
    <w:p>
      <w:pPr>
        <w:spacing w:after="0" w:line="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$100.0 million Revolving Credit Facility with no borrowed amounts outstanding and $1.6 million in letters of credit issued, and a $50.0 million Delayed Draw Term Loan which has not been drawn on. The Delayed Draw Term Loan must be drawn before May 2027. The Credit Facilities are each scheduled to mature on May 5, 2030. In addition to the Credit Facilities, we had $33.1 million of unrestricted cash and cash equivalents as of October 3, 2025. Unhedged borrowings under our Credit Facilities, exclusive of the effects of upfront fees, undrawn fees and issuance cost amortization, bore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interest at an annual rate of 5.7% as of October 3, 2025. See Part I, Item 1, Note 6, “Debt Obligations”, of the Notes to Condensed Consolidated Financial Statements included in this Quarterly Report on Form 10-Q for information regarding our indebtedness, including information about Amended and Restated Credit Agreement (the “Amended and Restated Credit Agreement”) and repayments, principal repayment terms, interest rates, covenants, and other key terms of our outstanding indebtedness.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Cash flows provided by operating activities were $40.9 million for the nine months ended October 3, 2025, as compared to cash flows provided by operating activities of $38.6 million for the nine months ended September 27, 2024.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nine months ended October 3, 2025, resulted primarily from the increase in earnings partially offset by higher working capital requirements to support the expansion of revenue. Cash flows provided by operating activities for the nine months ended September 27, 2024, resulted primarily from the increase in earnings and reduced working capital requirements resulting from faster billing and improved collections.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were $40.3 million for the nine months ended October 3, 2025, as compared to cash flows used in investing activities of $6.0 million for the nine months ended September 27, 2024. Cash flows used in investing activities for the nine months ended October 3, 2025 and September 27, 2024, were primarily due to cash paid for acquisitions, combined with cash paid for the development of proprietary software and the purchase of computers and equipment.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699" w:firstLine="648"/>
        <w:spacing w:after="0" w:line="312" w:lineRule="auto"/>
        <w:rPr>
          <w:sz w:val="20"/>
          <w:szCs w:val="20"/>
          <w:color w:val="auto"/>
        </w:rPr>
      </w:pPr>
      <w:r>
        <w:rPr>
          <w:rFonts w:ascii="Times New Roman" w:cs="Times New Roman" w:eastAsia="Times New Roman" w:hAnsi="Times New Roman"/>
          <w:sz w:val="17"/>
          <w:szCs w:val="17"/>
          <w:color w:val="auto"/>
        </w:rPr>
        <w:t>Cash flows used in financing activities were $41.6 million for the nine months ended October 3, 2025, as compared to cash flows used in financing activities of $2.9 million for the nine months ended September 27, 2024.</w:t>
      </w:r>
    </w:p>
    <w:p>
      <w:pPr>
        <w:spacing w:after="0" w:line="14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the nine months ended October 3, 2025, cash flows used in financing activities were primarily attributable to the $39.0 million cash used to pay down our Revolving Credit Facility, $5.1 million cash used to pay withholding taxes on stock grants, $1.1 million principal payments on finance leases combined with repayments and borrowings of $90.0 million and $88.4 million, respectively, related to our Amended and Restated Credit Agreement. Cash flows used in financing activities were partially offset by $3.2 million of proceeds from sales of common stock under the employee stock purchase plan, and $2.5 million in proceeds from stock option exercise. Cash flows used in financing activities for the nine months ended September 27, 2024 were primarily attributable to the repayments of $5.6 million under our Term Loan, $1.2 million cash used to pay withholding taxes on stock grants, and $1.0 million principal payments on finance leases, partially offset by $2.8 million of proceeds from sales of common stock under employee stock purchase plan and $2.4 million in proceeds from stock option exercises.</w:t>
      </w:r>
    </w:p>
    <w:p>
      <w:pPr>
        <w:spacing w:after="0" w:line="14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or liabilities. In addition, our policy is not to enter into futures or forward contracts. Finally, we do not have any majority-owned subsidiaries or any interests in,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Times New Roman" w:cs="Times New Roman" w:eastAsia="Times New Roman" w:hAnsi="Times New Roman"/>
          <w:sz w:val="17"/>
          <w:szCs w:val="17"/>
          <w:color w:val="auto"/>
        </w:rPr>
        <w:t>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Short and Long-term Uses of Cash</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Our principal uses of cash are to fund operating expenses, support working capital requirements, finance capital expenditures, and pay down outstanding debt. From time to time, we also use cash to help fund business acquisitions. Our cash and cash equivalents are impacted by the timing of when we invoice and are paid by our customers for services rendered and when we pay expenses as reflected in the change in our outstanding accounts payable and accrued expenses.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our known contractual obligations as of October 3,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0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2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Debt </w:t>
            </w:r>
            <w:r>
              <w:rPr>
                <w:rFonts w:ascii="Times New Roman" w:cs="Times New Roman" w:eastAsia="Times New Roman" w:hAnsi="Times New Roman"/>
                <w:sz w:val="25"/>
                <w:szCs w:val="25"/>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Interest payments on debt outstanding </w:t>
            </w:r>
            <w:r>
              <w:rPr>
                <w:rFonts w:ascii="Times New Roman" w:cs="Times New Roman" w:eastAsia="Times New Roman" w:hAnsi="Times New Roman"/>
                <w:sz w:val="25"/>
                <w:szCs w:val="25"/>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$ 79,914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7" w:lineRule="exact"/>
        <w:rPr>
          <w:sz w:val="20"/>
          <w:szCs w:val="20"/>
          <w:color w:val="auto"/>
        </w:rPr>
      </w:pPr>
    </w:p>
    <w:p>
      <w:pPr>
        <w:ind w:left="380" w:right="159" w:hanging="330"/>
        <w:spacing w:after="0" w:line="237"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Debt includes $49.1 million outstanding on our Term Loan A (“TLA”), net of issuance costs, no borrowed amounts outstanding on our Revolving Credit Facility, and no borrowed amounts outstanding on our Delayed Draw Term Loan as of October 3, 2025. We have assumed no future borrowings or repayments after October 3, 2025 (other than at maturity) for purposes of this table. Our TLA and Revolving Credit Facility are scheduled to mature on May 5, 2030.</w:t>
      </w:r>
    </w:p>
    <w:p>
      <w:pPr>
        <w:ind w:left="380" w:right="339" w:hanging="330"/>
        <w:spacing w:after="0" w:line="211"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Borrowings under our TLA and Revolving Credit Facility bear interest at a variable rate. Future interest payments on our Credit Facility are estimated using floating rates in effect as of October 3, 2025.</w:t>
      </w:r>
    </w:p>
    <w:p>
      <w:pPr>
        <w:spacing w:after="0" w:line="19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have contingent obligations to make earnout payments in connection with our acquisitions of Enica and APG, subject to their future financial performance. We are obligated to pay up to $6.0 million in cash if Enica exceeds certain financial targets during the two years after the Enica closing date of October 23, 2024, and are obligated to pay up to $18.0 million in cash if APG exceeds certain financial targets during the three years after the APG closing date of March 3, 2025. As of October 3, 2025, we had contingent consideration payable of $18.5 million related to the acquisitions of Enica and APG and, through the nine months ended October 3, 2025, our statement of operations includes $2.3 million of interest accretion (excluding fair value adjustments) related to the contingent consideration.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Outstanding Indebtedness</w:t>
      </w:r>
    </w:p>
    <w:p>
      <w:pPr>
        <w:spacing w:after="0" w:line="22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See Part I, Item 1, Note 6,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of the Notes to Condensed Consolidated Financial Statements included in this Quarterly Report on Form 10-Q, and Part II, Item 8, Note 5,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of the Notes to Consolidated Financial Statements included in our Annual Report on Form 10-K for the fiscal year ended December 27, 2024, for information regarding our indebtedness, including information about new borrowings and repayments, principal repayment terms, interest rates, covenants, and other key terms of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enter into interest rate swap agreements to moderate our exposure to fluctuations in interest rates underlying our variable rate debt. For more information, see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and Note 5,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to the Notes to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Due to the average duration of our projects and our ability to negotiate prices as contracts end and new contracts begin, historically, our operations have not been materially impacted by inflation.</w:t>
      </w:r>
    </w:p>
    <w:p>
      <w:pPr>
        <w:spacing w:after="0" w:line="162"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spacing w:after="0" w:line="164"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Certain Federal Policies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Federal policies related to tariffs and renewable energy incentives have been subject to frequent and significant changes from executive orders issued by the new federal administration. While we have not experienced a material impact to our operating results or our outlook for future business, there can be no assurance that these measures will not impact our ability to procure cost-effective pricing of materials used in our projects at various building sites, or result in a reduction in demand for our services as a result of inflation, lead times, or other impacts that may derive from changes in the current administration’s executive orders.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Revenue and Expense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October 3, 2025, 18% of our contracts are time-and-materials contracts, 36% are unit-based contracts, and 46% are fixed price contracts, compared to 18% are time-and-materials contracts, 38% are unit-based contracts, and 44% are fixed price contracts, as of September 27, 2024.</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spacing w:after="0" w:line="18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contracts come up for renewal periodically and at the time of renewal may be subject to renegotiation, which could impact the profitability of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Southern California Edison, may have a material effect on our consolidated operations.</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Direct Costs of Contract Revenue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Other companies may classify as direct costs of contract revenue some of the costs that we classify as general and administrative costs. We expense direct costs of contract revenue when incurred.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date of the financial statements and the reported amount of revenue and expenses in the reporting period. Our actual results may differ from these estimates. We have adopted accounting policies and practices that are generally accepted in the industry in which we operate.</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10-K for our fiscal year ended December 27, 2024. Please refer to Part II, Item 7 of our Annual Report on Form 10-K for the fiscal year ended December 27, 2024 for a discussion of our critical accounting policies and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43"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recently issued and adopted accounting pronouncements, including adoption dates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Pronouncements</w:t>
      </w:r>
      <w:r>
        <w:rPr>
          <w:rFonts w:ascii="Times New Roman" w:cs="Times New Roman" w:eastAsia="Times New Roman" w:hAnsi="Times New Roman"/>
          <w:sz w:val="18"/>
          <w:szCs w:val="18"/>
          <w:color w:val="auto"/>
        </w:rPr>
        <w:t>”, of the Notes to Condensed Consolidated Financial Statements included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spacing w:after="0" w:line="18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October 3, 2025, we had cash and cash equivalents of $33.1 million. This amount represents cash on hand in business checking accounts with our banks. We do not engage in trading activities and do not participate in foreign currency transactions.</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in connection with our Term Loan A (“TLA”) and borrowings, if any, under our Revolving Credit Facility, each of which bears interest at variable rates. As of October 3, 2025, the Company had a fully drawn $50.0 million TLA with $49.4 million outstanding, a $100.0 million Revolving Credit Facility with no borrowed amounts, and $1.6 million in letters of credit issued, and a $50.0 million Delayed Draw Term Loan with no borrowed amounts. Each of our TLA, Revolving Credit Facility and Delayed Draw Term Loan mature on May 5, 2030 and are governed by our Credit Agreement.</w:t>
      </w:r>
    </w:p>
    <w:p>
      <w:pPr>
        <w:spacing w:after="0" w:line="18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Based upon the amount of our outstanding indebtedness as of October 3, 2025, a one percentage point increase in the effective interest rate would change our annual interest expense by approximately $0.5 million in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 including our President and Chief Executive Officer, Michael A. Bieber, and our Chief Financial Officer and Executive Vice President, Creighton K. Early, as appropriate to allow timely decisions regarding required disclosure.</w:t>
      </w:r>
    </w:p>
    <w:p>
      <w:pPr>
        <w:spacing w:after="0" w:line="188" w:lineRule="exact"/>
        <w:rPr>
          <w:sz w:val="20"/>
          <w:szCs w:val="20"/>
          <w:color w:val="auto"/>
        </w:rPr>
      </w:pPr>
    </w:p>
    <w:p>
      <w:pPr>
        <w:jc w:val="both"/>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an evaluation was performed under the supervision and with the participation of our management, including our principal executive officer and principal financial officer, of the effectiveness of our disclosure controls and procedures as of October 3, 2025. Based on that evaluation, our principal executive officer and principal financial officer concluded that our disclosure controls and procedures were effective, at a reasonable assurance level, as of October 3, 2025.</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January 31, 2025, and March 3, 2025, we completed the acquisition of </w:t>
      </w:r>
      <w:r>
        <w:rPr>
          <w:rFonts w:ascii="Times New Roman" w:cs="Times New Roman" w:eastAsia="Times New Roman" w:hAnsi="Times New Roman"/>
          <w:sz w:val="18"/>
          <w:szCs w:val="18"/>
          <w:color w:val="212529"/>
        </w:rPr>
        <w:t>Alpha, and APG, respectively.</w:t>
      </w:r>
      <w:r>
        <w:rPr>
          <w:rFonts w:ascii="Times New Roman" w:cs="Times New Roman" w:eastAsia="Times New Roman" w:hAnsi="Times New Roman"/>
          <w:sz w:val="18"/>
          <w:szCs w:val="18"/>
          <w:color w:val="auto"/>
        </w:rPr>
        <w:t xml:space="preserve"> Prior to the acquisition, Alpha, and APG were privately-held companies and were not subject to the Sarbanes-Oxley Act of 2002, the rules and regulations of the SEC, or other corporate governance requirements applicable to public reporting companies. As part of our ongoing integration activities, we are continuing to incorporate our controls and procedures into Alpha, and APG, and, if needed, to augment our company-wide controls to reflect the risks that may be inherent in the acquisition of these privately-held companies.</w:t>
      </w:r>
    </w:p>
    <w:p>
      <w:pPr>
        <w:spacing w:after="0" w:line="133"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Other than our integration of Alpha, and APG, there have been no changes in our internal control over financial reporting during the quarter ended October 3,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99"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There are no material changes to the risk factors set forth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27, 2024.</w:t>
      </w: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During the fiscal quarter ended October 3, 2025, we made the following repurchases of shares of our common stock from employees to satisfy tax withholding obligations incurred in connection with the vesting of restricted stock:</w:t>
      </w:r>
    </w:p>
    <w:p>
      <w:pPr>
        <w:spacing w:after="0" w:line="354"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Approximate Dollar</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2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5, 2025 – August 1, 2025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2, 2025 – August 29, 2025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18,773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$109.40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2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30, 2025 – October 3, 2025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900" w:type="dxa"/>
            <w:vAlign w:val="bottom"/>
            <w:tcBorders>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18,773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$109.40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760" w:type="dxa"/>
            <w:vAlign w:val="bottom"/>
            <w:tcBorders>
              <w:bottom w:val="single" w:sz="8" w:color="auto"/>
            </w:tcBorders>
            <w:gridSpan w:val="14"/>
          </w:tcPr>
          <w:p>
            <w:pPr>
              <w:ind w:left="2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6"/>
        </w:trPr>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5"/>
                <w:szCs w:val="15"/>
                <w:color w:val="auto"/>
              </w:rPr>
              <w:t>2.1</w:t>
            </w:r>
            <w:r>
              <w:rPr>
                <w:rFonts w:ascii="Times New Roman" w:cs="Times New Roman" w:eastAsia="Times New Roman" w:hAnsi="Times New Roman"/>
                <w:sz w:val="22"/>
                <w:szCs w:val="22"/>
                <w:color w:val="auto"/>
                <w:vertAlign w:val="superscript"/>
              </w:rPr>
              <w:t>‡</w:t>
            </w:r>
          </w:p>
        </w:tc>
        <w:tc>
          <w:tcPr>
            <w:tcW w:w="120" w:type="dxa"/>
            <w:vAlign w:val="bottom"/>
          </w:tcPr>
          <w:p>
            <w:pPr>
              <w:spacing w:after="0"/>
              <w:rPr>
                <w:sz w:val="17"/>
                <w:szCs w:val="17"/>
                <w:color w:val="auto"/>
              </w:rPr>
            </w:pPr>
          </w:p>
        </w:tc>
        <w:tc>
          <w:tcPr>
            <w:tcW w:w="8000" w:type="dxa"/>
            <w:vAlign w:val="bottom"/>
            <w:gridSpan w:val="16"/>
          </w:tcPr>
          <w:p>
            <w:pPr>
              <w:spacing w:after="0"/>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Stock Purchase Agreement, dated as of March 3, 2025, by and among Willdan Group, Inc., Willdan Energy</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16"/>
          </w:tcPr>
          <w:p>
            <w:pPr>
              <w:spacing w:after="0"/>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Solutions, Inc. and each of the stockholders of APG. (incorporated by reference to Exhibit 2.1 to Willdan Group,</w:t>
              </w:r>
            </w:hyperlink>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7"/>
                <w:szCs w:val="17"/>
                <w:color w:val="0000EE"/>
                <w:w w:val="99"/>
              </w:rPr>
            </w:pPr>
            <w:hyperlink r:id="rId75">
              <w:r>
                <w:rPr>
                  <w:rFonts w:ascii="Times New Roman" w:cs="Times New Roman" w:eastAsia="Times New Roman" w:hAnsi="Times New Roman"/>
                  <w:sz w:val="17"/>
                  <w:szCs w:val="17"/>
                  <w:color w:val="0000EE"/>
                  <w:w w:val="99"/>
                </w:rPr>
                <w:t>Inc.’s Quarterly Report on Form 10-Q, filed with the SEC on May 9, 2025).</w:t>
              </w:r>
            </w:hyperlink>
          </w:p>
        </w:tc>
        <w:tc>
          <w:tcPr>
            <w:tcW w:w="252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263"/>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8000" w:type="dxa"/>
            <w:vAlign w:val="bottom"/>
            <w:gridSpan w:val="16"/>
          </w:tcPr>
          <w:p>
            <w:pPr>
              <w:spacing w:after="0"/>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First Amended and Restated Certificate of Incorporation of Willdan Group, Inc. (incorporated by reference to</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16"/>
          </w:tcPr>
          <w:p>
            <w:pPr>
              <w:spacing w:after="0" w:line="183"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Willdan Group, Inc.’s Registration Statement on Form S-1, filed with the SEC on August 9, 2006, as amended (File</w:t>
              </w:r>
            </w:hyperlink>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00" w:type="dxa"/>
            <w:vAlign w:val="bottom"/>
            <w:tcBorders>
              <w:top w:val="single" w:sz="8" w:color="0000EE"/>
            </w:tcBorders>
            <w:gridSpan w:val="13"/>
          </w:tcPr>
          <w:p>
            <w:pPr>
              <w:spacing w:after="0" w:line="183"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No. 333-136444))</w:t>
              </w:r>
              <w:r>
                <w:rPr>
                  <w:rFonts w:ascii="Times New Roman" w:cs="Times New Roman" w:eastAsia="Times New Roman" w:hAnsi="Times New Roman"/>
                  <w:sz w:val="17"/>
                  <w:szCs w:val="17"/>
                  <w:color w:val="000000"/>
                </w:rPr>
                <w:t>.</w:t>
              </w:r>
            </w:hyperlink>
          </w:p>
        </w:tc>
        <w:tc>
          <w:tcPr>
            <w:tcW w:w="100" w:type="dxa"/>
            <w:vAlign w:val="bottom"/>
            <w:gridSpan w:val="3"/>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1"/>
                <w:szCs w:val="21"/>
                <w:color w:val="auto"/>
              </w:rPr>
            </w:pPr>
          </w:p>
        </w:tc>
        <w:tc>
          <w:tcPr>
            <w:tcW w:w="78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Second Amended and Restated Bylaws of Willdan Group, Inc. (incorporated by reference to Exhibit 3.1 to Willdan</w:t>
              </w:r>
            </w:hyperlink>
          </w:p>
        </w:tc>
        <w:tc>
          <w:tcPr>
            <w:tcW w:w="120" w:type="dxa"/>
            <w:vAlign w:val="bottom"/>
            <w:gridSpan w:val="4"/>
          </w:tcPr>
          <w:p>
            <w:pPr>
              <w:spacing w:after="0"/>
              <w:rPr>
                <w:sz w:val="21"/>
                <w:szCs w:val="21"/>
                <w:color w:val="auto"/>
              </w:rPr>
            </w:pPr>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4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w w:val="99"/>
              </w:rPr>
            </w:pPr>
            <w:hyperlink r:id="rId77">
              <w:r>
                <w:rPr>
                  <w:rFonts w:ascii="Times New Roman" w:cs="Times New Roman" w:eastAsia="Times New Roman" w:hAnsi="Times New Roman"/>
                  <w:sz w:val="17"/>
                  <w:szCs w:val="17"/>
                  <w:color w:val="0000EE"/>
                  <w:w w:val="99"/>
                </w:rPr>
                <w:t>Group, Inc.’s Current Report on Form 8-K, filed with the SEC on July 12, 2023).</w:t>
              </w:r>
            </w:hyperlink>
          </w:p>
        </w:tc>
        <w:tc>
          <w:tcPr>
            <w:tcW w:w="2460" w:type="dxa"/>
            <w:vAlign w:val="bottom"/>
            <w:gridSpan w:val="10"/>
          </w:tcPr>
          <w:p>
            <w:pPr>
              <w:spacing w:after="0"/>
              <w:rPr>
                <w:sz w:val="15"/>
                <w:szCs w:val="15"/>
                <w:color w:val="auto"/>
              </w:rPr>
            </w:pPr>
          </w:p>
        </w:tc>
      </w:tr>
      <w:tr>
        <w:trPr>
          <w:trHeight w:val="250"/>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1"/>
                <w:szCs w:val="21"/>
                <w:color w:val="auto"/>
              </w:rPr>
            </w:pPr>
          </w:p>
        </w:tc>
        <w:tc>
          <w:tcPr>
            <w:tcW w:w="8000" w:type="dxa"/>
            <w:vAlign w:val="bottom"/>
            <w:gridSpan w:val="16"/>
          </w:tcPr>
          <w:p>
            <w:pPr>
              <w:spacing w:after="0"/>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Specimen Stock Certificate for shares of the Registrant’s Common Stock (incorporated by reference to Willdan</w:t>
              </w:r>
            </w:hyperlink>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16"/>
          </w:tcPr>
          <w:p>
            <w:pPr>
              <w:spacing w:after="0" w:line="183"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Group, Inc.’s Registration Statement on Form S-1, filed with the SEC on August 9, 2006, as amended (File No. 333-</w:t>
              </w:r>
            </w:hyperlink>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0000EE"/>
            </w:tcBorders>
            <w:gridSpan w:val="2"/>
          </w:tcPr>
          <w:p>
            <w:pPr>
              <w:spacing w:after="0" w:line="183"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136444)</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000000"/>
                </w:rPr>
                <w:t>.</w:t>
              </w:r>
            </w:hyperlink>
          </w:p>
        </w:tc>
        <w:tc>
          <w:tcPr>
            <w:tcW w:w="238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9"/>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3"/>
                <w:szCs w:val="23"/>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w:t>
            </w:r>
          </w:p>
        </w:tc>
      </w:tr>
      <w:tr>
        <w:trPr>
          <w:trHeight w:val="203"/>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with respect to issues of long-term debt of Willdan Group, Inc. and its subsidiaries, the authorized principal amount</w:t>
            </w:r>
          </w:p>
        </w:tc>
      </w:tr>
      <w:tr>
        <w:trPr>
          <w:trHeight w:val="222"/>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of which does not exceed 10% of the consolidated assets of Willdan Group, Inc. and its subsidiaries.</w:t>
            </w:r>
          </w:p>
        </w:tc>
      </w:tr>
      <w:tr>
        <w:trPr>
          <w:trHeight w:val="232"/>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0"/>
                <w:szCs w:val="20"/>
                <w:color w:val="auto"/>
              </w:rPr>
            </w:pPr>
          </w:p>
        </w:tc>
        <w:tc>
          <w:tcPr>
            <w:tcW w:w="7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rPr>
              <w:t>Certification of Chief Executive Officer pursuant to Rule 13a-14(a) or 15d-14(a) under the Securities Exchange Act</w:t>
            </w:r>
          </w:p>
        </w:tc>
        <w:tc>
          <w:tcPr>
            <w:tcW w:w="80" w:type="dxa"/>
            <w:vAlign w:val="bottom"/>
            <w:gridSpan w:val="2"/>
          </w:tcPr>
          <w:p>
            <w:pPr>
              <w:spacing w:after="0"/>
              <w:rPr>
                <w:sz w:val="20"/>
                <w:szCs w:val="20"/>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of 1934, as adopted pursuant to § 302 of the Sarbanes-Oxley Act of 2002.</w:t>
            </w: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80" w:type="dxa"/>
            <w:vAlign w:val="bottom"/>
            <w:tcBorders>
              <w:left w:val="single" w:sz="8" w:color="0000EE"/>
            </w:tcBorders>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63"/>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2"/>
                <w:szCs w:val="22"/>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Certification of Chief Financial Officer pursuant to Rule 13a-14(a) or 15d-14(a) under the Securities Exchange Act</w:t>
            </w:r>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60" w:type="dxa"/>
            <w:vAlign w:val="bottom"/>
            <w:tcBorders>
              <w:top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7"/>
                <w:szCs w:val="17"/>
                <w:color w:val="0000EE"/>
              </w:rPr>
              <w:t>of 1934, as adopted pursuant to § 302 of the Sarbanes-Oxley Act of 2002</w:t>
            </w:r>
            <w:r>
              <w:rPr>
                <w:rFonts w:ascii="Times New Roman" w:cs="Times New Roman" w:eastAsia="Times New Roman" w:hAnsi="Times New Roman"/>
                <w:sz w:val="17"/>
                <w:szCs w:val="17"/>
                <w:color w:val="000000"/>
              </w:rPr>
              <w:t>.</w:t>
            </w:r>
          </w:p>
        </w:tc>
        <w:tc>
          <w:tcPr>
            <w:tcW w:w="140" w:type="dxa"/>
            <w:vAlign w:val="bottom"/>
            <w:gridSpan w:val="5"/>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250"/>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1"/>
                <w:szCs w:val="21"/>
                <w:color w:val="auto"/>
              </w:rPr>
            </w:pPr>
          </w:p>
        </w:tc>
        <w:tc>
          <w:tcPr>
            <w:tcW w:w="7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Certifications of Chief Executive Officer and Chief Financial Officer pursuant to 18 U.S.C. 1350, as adopted</w:t>
            </w:r>
          </w:p>
        </w:tc>
        <w:tc>
          <w:tcPr>
            <w:tcW w:w="520" w:type="dxa"/>
            <w:vAlign w:val="bottom"/>
            <w:gridSpan w:val="8"/>
          </w:tcPr>
          <w:p>
            <w:pPr>
              <w:spacing w:after="0"/>
              <w:rPr>
                <w:sz w:val="21"/>
                <w:szCs w:val="21"/>
                <w:color w:val="auto"/>
              </w:rPr>
            </w:pPr>
          </w:p>
        </w:tc>
      </w:tr>
      <w:tr>
        <w:trPr>
          <w:trHeight w:val="183"/>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pursuant to § 906 of the Sarbanes-Oxley Act of 2002</w:t>
            </w:r>
            <w:r>
              <w:rPr>
                <w:rFonts w:ascii="Times New Roman" w:cs="Times New Roman" w:eastAsia="Times New Roman" w:hAnsi="Times New Roman"/>
                <w:sz w:val="17"/>
                <w:szCs w:val="17"/>
                <w:color w:val="000000"/>
              </w:rPr>
              <w:t>.</w:t>
            </w: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380" w:type="dxa"/>
            <w:vAlign w:val="bottom"/>
            <w:gridSpan w:val="13"/>
          </w:tcPr>
          <w:p>
            <w:pPr>
              <w:spacing w:after="0" w:line="20" w:lineRule="exact"/>
              <w:rPr>
                <w:sz w:val="1"/>
                <w:szCs w:val="1"/>
                <w:color w:val="auto"/>
              </w:rPr>
            </w:pPr>
          </w:p>
        </w:tc>
      </w:tr>
      <w:tr>
        <w:trPr>
          <w:trHeight w:val="269"/>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3"/>
                <w:szCs w:val="23"/>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w:t>
            </w:r>
          </w:p>
        </w:tc>
      </w:tr>
      <w:tr>
        <w:trPr>
          <w:trHeight w:val="222"/>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270"/>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3"/>
                <w:szCs w:val="23"/>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83"/>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84"/>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83"/>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83"/>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84"/>
        </w:trPr>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95250</wp:posOffset>
            </wp:positionV>
            <wp:extent cx="1414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25" w:lineRule="exact"/>
        <w:rPr>
          <w:sz w:val="20"/>
          <w:szCs w:val="20"/>
          <w:color w:val="auto"/>
        </w:rPr>
      </w:pPr>
    </w:p>
    <w:p>
      <w:pPr>
        <w:ind w:left="700" w:hanging="650"/>
        <w:spacing w:after="0"/>
        <w:tabs>
          <w:tab w:leader="none" w:pos="7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9" w:lineRule="exact"/>
        <w:rPr>
          <w:sz w:val="20"/>
          <w:szCs w:val="20"/>
          <w:color w:val="auto"/>
        </w:rPr>
      </w:pPr>
    </w:p>
    <w:p>
      <w:pPr>
        <w:ind w:left="700" w:right="279" w:hanging="650"/>
        <w:spacing w:after="0" w:line="264" w:lineRule="auto"/>
        <w:tabs>
          <w:tab w:leader="none" w:pos="7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the referenced exhibit have been omitted pursuant to Item 601(b) of Regulation S-K because it (i) is not material and (ii) is the type of information the Company customarily treats as private or confidential.</w:t>
      </w:r>
    </w:p>
    <w:p>
      <w:pPr>
        <w:ind w:left="700" w:hanging="650"/>
        <w:spacing w:after="0"/>
        <w:tabs>
          <w:tab w:leader="none" w:pos="7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schedules and exhibits were omitted pursuant to Item 601(a)(5) of Regulation S-K.</w:t>
      </w:r>
    </w:p>
    <w:p>
      <w:pPr>
        <w:spacing w:after="0" w:line="19" w:lineRule="exact"/>
        <w:rPr>
          <w:sz w:val="20"/>
          <w:szCs w:val="20"/>
          <w:color w:val="auto"/>
        </w:rPr>
      </w:pPr>
    </w:p>
    <w:p>
      <w:pPr>
        <w:ind w:left="700" w:hanging="650"/>
        <w:spacing w:after="0"/>
        <w:tabs>
          <w:tab w:leader="none" w:pos="7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compensating plan or arrangement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0" w:lineRule="exact"/>
        <w:rPr>
          <w:rFonts w:ascii="Times New Roman" w:cs="Times New Roman" w:eastAsia="Times New Roman" w:hAnsi="Times New Roman"/>
          <w:sz w:val="16"/>
          <w:szCs w:val="16"/>
          <w:color w:val="auto"/>
        </w:rPr>
      </w:pPr>
    </w:p>
    <w:p>
      <w:pPr>
        <w:ind w:left="4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WILLDAN GROUP, INC.</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reighton</w:t>
      </w:r>
      <w:r>
        <w:rPr>
          <w:rFonts w:ascii="Times New Roman" w:cs="Times New Roman" w:eastAsia="Times New Roman" w:hAnsi="Times New Roman"/>
          <w:sz w:val="18"/>
          <w:szCs w:val="18"/>
          <w:color w:val="auto"/>
        </w:rPr>
        <w:t xml:space="preserve"> K. E</w:t>
      </w:r>
      <w:r>
        <w:rPr>
          <w:rFonts w:ascii="Times New Roman" w:cs="Times New Roman" w:eastAsia="Times New Roman" w:hAnsi="Times New Roman"/>
          <w:sz w:val="12"/>
          <w:szCs w:val="12"/>
          <w:color w:val="auto"/>
        </w:rPr>
        <w:t>arly</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Officer, Principal Accounting Officer</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and duly authorized officer)</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November 6,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Michael A. Bieber, certify that:</w:t>
      </w:r>
    </w:p>
    <w:p>
      <w:pPr>
        <w:spacing w:after="0" w:line="212" w:lineRule="exact"/>
        <w:rPr>
          <w:sz w:val="20"/>
          <w:szCs w:val="20"/>
          <w:color w:val="auto"/>
        </w:rPr>
      </w:pPr>
    </w:p>
    <w:p>
      <w:pPr>
        <w:ind w:left="720" w:hanging="67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Willdan Group, Inc.;</w:t>
      </w:r>
    </w:p>
    <w:p>
      <w:pPr>
        <w:spacing w:after="0" w:line="198"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6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2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7"/>
          <w:szCs w:val="17"/>
          <w:color w:val="auto"/>
        </w:rPr>
      </w:pPr>
    </w:p>
    <w:p>
      <w:pPr>
        <w:ind w:left="1340" w:right="79" w:hanging="648"/>
        <w:spacing w:after="0" w:line="261" w:lineRule="auto"/>
        <w:tabs>
          <w:tab w:leader="none" w:pos="13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Times New Roman" w:cs="Times New Roman" w:eastAsia="Times New Roman" w:hAnsi="Times New Roman"/>
          <w:sz w:val="18"/>
          <w:szCs w:val="18"/>
          <w:color w:val="auto"/>
        </w:rPr>
      </w:pPr>
    </w:p>
    <w:p>
      <w:pPr>
        <w:jc w:val="both"/>
        <w:ind w:left="700" w:right="319" w:hanging="656"/>
        <w:spacing w:after="0" w:line="258" w:lineRule="auto"/>
        <w:tabs>
          <w:tab w:leader="none" w:pos="7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340" w:right="299" w:hanging="648"/>
        <w:spacing w:after="0" w:line="266" w:lineRule="auto"/>
        <w:tabs>
          <w:tab w:leader="none" w:pos="13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40" w:right="119" w:hanging="648"/>
        <w:spacing w:after="0" w:line="282" w:lineRule="auto"/>
        <w:tabs>
          <w:tab w:leader="none" w:pos="132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MICHAEL A. BIEBER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524510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4" w:name="page65"/>
    <w:bookmarkEnd w:id="6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Creighton K. Early, certify that:</w:t>
      </w:r>
    </w:p>
    <w:p>
      <w:pPr>
        <w:spacing w:after="0" w:line="225"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Willdan Group, Inc.;</w:t>
      </w:r>
    </w:p>
    <w:p>
      <w:pPr>
        <w:spacing w:after="0" w:line="225" w:lineRule="exact"/>
        <w:rPr>
          <w:rFonts w:ascii="Times New Roman" w:cs="Times New Roman" w:eastAsia="Times New Roman" w:hAnsi="Times New Roman"/>
          <w:sz w:val="18"/>
          <w:szCs w:val="18"/>
          <w:color w:val="auto"/>
        </w:rPr>
      </w:pPr>
    </w:p>
    <w:p>
      <w:pPr>
        <w:ind w:left="700" w:right="299" w:hanging="650"/>
        <w:spacing w:after="0" w:line="258"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79" w:hanging="650"/>
        <w:spacing w:after="0" w:line="258"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379" w:hanging="650"/>
        <w:spacing w:after="0" w:line="280" w:lineRule="auto"/>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7"/>
          <w:szCs w:val="17"/>
          <w:color w:val="auto"/>
        </w:rPr>
      </w:pPr>
    </w:p>
    <w:p>
      <w:pPr>
        <w:ind w:left="1340" w:right="79" w:hanging="642"/>
        <w:spacing w:after="0" w:line="255"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340" w:right="179" w:hanging="642"/>
        <w:spacing w:after="0" w:line="255"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1340" w:right="179" w:hanging="642"/>
        <w:spacing w:after="0" w:line="258"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Times New Roman" w:cs="Times New Roman" w:eastAsia="Times New Roman" w:hAnsi="Times New Roman"/>
          <w:sz w:val="18"/>
          <w:szCs w:val="18"/>
          <w:color w:val="auto"/>
        </w:rPr>
      </w:pPr>
    </w:p>
    <w:p>
      <w:pPr>
        <w:ind w:left="1340" w:right="99" w:hanging="642"/>
        <w:spacing w:after="0" w:line="255"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700" w:right="339" w:hanging="650"/>
        <w:spacing w:after="0" w:line="258"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Times New Roman" w:cs="Times New Roman" w:eastAsia="Times New Roman" w:hAnsi="Times New Roman"/>
          <w:sz w:val="18"/>
          <w:szCs w:val="18"/>
          <w:color w:val="auto"/>
        </w:rPr>
      </w:pPr>
    </w:p>
    <w:p>
      <w:pPr>
        <w:ind w:left="1340" w:right="319" w:hanging="642"/>
        <w:spacing w:after="0" w:line="258"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99" w:hanging="642"/>
        <w:spacing w:after="0" w:line="266"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158" w:lineRule="exact"/>
        <w:rPr>
          <w:sz w:val="20"/>
          <w:szCs w:val="20"/>
          <w:color w:val="auto"/>
        </w:rPr>
      </w:pPr>
    </w:p>
    <w:p>
      <w:pPr>
        <w:ind w:left="426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CREIGHTON K. EARLY</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-127635</wp:posOffset>
            </wp:positionV>
            <wp:extent cx="2691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ind w:left="80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1350, as Adopted Pursuant to § 906 of the Sarbanes-Oxley Act of 2002</w:t>
      </w:r>
    </w:p>
    <w:p>
      <w:pPr>
        <w:spacing w:after="0" w:line="159"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Quarterly Report on Form 10-Q of Willdan Group, Inc. (the “Company”) for the quarterly period ended October 3, 2025,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p>
      <w:pPr>
        <w:spacing w:after="0" w:line="187" w:lineRule="exact"/>
        <w:rPr>
          <w:sz w:val="20"/>
          <w:szCs w:val="20"/>
          <w:color w:val="auto"/>
        </w:rPr>
      </w:pPr>
    </w:p>
    <w:p>
      <w:pPr>
        <w:ind w:left="1340" w:right="379" w:hanging="64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MICHAEL A. BIEBER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November 6, 2025</w:t>
      </w:r>
    </w:p>
    <w:p>
      <w:pPr>
        <w:spacing w:after="0" w:line="2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CREIGHTON K. EARLY</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-127635</wp:posOffset>
            </wp:positionV>
            <wp:extent cx="27343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Financial Officer and Executive Vice President</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November 6, 2025</w:t>
      </w:r>
    </w:p>
    <w:p>
      <w:pPr>
        <w:spacing w:after="0" w:line="252"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40"/>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lowerRoman"/>
      <w:start w:val="3"/>
    </w:lvl>
  </w:abstractNum>
  <w:abstractNum w:abstractNumId="8">
    <w:nsid w:val="436C6125"/>
    <w:multiLevelType w:val="hybridMultilevel"/>
    <w:lvl w:ilvl="0">
      <w:lvlJc w:val="left"/>
      <w:lvlText w:val="(%1)"/>
      <w:numFmt w:val="upperLetter"/>
      <w:start w:val="2"/>
    </w:lvl>
  </w:abstractNum>
  <w:abstractNum w:abstractNumId="9">
    <w:nsid w:val="628C895D"/>
    <w:multiLevelType w:val="hybridMultilevel"/>
    <w:lvl w:ilvl="0">
      <w:lvlJc w:val="left"/>
      <w:lvlText w:val="(%1)"/>
      <w:numFmt w:val="lowerLetter"/>
      <w:start w:val="3"/>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75" Type="http://schemas.openxmlformats.org/officeDocument/2006/relationships/hyperlink" Target="https://www.sec.gov/Archives/edgar/data/1370450/000155837025007025/wldn-20250404xex2d1.htm" TargetMode="External"/><Relationship Id="rId76" Type="http://schemas.openxmlformats.org/officeDocument/2006/relationships/hyperlink" Target="http://www.sec.gov/Archives/edgar/data/1370450/000104746906010648/a2172308zex-3_1.htm" TargetMode="External"/><Relationship Id="rId77" Type="http://schemas.openxmlformats.org/officeDocument/2006/relationships/hyperlink" Target="https://www.sec.gov/Archives/edgar/data/1370450/000155837023011834/wldn-20230707xex3d1.htm" TargetMode="External"/><Relationship Id="rId78" Type="http://schemas.openxmlformats.org/officeDocument/2006/relationships/hyperlink" Target="http://www.sec.gov/Archives/edgar/data/1370450/000104746906011904/a217310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2025-11-07T05:20:36Z</dcterms:created>
  <dcterms:modified xsi:type="dcterms:W3CDTF">2025-11-07T05:20:36Z</dcterms:modified>
</cp:coreProperties>
</file>