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wldn-20250704x10q.htm"/>
        <w:bookmarkStart w:id="1" w:name="kswldn20250704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8" w:space="1" w:color="000000"/>
        </w:pBdr>
        <w:bidi w:val="0"/>
        <w:spacing w:before="0" w:after="0"/>
        <w:ind w:left="0" w:right="0" w:hanging="0"/>
        <w:jc w:val="left"/>
        <w:rPr>
          <w:bdr w:val="single" w:sz="24" w:space="1" w:color="000000"/>
        </w:rPr>
      </w:pPr>
      <w:bookmarkStart w:id="2" w:name="_fc0bc07c_47e5_4fa4_94bd_c7b6397500b7"/>
      <w:bookmarkEnd w:id="2"/>
      <w:r>
        <w:rPr>
          <w:bdr w:val="single" w:sz="24" w:space="1" w:color="000000"/>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yig3XXzqJ0Cu5AbciKsENQ_1_1"/>
      <w:bookmarkStart w:id="4" w:name="_6ef743ce_2563_44ad_80c9_ea34ed34adb8"/>
      <w:bookmarkStart w:id="5" w:name="Tc_yig3XXzqJ0Cu5AbciKsENQ_1_1"/>
      <w:bookmarkStart w:id="6" w:name="_6ef743ce_2563_44ad_80c9_ea34ed34adb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 July 4, 2025</w:t>
      </w:r>
      <w:r>
        <w:rPr>
          <w:rFonts w:ascii="Times New Roman;Times;serif" w:hAnsi="Times New Roman;Times;serif"/>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L4tYmuxUIkGRWQf73MZGuQ_1_1"/>
      <w:bookmarkStart w:id="8" w:name="_43518137_0c98_49ef_a8fd_1cbf36c0488f"/>
      <w:bookmarkStart w:id="9" w:name="Tc_L4tYmuxUIkGRWQf73MZGuQ_1_1"/>
      <w:bookmarkStart w:id="10" w:name="_43518137_0c98_49ef_a8fd_1cbf36c0488f"/>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001-33076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WILLDAN GROUP,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izjhOZ4teUKnUJHVcgSOuw_5_2"/>
      <w:bookmarkStart w:id="12" w:name="Tc_HR204dC-FUm-0kFpeQxntw_5_0"/>
      <w:bookmarkStart w:id="13" w:name="Tc_6N-ww707_Eixz5UwxgOLEg_4_0"/>
      <w:bookmarkStart w:id="14" w:name="Tc_E1OpvHOrFkGHukV4i6pDow_2_2"/>
      <w:bookmarkStart w:id="15" w:name="Tc_mGyTi_M1pkaH__p2Y2CwHw_2_0"/>
      <w:bookmarkStart w:id="16" w:name="_b700fcd9_ad39_4b3b_8b08_4b18e973638e"/>
      <w:bookmarkStart w:id="17" w:name="Tc_izjhOZ4teUKnUJHVcgSOuw_5_2"/>
      <w:bookmarkStart w:id="18" w:name="Tc_HR204dC-FUm-0kFpeQxntw_5_0"/>
      <w:bookmarkStart w:id="19" w:name="Tc_6N-ww707_Eixz5UwxgOLEg_4_0"/>
      <w:bookmarkStart w:id="20" w:name="Tc_E1OpvHOrFkGHukV4i6pDow_2_2"/>
      <w:bookmarkStart w:id="21" w:name="Tc_mGyTi_M1pkaH__p2Y2CwHw_2_0"/>
      <w:bookmarkStart w:id="22" w:name="_b700fcd9_ad39_4b3b_8b08_4b18e973638e"/>
      <w:bookmarkEnd w:id="17"/>
      <w:bookmarkEnd w:id="18"/>
      <w:bookmarkEnd w:id="19"/>
      <w:bookmarkEnd w:id="20"/>
      <w:bookmarkEnd w:id="21"/>
      <w:bookmarkEnd w:id="22"/>
    </w:p>
    <w:tbl>
      <w:tblPr>
        <w:tblW w:w="6366" w:type="dxa"/>
        <w:jc w:val="left"/>
        <w:tblInd w:w="0" w:type="dxa"/>
        <w:tblLayout w:type="fixed"/>
        <w:tblCellMar>
          <w:top w:w="0" w:type="dxa"/>
          <w:left w:w="0" w:type="dxa"/>
          <w:bottom w:w="0" w:type="dxa"/>
          <w:right w:w="0" w:type="dxa"/>
        </w:tblCellMar>
      </w:tblPr>
      <w:tblGrid>
        <w:gridCol w:w="3361"/>
        <w:gridCol w:w="109"/>
        <w:gridCol w:w="289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14-1951112</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2401 East Katella Avenue, Suite 300</w:t>
              <w:br/>
              <w:t>Anaheim, California</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92806</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(800) 424-9144</w:t>
      </w:r>
    </w:p>
    <w:p>
      <w:pPr>
        <w:pStyle w:val="TextBody"/>
        <w:bidi w:val="0"/>
        <w:spacing w:before="0" w:after="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 w:name="Tc_4mHi7maE106jMy_pTYobSA_1_2"/>
      <w:bookmarkStart w:id="24" w:name="Tc__VnXDo3wHESAlvfh2VhzVg_1_1"/>
      <w:bookmarkStart w:id="25" w:name="Tc_Bfxu5k4gekqQkQwKdr9oLw_1_0"/>
      <w:bookmarkStart w:id="26" w:name="_c3674b7e_6568_4ca3_ab4b_78a52dcc636c"/>
      <w:bookmarkStart w:id="27" w:name="Tc_4mHi7maE106jMy_pTYobSA_1_2"/>
      <w:bookmarkStart w:id="28" w:name="Tc__VnXDo3wHESAlvfh2VhzVg_1_1"/>
      <w:bookmarkStart w:id="29" w:name="Tc_Bfxu5k4gekqQkQwKdr9oLw_1_0"/>
      <w:bookmarkStart w:id="30" w:name="_c3674b7e_6568_4ca3_ab4b_78a52dcc636c"/>
      <w:bookmarkEnd w:id="27"/>
      <w:bookmarkEnd w:id="28"/>
      <w:bookmarkEnd w:id="29"/>
      <w:bookmarkEnd w:id="30"/>
    </w:p>
    <w:tbl>
      <w:tblPr>
        <w:tblW w:w="9018" w:type="dxa"/>
        <w:jc w:val="left"/>
        <w:tblInd w:w="0" w:type="dxa"/>
        <w:tblLayout w:type="fixed"/>
        <w:tblCellMar>
          <w:top w:w="0" w:type="dxa"/>
          <w:left w:w="0" w:type="dxa"/>
          <w:bottom w:w="0" w:type="dxa"/>
          <w:right w:w="0" w:type="dxa"/>
        </w:tblCellMar>
      </w:tblPr>
      <w:tblGrid>
        <w:gridCol w:w="3496"/>
        <w:gridCol w:w="169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19960" cy="29210"/>
                      <wp:effectExtent l="0" t="0" r="0" b="0"/>
                      <wp:wrapNone/>
                      <wp:docPr id="2" name="Frame2"/>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76960" cy="29210"/>
                      <wp:effectExtent l="0" t="0" r="0" b="0"/>
                      <wp:wrapNone/>
                      <wp:docPr id="3" name="Frame3"/>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29510" cy="29210"/>
                      <wp:effectExtent l="0" t="0" r="0" b="0"/>
                      <wp:wrapNone/>
                      <wp:docPr id="4" name="Frame4"/>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WLDN</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center"/>
        <w:rPr/>
      </w:pPr>
      <w:r>
        <w:rPr/>
        <w:t>​</w:t>
      </w:r>
    </w:p>
    <w:tbl>
      <w:tblPr>
        <w:tblW w:w="4836" w:type="dxa"/>
        <w:jc w:val="left"/>
        <w:tblInd w:w="0" w:type="dxa"/>
        <w:tblLayout w:type="fixed"/>
        <w:tblCellMar>
          <w:top w:w="0" w:type="dxa"/>
          <w:left w:w="0" w:type="dxa"/>
          <w:bottom w:w="0" w:type="dxa"/>
          <w:right w:w="0" w:type="dxa"/>
        </w:tblCellMar>
      </w:tblPr>
      <w:tblGrid>
        <w:gridCol w:w="2146"/>
        <w:gridCol w:w="109"/>
        <w:gridCol w:w="25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 of August 6, 2025, there were 14,665,087 shares of common stock, $0.01 par value per share, of Willdan Group, Inc. issued and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left"/>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_2ba8535b_7bdd_4d78_9278_36bf88c43a22"/>
      <w:bookmarkEnd w:id="31"/>
      <w:r>
        <w:rPr>
          <w:rFonts w:ascii="Times New Roman;Times;serif" w:hAnsi="Times New Roman;Times;serif"/>
          <w:b/>
          <w:sz w:val="20"/>
        </w:rPr>
        <w:t>WILLDAN GROUP,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QUARTERLY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601" w:type="dxa"/>
        <w:jc w:val="left"/>
        <w:tblInd w:w="0" w:type="dxa"/>
        <w:tblLayout w:type="fixed"/>
        <w:tblCellMar>
          <w:top w:w="0" w:type="dxa"/>
          <w:left w:w="0" w:type="dxa"/>
          <w:bottom w:w="0" w:type="dxa"/>
          <w:right w:w="0" w:type="dxa"/>
        </w:tblCellMar>
      </w:tblPr>
      <w:tblGrid>
        <w:gridCol w:w="7981"/>
        <w:gridCol w:w="109"/>
        <w:gridCol w:w="511"/>
      </w:tblGrid>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981" w:type="dxa"/>
            <w:tcBorders/>
            <w:vAlign w:val="center"/>
          </w:tcPr>
          <w:p>
            <w:pPr>
              <w:pStyle w:val="TableContents"/>
              <w:bidi w:val="0"/>
              <w:spacing w:lineRule="atLeast" w:line="180" w:before="0" w:after="0"/>
              <w:ind w:left="0" w:right="0" w:hanging="0"/>
              <w:jc w:val="left"/>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val="false"/>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 Financial Statements (Unaudited)</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ControlsandProcedures_72182">
              <w:r>
                <w:rPr>
                  <w:rStyle w:val="InternetLink"/>
                  <w:rFonts w:ascii="Times New Roman;Times;serif" w:hAnsi="Times New Roman;Times;serif"/>
                  <w:b w:val="false"/>
                  <w:i w:val="false"/>
                  <w:caps w:val="false"/>
                  <w:smallCaps w:val="false"/>
                  <w:sz w:val="20"/>
                </w:rPr>
                <w:t>Item 4. Controls and Procedures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PARTIIOTHERINFORMATION_167293">
              <w:r>
                <w:rPr>
                  <w:rStyle w:val="InternetLink"/>
                  <w:rFonts w:ascii="Times New Roman;Times;serif" w:hAnsi="Times New Roman;Times;serif"/>
                  <w:b w:val="false"/>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Item 1. Legal Proceedings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_Defaults">
              <w:r>
                <w:rPr>
                  <w:rStyle w:val="InternetLink"/>
                  <w:rFonts w:ascii="Times New Roman;Times;serif" w:hAnsi="Times New Roman;Times;serif"/>
                  <w:b w:val="false"/>
                  <w:i w:val="false"/>
                  <w:caps w:val="false"/>
                  <w:smallCaps w:val="false"/>
                  <w:sz w:val="20"/>
                </w:rPr>
                <w:t>Item 3. Defaults upon Senior Securities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_MineSafety">
              <w:r>
                <w:rPr>
                  <w:rStyle w:val="InternetLink"/>
                  <w:rFonts w:ascii="Times New Roman;Times;serif" w:hAnsi="Times New Roman;Times;serif"/>
                  <w:b w:val="false"/>
                  <w:i w:val="false"/>
                  <w:caps w:val="false"/>
                  <w:smallCaps w:val="false"/>
                  <w:sz w:val="20"/>
                </w:rPr>
                <w:t>Item 4. Mine Safety Disclosures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5_OtherInfo">
              <w:r>
                <w:rPr>
                  <w:rStyle w:val="InternetLink"/>
                  <w:rFonts w:ascii="Times New Roman;Times;serif" w:hAnsi="Times New Roman;Times;serif"/>
                  <w:b w:val="false"/>
                  <w:i w:val="false"/>
                  <w:caps w:val="false"/>
                  <w:smallCaps w:val="false"/>
                  <w:sz w:val="20"/>
                </w:rPr>
                <w:t>Item 5.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Item 6. Exhibits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_b9420a1b_902a_452b_a3d1_d26a1b94d951"/>
      <w:bookmarkEnd w:id="33"/>
      <w:r>
        <w:rPr>
          <w:rFonts w:ascii="Times New Roman;Times;serif" w:hAnsi="Times New Roman;Times;serif"/>
          <w:b/>
          <w:sz w:val="20"/>
        </w:rPr>
        <w:t>CAUTIONARY STATEMENT REGARDING FORWARD-LOOKING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Quarterly Report on Form 10-Q (this “10-Q”)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adequately complete projects in a timely manner;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in the highly competitive energy services market, which represented 84% of our consolidated revenue in fiscal year 2024;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work from our top ten clients, which accounted for 51% of our consolidated contract revenue for fiscal year 2024;</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state, local and regional economies and government budgets;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new contracts, to renew existing contracts and to compete effectively for contracts awarded through bidding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make principal and interest payments on our outstanding debt as they come due and to comply with the financial covenants contained in our debt agreements;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supply chain constraints, labor shortages, elevated interest rates, and elevated inflation;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and to refinance our outstanding debt as it matures;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our acquisitions and execute on our growth strategy;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and retain managerial, technical, and administrative talent.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elsewhere in this Quarterly Report on Form 10-Q, and under Part I, Item 1A. “Risk Factors”, “Management’s Discussion and Analysis of Financial Condition and Results of Operations” and elsewhere in our Annual Report on Form 10-K for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fiscal year ended December 27, 2024, as such disclosures may be amended, supplemented or superseded from time to time by other reports we file with the Securities and Exchange Commission, including subsequent Annual Reports on Form 10-K, Quarterly Reports on Form 10-Q, Current Reports on Form 8-K and public communications. You should evaluate all forward-looking statements made in this Quarterly Report on Form 10-Q and otherwise in the context of these risks and uncertainties.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Quarterly Report on Form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 w:name="PARTI"/>
      <w:bookmarkStart w:id="35" w:name="_a5a29198_084e_4ad6_b543_00d7acee2f65"/>
      <w:bookmarkEnd w:id="34"/>
      <w:bookmarkEnd w:id="35"/>
      <w:r>
        <w:rPr>
          <w:rFonts w:ascii="Times New Roman;Times;serif" w:hAnsi="Times New Roman;Times;serif"/>
          <w:b/>
          <w:sz w:val="20"/>
        </w:rPr>
        <w:t>PART I. FINANCIAL INFORMATION</w:t>
      </w:r>
    </w:p>
    <w:p>
      <w:pPr>
        <w:pStyle w:val="TextBody"/>
        <w:bidi w:val="0"/>
        <w:spacing w:before="120" w:after="0"/>
        <w:ind w:left="0" w:right="0" w:hanging="0"/>
        <w:jc w:val="left"/>
        <w:rPr>
          <w:rFonts w:ascii="Times New Roman;Times;serif" w:hAnsi="Times New Roman;Times;serif"/>
          <w:b/>
          <w:sz w:val="20"/>
        </w:rPr>
      </w:pPr>
      <w:bookmarkStart w:id="36" w:name="Item1"/>
      <w:bookmarkEnd w:id="36"/>
      <w:r>
        <w:rPr>
          <w:rFonts w:ascii="Times New Roman;Times;serif" w:hAnsi="Times New Roman;Times;serif"/>
          <w:b/>
          <w:sz w:val="20"/>
        </w:rPr>
        <w:t>Item 1. 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37" w:name="BALANCESHEETS_75359"/>
      <w:bookmarkEnd w:id="37"/>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38" w:name="Tc_qknG0-G410GzNlKd0lYBNA_45_5"/>
      <w:bookmarkStart w:id="39" w:name="Tc_OqTkjUQickaEv2FymDDp1w_45_2"/>
      <w:bookmarkStart w:id="40" w:name="Tc_1dvZHABAL0e94ITXyJLmJg_45_0"/>
      <w:bookmarkStart w:id="41" w:name="Tc_MFU-dNUxhUOhBvZ1WPm15w_44_0"/>
      <w:bookmarkStart w:id="42" w:name="Tc_sYH3LEp1Xk2FpKJGy5Dd9Q_43_0"/>
      <w:bookmarkStart w:id="43" w:name="Tc_v8duBlWtrU-TSeZu000oPw_42_0"/>
      <w:bookmarkStart w:id="44" w:name="Tc_hVmzKj7x0E2TalNN5XJj7w_41_0"/>
      <w:bookmarkStart w:id="45" w:name="Tc_1dZ_scKzrkauVVWShi7U5g_40_0"/>
      <w:bookmarkStart w:id="46" w:name="Tc_xd6KLTIEFEieqbeL27bbaA_39_0"/>
      <w:bookmarkStart w:id="47" w:name="Tc_zFqDkwYJo0Opo8ymiCUoFg_38_0"/>
      <w:bookmarkStart w:id="48" w:name="Tc_DxDG-sx6SEOqHfX-B_O_4Q_36_0"/>
      <w:bookmarkStart w:id="49" w:name="Tc_a7FmQhU2zEOn7UcLuWzFdA_34_0"/>
      <w:bookmarkStart w:id="50" w:name="Tc_sOn0faTunEeZE5TgGgRDSw_33_0"/>
      <w:bookmarkStart w:id="51" w:name="Tc_xpysEG5HvkWHoPcGSUK5hQ_32_0"/>
      <w:bookmarkStart w:id="52" w:name="Tc_r_sYItEi5kqeJzUO07tdKQ_31_0"/>
      <w:bookmarkStart w:id="53" w:name="Tc_LxIxnPcHykOTjl72DULefQ_30_0"/>
      <w:bookmarkStart w:id="54" w:name="Tc_bmmnSYbRr0ujYHdMqcPi_Q_29_0"/>
      <w:bookmarkStart w:id="55" w:name="Tc_QC1ntVz0dEy6W487m41qvQ_28_0"/>
      <w:bookmarkStart w:id="56" w:name="Tc_K0zDC3DUjk21RmbHGFrm_Q_27_0"/>
      <w:bookmarkStart w:id="57" w:name="Tc_jaSie6E__U2l4UzsZ64QOg_26_0"/>
      <w:bookmarkStart w:id="58" w:name="Tc_HZ9ylQeNikWob-3bjhV_8Q_25_0"/>
      <w:bookmarkStart w:id="59" w:name="Tc_Q98EbotmH0itdYbpclVZSA_24_0"/>
      <w:bookmarkStart w:id="60" w:name="Tc_2Omdor3PO0CLMkG40md_YQ_23_0"/>
      <w:bookmarkStart w:id="61" w:name="Tc_0-wshAmgJk-xvoc0-45L5g_22_0"/>
      <w:bookmarkStart w:id="62" w:name="Tc_px1hP7eSsUas-3YlSm8FIg_21_5"/>
      <w:bookmarkStart w:id="63" w:name="Tc_ZfVGdgElpUeJuYqeUfJ00w_21_2"/>
      <w:bookmarkStart w:id="64" w:name="Tc_CnHouoCCRkm3KS2Myvq3RQ_21_0"/>
      <w:bookmarkStart w:id="65" w:name="Tc_nEMrlYFtZkiUhIY1V4qtHw_20_0"/>
      <w:bookmarkStart w:id="66" w:name="Tc_WiU6dZrg10uz0FQky9SiPg_19_0"/>
      <w:bookmarkStart w:id="67" w:name="Tc_SllONcxNdEiWpDHP0L9ILQ_18_5"/>
      <w:bookmarkStart w:id="68" w:name="Tc_aYiTZBFMXEqWbhX5bARt5g_18_2"/>
      <w:bookmarkStart w:id="69" w:name="Tc_Ru1tqR9sOEKVOyQ4eKXA3Q_18_0"/>
      <w:bookmarkStart w:id="70" w:name="Tc_0mYAAjWpJ0eJmvzKYtAj2g_17_0"/>
      <w:bookmarkStart w:id="71" w:name="Tc_zm85JoToMUO0unbhkJdHtA_16_0"/>
      <w:bookmarkStart w:id="72" w:name="Tc_ni0FktX0N0maYJN6Z0Obsg_15_0"/>
      <w:bookmarkStart w:id="73" w:name="Tc_44vH5S0tGEGJVbVthrHDPQ_14_0"/>
      <w:bookmarkStart w:id="74" w:name="Tc_L9U-ntY-EkWGS8dI0Fya5w_13_0"/>
      <w:bookmarkStart w:id="75" w:name="Tc_D0O6r1rOkEO7mWGCn550bw_12_0"/>
      <w:bookmarkStart w:id="76" w:name="Tc_j8mSuuZl6Uyy37-brHuydQ_11_0"/>
      <w:bookmarkStart w:id="77" w:name="Tc_xH9wGFxJ90mj95GYPkhriw_10_0"/>
      <w:bookmarkStart w:id="78" w:name="Tc_OYuNYZyWPEumlEC6OGYKsA_9_0"/>
      <w:bookmarkStart w:id="79" w:name="Tc_yS3XO47FKkq4oXPwsus5rA_8_0"/>
      <w:bookmarkStart w:id="80" w:name="Tc_qFbEr1UmKEWRMQvgWDFfiA_7_0"/>
      <w:bookmarkStart w:id="81" w:name="Tc_Zp8YdRrIhkOB-aeIzXUFpA_6_0"/>
      <w:bookmarkStart w:id="82" w:name="Tc_1RzyQX9uRUKcoGsrW3iSEQ_5_5"/>
      <w:bookmarkStart w:id="83" w:name="Tc_jal0dMKIG0GAKbDu5U5CKQ_5_2"/>
      <w:bookmarkStart w:id="84" w:name="Tc_DH3JPjmXIkS59pQV3SLJkQ_5_0"/>
      <w:bookmarkStart w:id="85" w:name="Tc_pWieVK2dYUaDLaa5R26Kig_4_0"/>
      <w:bookmarkStart w:id="86" w:name="Tc_NzciOrRsP0S5GuVH0Xyb6Q_3_0"/>
      <w:bookmarkStart w:id="87" w:name="Tc_dpCN7gQ15EG4rWb2oqS4qg_2_5"/>
      <w:bookmarkStart w:id="88" w:name="Tc_mqDmIIHfNEWIfkbFeyiQEg_2_2"/>
      <w:bookmarkStart w:id="89" w:name="Tc_MKiS1A01UUe_vQYERHGFXQ_1_5"/>
      <w:bookmarkStart w:id="90" w:name="Tc_oysis8m6Lkaf0hwTjUSa3Q_1_2"/>
      <w:bookmarkStart w:id="91" w:name="_d9f5a5fb_3c7f_4d8b_95e1_51dfd09dc385"/>
      <w:bookmarkStart w:id="92" w:name="Tc_qknG0-G410GzNlKd0lYBNA_45_5"/>
      <w:bookmarkStart w:id="93" w:name="Tc_OqTkjUQickaEv2FymDDp1w_45_2"/>
      <w:bookmarkStart w:id="94" w:name="Tc_1dvZHABAL0e94ITXyJLmJg_45_0"/>
      <w:bookmarkStart w:id="95" w:name="Tc_MFU-dNUxhUOhBvZ1WPm15w_44_0"/>
      <w:bookmarkStart w:id="96" w:name="Tc_sYH3LEp1Xk2FpKJGy5Dd9Q_43_0"/>
      <w:bookmarkStart w:id="97" w:name="Tc_v8duBlWtrU-TSeZu000oPw_42_0"/>
      <w:bookmarkStart w:id="98" w:name="Tc_hVmzKj7x0E2TalNN5XJj7w_41_0"/>
      <w:bookmarkStart w:id="99" w:name="Tc_1dZ_scKzrkauVVWShi7U5g_40_0"/>
      <w:bookmarkStart w:id="100" w:name="Tc_xd6KLTIEFEieqbeL27bbaA_39_0"/>
      <w:bookmarkStart w:id="101" w:name="Tc_zFqDkwYJo0Opo8ymiCUoFg_38_0"/>
      <w:bookmarkStart w:id="102" w:name="Tc_DxDG-sx6SEOqHfX-B_O_4Q_36_0"/>
      <w:bookmarkStart w:id="103" w:name="Tc_a7FmQhU2zEOn7UcLuWzFdA_34_0"/>
      <w:bookmarkStart w:id="104" w:name="Tc_sOn0faTunEeZE5TgGgRDSw_33_0"/>
      <w:bookmarkStart w:id="105" w:name="Tc_xpysEG5HvkWHoPcGSUK5hQ_32_0"/>
      <w:bookmarkStart w:id="106" w:name="Tc_r_sYItEi5kqeJzUO07tdKQ_31_0"/>
      <w:bookmarkStart w:id="107" w:name="Tc_LxIxnPcHykOTjl72DULefQ_30_0"/>
      <w:bookmarkStart w:id="108" w:name="Tc_bmmnSYbRr0ujYHdMqcPi_Q_29_0"/>
      <w:bookmarkStart w:id="109" w:name="Tc_QC1ntVz0dEy6W487m41qvQ_28_0"/>
      <w:bookmarkStart w:id="110" w:name="Tc_K0zDC3DUjk21RmbHGFrm_Q_27_0"/>
      <w:bookmarkStart w:id="111" w:name="Tc_jaSie6E__U2l4UzsZ64QOg_26_0"/>
      <w:bookmarkStart w:id="112" w:name="Tc_HZ9ylQeNikWob-3bjhV_8Q_25_0"/>
      <w:bookmarkStart w:id="113" w:name="Tc_Q98EbotmH0itdYbpclVZSA_24_0"/>
      <w:bookmarkStart w:id="114" w:name="Tc_2Omdor3PO0CLMkG40md_YQ_23_0"/>
      <w:bookmarkStart w:id="115" w:name="Tc_0-wshAmgJk-xvoc0-45L5g_22_0"/>
      <w:bookmarkStart w:id="116" w:name="Tc_px1hP7eSsUas-3YlSm8FIg_21_5"/>
      <w:bookmarkStart w:id="117" w:name="Tc_ZfVGdgElpUeJuYqeUfJ00w_21_2"/>
      <w:bookmarkStart w:id="118" w:name="Tc_CnHouoCCRkm3KS2Myvq3RQ_21_0"/>
      <w:bookmarkStart w:id="119" w:name="Tc_nEMrlYFtZkiUhIY1V4qtHw_20_0"/>
      <w:bookmarkStart w:id="120" w:name="Tc_WiU6dZrg10uz0FQky9SiPg_19_0"/>
      <w:bookmarkStart w:id="121" w:name="Tc_SllONcxNdEiWpDHP0L9ILQ_18_5"/>
      <w:bookmarkStart w:id="122" w:name="Tc_aYiTZBFMXEqWbhX5bARt5g_18_2"/>
      <w:bookmarkStart w:id="123" w:name="Tc_Ru1tqR9sOEKVOyQ4eKXA3Q_18_0"/>
      <w:bookmarkStart w:id="124" w:name="Tc_0mYAAjWpJ0eJmvzKYtAj2g_17_0"/>
      <w:bookmarkStart w:id="125" w:name="Tc_zm85JoToMUO0unbhkJdHtA_16_0"/>
      <w:bookmarkStart w:id="126" w:name="Tc_ni0FktX0N0maYJN6Z0Obsg_15_0"/>
      <w:bookmarkStart w:id="127" w:name="Tc_44vH5S0tGEGJVbVthrHDPQ_14_0"/>
      <w:bookmarkStart w:id="128" w:name="Tc_L9U-ntY-EkWGS8dI0Fya5w_13_0"/>
      <w:bookmarkStart w:id="129" w:name="Tc_D0O6r1rOkEO7mWGCn550bw_12_0"/>
      <w:bookmarkStart w:id="130" w:name="Tc_j8mSuuZl6Uyy37-brHuydQ_11_0"/>
      <w:bookmarkStart w:id="131" w:name="Tc_xH9wGFxJ90mj95GYPkhriw_10_0"/>
      <w:bookmarkStart w:id="132" w:name="Tc_OYuNYZyWPEumlEC6OGYKsA_9_0"/>
      <w:bookmarkStart w:id="133" w:name="Tc_yS3XO47FKkq4oXPwsus5rA_8_0"/>
      <w:bookmarkStart w:id="134" w:name="Tc_qFbEr1UmKEWRMQvgWDFfiA_7_0"/>
      <w:bookmarkStart w:id="135" w:name="Tc_Zp8YdRrIhkOB-aeIzXUFpA_6_0"/>
      <w:bookmarkStart w:id="136" w:name="Tc_1RzyQX9uRUKcoGsrW3iSEQ_5_5"/>
      <w:bookmarkStart w:id="137" w:name="Tc_jal0dMKIG0GAKbDu5U5CKQ_5_2"/>
      <w:bookmarkStart w:id="138" w:name="Tc_DH3JPjmXIkS59pQV3SLJkQ_5_0"/>
      <w:bookmarkStart w:id="139" w:name="Tc_pWieVK2dYUaDLaa5R26Kig_4_0"/>
      <w:bookmarkStart w:id="140" w:name="Tc_NzciOrRsP0S5GuVH0Xyb6Q_3_0"/>
      <w:bookmarkStart w:id="141" w:name="Tc_dpCN7gQ15EG4rWb2oqS4qg_2_5"/>
      <w:bookmarkStart w:id="142" w:name="Tc_mqDmIIHfNEWIfkbFeyiQEg_2_2"/>
      <w:bookmarkStart w:id="143" w:name="Tc_MKiS1A01UUe_vQYERHGFXQ_1_5"/>
      <w:bookmarkStart w:id="144" w:name="Tc_oysis8m6Lkaf0hwTjUSa3Q_1_2"/>
      <w:bookmarkStart w:id="145" w:name="_d9f5a5fb_3c7f_4d8b_95e1_51dfd09dc385"/>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10205" w:type="dxa"/>
        <w:jc w:val="left"/>
        <w:tblInd w:w="0" w:type="dxa"/>
        <w:tblLayout w:type="fixed"/>
        <w:tblCellMar>
          <w:top w:w="0" w:type="dxa"/>
          <w:left w:w="0" w:type="dxa"/>
          <w:bottom w:w="0" w:type="dxa"/>
          <w:right w:w="0" w:type="dxa"/>
        </w:tblCellMar>
      </w:tblPr>
      <w:tblGrid>
        <w:gridCol w:w="7362"/>
        <w:gridCol w:w="326"/>
        <w:gridCol w:w="211"/>
        <w:gridCol w:w="781"/>
        <w:gridCol w:w="326"/>
        <w:gridCol w:w="222"/>
        <w:gridCol w:w="822"/>
        <w:gridCol w:w="155"/>
      </w:tblGrid>
      <w:tr>
        <w:trPr/>
        <w:tc>
          <w:tcPr>
            <w:tcW w:w="7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74870" cy="175260"/>
                      <wp:effectExtent l="0" t="0" r="0" b="0"/>
                      <wp:wrapNone/>
                      <wp:docPr id="5" name="Frame5"/>
                      <a:graphic xmlns:a="http://schemas.openxmlformats.org/drawingml/2006/main">
                        <a:graphicData uri="http://schemas.microsoft.com/office/word/2010/wordprocessingShape">
                          <wps:wsp>
                            <wps:cNvSpPr txBox="1"/>
                            <wps:spPr>
                              <a:xfrm>
                                <a:off x="0" y="0"/>
                                <a:ext cx="4674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0970" cy="175260"/>
                      <wp:effectExtent l="0" t="0" r="0" b="0"/>
                      <wp:wrapNone/>
                      <wp:docPr id="10" name="Frame1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1970" cy="175260"/>
                      <wp:effectExtent l="0" t="0" r="0" b="0"/>
                      <wp:wrapNone/>
                      <wp:docPr id="11" name="Frame11"/>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8425" cy="175260"/>
                      <wp:effectExtent l="0" t="0" r="0" b="0"/>
                      <wp:wrapNone/>
                      <wp:docPr id="12" name="Frame12"/>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    </w:t>
            </w:r>
          </w:p>
        </w:tc>
        <w:tc>
          <w:tcPr>
            <w:tcW w:w="104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155" w:type="dxa"/>
            <w:tcBorders/>
            <w:vAlign w:val="center"/>
          </w:tcPr>
          <w:p>
            <w:pPr>
              <w:pStyle w:val="TableContents"/>
              <w:bidi w:val="0"/>
              <w:spacing w:before="0" w:after="0"/>
              <w:ind w:left="0" w:right="0" w:hanging="0"/>
              <w:jc w:val="center"/>
              <w:rPr/>
            </w:pPr>
            <w:r>
              <w:rPr/>
              <w:t>​</w:t>
            </w:r>
          </w:p>
        </w:tc>
      </w:tr>
      <w:tr>
        <w:trPr/>
        <w:tc>
          <w:tcPr>
            <w:tcW w:w="73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5" w:type="dxa"/>
            <w:tcBorders/>
            <w:vAlign w:val="center"/>
          </w:tcPr>
          <w:p>
            <w:pPr>
              <w:pStyle w:val="TableContents"/>
              <w:bidi w:val="0"/>
              <w:spacing w:before="0" w:after="0"/>
              <w:ind w:left="0" w:right="0" w:hanging="0"/>
              <w:jc w:val="center"/>
              <w:rPr/>
            </w:pPr>
            <w:r>
              <w:rPr/>
              <w:t>​</w:t>
            </w:r>
          </w:p>
        </w:tc>
      </w:tr>
      <w:tr>
        <w:trPr/>
        <w:tc>
          <w:tcPr>
            <w:tcW w:w="10050"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32,348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74,158</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$456</w:t>
            </w:r>
            <w:r>
              <w:rPr>
                <w:rFonts w:ascii="Times New Roman;Times;serif" w:hAnsi="Times New Roman;Times;serif"/>
                <w:sz w:val="18"/>
              </w:rPr>
              <w:t xml:space="preserve"> </w:t>
            </w:r>
            <w:r>
              <w:rPr>
                <w:rFonts w:ascii="Times New Roman;Times;serif" w:hAnsi="Times New Roman;Times;serif"/>
                <w:sz w:val="19"/>
              </w:rPr>
              <w:t>and $1,313</w:t>
            </w:r>
            <w:r>
              <w:rPr>
                <w:rFonts w:ascii="Times New Roman;Times;serif" w:hAnsi="Times New Roman;Times;serif"/>
                <w:sz w:val="18"/>
              </w:rPr>
              <w:t xml:space="preserve"> </w:t>
            </w:r>
            <w:r>
              <w:rPr>
                <w:rFonts w:ascii="Times New Roman;Times;serif" w:hAnsi="Times New Roman;Times;serif"/>
                <w:sz w:val="19"/>
              </w:rPr>
              <w:t>at July 4, 2025 and December 27,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55,416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65,557</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107,055</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88,528</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4,648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2,302</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6,355</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4,979</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205,822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235,524</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30,901</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29,534</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182,376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140,991</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11,044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14,035</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34,119</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29,414</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2,911</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2,019</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17,678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13,346</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484,851</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464,863</w:t>
            </w:r>
          </w:p>
        </w:tc>
        <w:tc>
          <w:tcPr>
            <w:tcW w:w="155" w:type="dxa"/>
            <w:tcBorders/>
            <w:vAlign w:val="center"/>
          </w:tcPr>
          <w:p>
            <w:pPr>
              <w:pStyle w:val="TableContents"/>
              <w:bidi w:val="0"/>
              <w:spacing w:before="0" w:after="0"/>
              <w:ind w:left="0" w:right="0" w:hanging="0"/>
              <w:jc w:val="right"/>
              <w:rPr/>
            </w:pPr>
            <w:r>
              <w:rPr/>
              <w:t>​</w:t>
            </w:r>
          </w:p>
        </w:tc>
      </w:tr>
      <w:tr>
        <w:trPr/>
        <w:tc>
          <w:tcPr>
            <w:tcW w:w="10050"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42,455</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33,766</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59,651</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62,776</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8,500</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23,418</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21,556</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10,137</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1,259</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1,138</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5,723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5,804</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143,506</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137,677</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9,007</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1,713</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 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57,179</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79,350</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1,379</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7,474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9,939</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374</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462</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218,916</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230,520</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10,000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and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40,000</w:t>
            </w:r>
            <w:r>
              <w:rPr>
                <w:rFonts w:ascii="Times New Roman;Times;serif" w:hAnsi="Times New Roman;Times;serif"/>
                <w:sz w:val="18"/>
              </w:rPr>
              <w:t xml:space="preserve"> </w:t>
            </w:r>
            <w:r>
              <w:rPr>
                <w:rFonts w:ascii="Times New Roman;Times;serif" w:hAnsi="Times New Roman;Times;serif"/>
                <w:sz w:val="19"/>
              </w:rPr>
              <w:t>shares authorized; 14,611</w:t>
            </w:r>
            <w:r>
              <w:rPr>
                <w:rFonts w:ascii="Times New Roman;Times;serif" w:hAnsi="Times New Roman;Times;serif"/>
                <w:sz w:val="18"/>
              </w:rPr>
              <w:t xml:space="preserve"> </w:t>
            </w:r>
            <w:r>
              <w:rPr>
                <w:rFonts w:ascii="Times New Roman;Times;serif" w:hAnsi="Times New Roman;Times;serif"/>
                <w:sz w:val="19"/>
              </w:rPr>
              <w:t>and 14,169</w:t>
            </w:r>
            <w:r>
              <w:rPr>
                <w:rFonts w:ascii="Times New Roman;Times;serif" w:hAnsi="Times New Roman;Times;serif"/>
                <w:sz w:val="18"/>
              </w:rPr>
              <w:t xml:space="preserve"> </w:t>
            </w:r>
            <w:r>
              <w:rPr>
                <w:rFonts w:ascii="Times New Roman;Times;serif" w:hAnsi="Times New Roman;Times;serif"/>
                <w:sz w:val="19"/>
              </w:rPr>
              <w:t>shares issued and outstanding at July 4, 2025 and December 27, 2024,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146</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208,830</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197,368</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57,270</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37,147</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265,935</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234,343</w:t>
            </w:r>
          </w:p>
        </w:tc>
        <w:tc>
          <w:tcPr>
            <w:tcW w:w="155"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484,851</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464,863</w:t>
            </w:r>
          </w:p>
        </w:tc>
        <w:tc>
          <w:tcPr>
            <w:tcW w:w="155"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80" w:after="0"/>
        <w:ind w:left="0" w:right="0" w:hanging="0"/>
        <w:jc w:val="center"/>
        <w:rPr/>
      </w:pPr>
      <w:r>
        <w:rPr/>
        <w:t>​</w:t>
      </w:r>
    </w:p>
    <w:p>
      <w:pPr>
        <w:pStyle w:val="TextBody"/>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6" w:name="_f5731649_1d88_402b_892e_5d20126956bb"/>
      <w:bookmarkEnd w:id="146"/>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147" w:name="OPERATIONS_940148"/>
      <w:bookmarkEnd w:id="147"/>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48" w:name="Tc_y4lHh5qEcEWaa-u6-B681A_42_0"/>
      <w:bookmarkStart w:id="149" w:name="Tc_5g8_yMZwdkqTF8oZifXyFw_41_0"/>
      <w:bookmarkStart w:id="150" w:name="Tc_7_amburt902n2sa2ydqWIg_40_0"/>
      <w:bookmarkStart w:id="151" w:name="Tc_KC89iZYbZE-29OC4-YsIZw_38_11"/>
      <w:bookmarkStart w:id="152" w:name="Tc_GEtJkJtatkm3n4ceNOpFnw_38_8"/>
      <w:bookmarkStart w:id="153" w:name="Tc_h9l_A4FoX0KSis4rURbkqw_38_5"/>
      <w:bookmarkStart w:id="154" w:name="Tc_yqku_hC14kaD-eKW1A0U1Q_38_2"/>
      <w:bookmarkStart w:id="155" w:name="Tc_XujwXQOiBUOFmPD8kPc6fQ_38_0"/>
      <w:bookmarkStart w:id="156" w:name="Tc_VgByJNXV3kSkQ_tnxb-kRA_37_11"/>
      <w:bookmarkStart w:id="157" w:name="Tc_6RVJa01L20-XUBb4E7qHDQ_37_8"/>
      <w:bookmarkStart w:id="158" w:name="Tc__9wlrNLIc0CD2VbLp0j7kg_37_5"/>
      <w:bookmarkStart w:id="159" w:name="Tc_UVD8PCQRXUOAToRzSQlBKA_37_2"/>
      <w:bookmarkStart w:id="160" w:name="Tc_59IuP5n-bEamQ54kz4eHkQ_37_0"/>
      <w:bookmarkStart w:id="161" w:name="Tc_w9GMrWER4EmVzOCbISGGyQ_36_0"/>
      <w:bookmarkStart w:id="162" w:name="Tc_i8Akg6VJn02tLMUIPbXHUA_34_11"/>
      <w:bookmarkStart w:id="163" w:name="Tc_GopFqXBc806ebRrhVgIR0g_34_8"/>
      <w:bookmarkStart w:id="164" w:name="Tc_he8j6_oAhUSr6y4mN_poqw_34_5"/>
      <w:bookmarkStart w:id="165" w:name="Tc_T_x300nq2EWaG9XMAv8LXA_34_2"/>
      <w:bookmarkStart w:id="166" w:name="Tc_TtwTf5WFaE6pnPNXfNVAww_34_0"/>
      <w:bookmarkStart w:id="167" w:name="Tc_BqmYFoVmfkC4K1gW3n6pTA_33_0"/>
      <w:bookmarkStart w:id="168" w:name="Tc_cAPlkz_FmUuEA0KX2gH5rA_32_0"/>
      <w:bookmarkStart w:id="169" w:name="Tc_AZJduh45MUK8HYLzCZgHfw_30_0"/>
      <w:bookmarkStart w:id="170" w:name="Tc_Pa5BExXaqUuj8jNvcQgdxg_29_0"/>
      <w:bookmarkStart w:id="171" w:name="Tc_uAXthI7Pu0GJwhChd3zGYw_28_0"/>
      <w:bookmarkStart w:id="172" w:name="Tc_ZBx7kpdEHUa3LssluiO2cA_26_0"/>
      <w:bookmarkStart w:id="173" w:name="Tc_4GjLrhrEh0qVE3UPCN-wyQ_25_0"/>
      <w:bookmarkStart w:id="174" w:name="Tc_eZc8kog_GUGlO0UdnFbPvw_24_0"/>
      <w:bookmarkStart w:id="175" w:name="Tc_yymewc9HcEiiEFQaa9S3lg_23_0"/>
      <w:bookmarkStart w:id="176" w:name="Tc_s5klOHWjpUS59uNMhZKTDg_21_0"/>
      <w:bookmarkStart w:id="177" w:name="Tc_l16JW1svBE6gbR5KyOu-Yg_19_0"/>
      <w:bookmarkStart w:id="178" w:name="Tc_JBpGg_JUCUibpWe77SWvnA_18_0"/>
      <w:bookmarkStart w:id="179" w:name="Tc_kKerxB32Z0-lAIpl_u5J1Q_17_0"/>
      <w:bookmarkStart w:id="180" w:name="Tc_LkIO-e6SqUumako1GtwySg_16_0"/>
      <w:bookmarkStart w:id="181" w:name="Tc_qJ0o1-hpSk2B2JNb-TLiyQ_15_0"/>
      <w:bookmarkStart w:id="182" w:name="Tc_mhPEHQKWdkaSAiBJIozYGw_14_0"/>
      <w:bookmarkStart w:id="183" w:name="Tc_huL0rYIHfESjCGKmIMZO1A_13_0"/>
      <w:bookmarkStart w:id="184" w:name="Tc_qmiK9tHhTkCTglpyH63jvA_11_0"/>
      <w:bookmarkStart w:id="185" w:name="Tc_HjEgLy8Quka4fs8YePK8rw_9_0"/>
      <w:bookmarkStart w:id="186" w:name="Tc_fNVjtnV59E2RGzyCGWidBA_8_0"/>
      <w:bookmarkStart w:id="187" w:name="Tc_SakDKMfnlkCmYWOBLElTGA_7_0"/>
      <w:bookmarkStart w:id="188" w:name="Tc_89nUuNApoUWLT-ks5_-HLA_6_0"/>
      <w:bookmarkStart w:id="189" w:name="Tc_AflhFHA2XkaHoB0GqICF6w_4_11"/>
      <w:bookmarkStart w:id="190" w:name="Tc_VdZlBjLxTkuhmvb_LqxaAA_4_8"/>
      <w:bookmarkStart w:id="191" w:name="Tc_bxKbztwyWkyPsBuAug1GGw_4_5"/>
      <w:bookmarkStart w:id="192" w:name="Tc_G7LJzPyOXkGuIyormcP0fA_4_2"/>
      <w:bookmarkStart w:id="193" w:name="Tc_VZLaFnJY7ESJtVQJQS03ag_4_0"/>
      <w:bookmarkStart w:id="194" w:name="Tc_WB6R6adX7ku-rJx_JP3Onw_3_11"/>
      <w:bookmarkStart w:id="195" w:name="Tc_NjmlYZ-mmE2dlEunoZZPZQ_3_8"/>
      <w:bookmarkStart w:id="196" w:name="Tc_cbCt46JOikGw5MOkiC7yOg_3_5"/>
      <w:bookmarkStart w:id="197" w:name="Tc_0UrEL2XAj0yqHahyrgimyA_3_2"/>
      <w:bookmarkStart w:id="198" w:name="Tc_d7deRk6O7kqj4NlGp3tn-A_2_11"/>
      <w:bookmarkStart w:id="199" w:name="Tc_LIiSp3UCHUCMwml2Itl96Q_2_8"/>
      <w:bookmarkStart w:id="200" w:name="Tc_ugUIkPrHrU67uQldvWtnHQ_2_5"/>
      <w:bookmarkStart w:id="201" w:name="Tc_lpdBeqvKcEuiD_a-IO6bkw_2_2"/>
      <w:bookmarkStart w:id="202" w:name="Tc_emiBKJcr1kOEZxSin28Z8Q_1_8"/>
      <w:bookmarkStart w:id="203" w:name="Tc_RuQIhW4RhE6XqOPmTqEkYw_1_2"/>
      <w:bookmarkStart w:id="204" w:name="_3aba4ab8_bba5_491c_8d83_78aa3e16931c"/>
      <w:bookmarkStart w:id="205" w:name="Tc_y4lHh5qEcEWaa-u6-B681A_42_0"/>
      <w:bookmarkStart w:id="206" w:name="Tc_5g8_yMZwdkqTF8oZifXyFw_41_0"/>
      <w:bookmarkStart w:id="207" w:name="Tc_7_amburt902n2sa2ydqWIg_40_0"/>
      <w:bookmarkStart w:id="208" w:name="Tc_KC89iZYbZE-29OC4-YsIZw_38_11"/>
      <w:bookmarkStart w:id="209" w:name="Tc_GEtJkJtatkm3n4ceNOpFnw_38_8"/>
      <w:bookmarkStart w:id="210" w:name="Tc_h9l_A4FoX0KSis4rURbkqw_38_5"/>
      <w:bookmarkStart w:id="211" w:name="Tc_yqku_hC14kaD-eKW1A0U1Q_38_2"/>
      <w:bookmarkStart w:id="212" w:name="Tc_XujwXQOiBUOFmPD8kPc6fQ_38_0"/>
      <w:bookmarkStart w:id="213" w:name="Tc_VgByJNXV3kSkQ_tnxb-kRA_37_11"/>
      <w:bookmarkStart w:id="214" w:name="Tc_6RVJa01L20-XUBb4E7qHDQ_37_8"/>
      <w:bookmarkStart w:id="215" w:name="Tc__9wlrNLIc0CD2VbLp0j7kg_37_5"/>
      <w:bookmarkStart w:id="216" w:name="Tc_UVD8PCQRXUOAToRzSQlBKA_37_2"/>
      <w:bookmarkStart w:id="217" w:name="Tc_59IuP5n-bEamQ54kz4eHkQ_37_0"/>
      <w:bookmarkStart w:id="218" w:name="Tc_w9GMrWER4EmVzOCbISGGyQ_36_0"/>
      <w:bookmarkStart w:id="219" w:name="Tc_i8Akg6VJn02tLMUIPbXHUA_34_11"/>
      <w:bookmarkStart w:id="220" w:name="Tc_GopFqXBc806ebRrhVgIR0g_34_8"/>
      <w:bookmarkStart w:id="221" w:name="Tc_he8j6_oAhUSr6y4mN_poqw_34_5"/>
      <w:bookmarkStart w:id="222" w:name="Tc_T_x300nq2EWaG9XMAv8LXA_34_2"/>
      <w:bookmarkStart w:id="223" w:name="Tc_TtwTf5WFaE6pnPNXfNVAww_34_0"/>
      <w:bookmarkStart w:id="224" w:name="Tc_BqmYFoVmfkC4K1gW3n6pTA_33_0"/>
      <w:bookmarkStart w:id="225" w:name="Tc_cAPlkz_FmUuEA0KX2gH5rA_32_0"/>
      <w:bookmarkStart w:id="226" w:name="Tc_AZJduh45MUK8HYLzCZgHfw_30_0"/>
      <w:bookmarkStart w:id="227" w:name="Tc_Pa5BExXaqUuj8jNvcQgdxg_29_0"/>
      <w:bookmarkStart w:id="228" w:name="Tc_uAXthI7Pu0GJwhChd3zGYw_28_0"/>
      <w:bookmarkStart w:id="229" w:name="Tc_ZBx7kpdEHUa3LssluiO2cA_26_0"/>
      <w:bookmarkStart w:id="230" w:name="Tc_4GjLrhrEh0qVE3UPCN-wyQ_25_0"/>
      <w:bookmarkStart w:id="231" w:name="Tc_eZc8kog_GUGlO0UdnFbPvw_24_0"/>
      <w:bookmarkStart w:id="232" w:name="Tc_yymewc9HcEiiEFQaa9S3lg_23_0"/>
      <w:bookmarkStart w:id="233" w:name="Tc_s5klOHWjpUS59uNMhZKTDg_21_0"/>
      <w:bookmarkStart w:id="234" w:name="Tc_l16JW1svBE6gbR5KyOu-Yg_19_0"/>
      <w:bookmarkStart w:id="235" w:name="Tc_JBpGg_JUCUibpWe77SWvnA_18_0"/>
      <w:bookmarkStart w:id="236" w:name="Tc_kKerxB32Z0-lAIpl_u5J1Q_17_0"/>
      <w:bookmarkStart w:id="237" w:name="Tc_LkIO-e6SqUumako1GtwySg_16_0"/>
      <w:bookmarkStart w:id="238" w:name="Tc_qJ0o1-hpSk2B2JNb-TLiyQ_15_0"/>
      <w:bookmarkStart w:id="239" w:name="Tc_mhPEHQKWdkaSAiBJIozYGw_14_0"/>
      <w:bookmarkStart w:id="240" w:name="Tc_huL0rYIHfESjCGKmIMZO1A_13_0"/>
      <w:bookmarkStart w:id="241" w:name="Tc_qmiK9tHhTkCTglpyH63jvA_11_0"/>
      <w:bookmarkStart w:id="242" w:name="Tc_HjEgLy8Quka4fs8YePK8rw_9_0"/>
      <w:bookmarkStart w:id="243" w:name="Tc_fNVjtnV59E2RGzyCGWidBA_8_0"/>
      <w:bookmarkStart w:id="244" w:name="Tc_SakDKMfnlkCmYWOBLElTGA_7_0"/>
      <w:bookmarkStart w:id="245" w:name="Tc_89nUuNApoUWLT-ks5_-HLA_6_0"/>
      <w:bookmarkStart w:id="246" w:name="Tc_AflhFHA2XkaHoB0GqICF6w_4_11"/>
      <w:bookmarkStart w:id="247" w:name="Tc_VdZlBjLxTkuhmvb_LqxaAA_4_8"/>
      <w:bookmarkStart w:id="248" w:name="Tc_bxKbztwyWkyPsBuAug1GGw_4_5"/>
      <w:bookmarkStart w:id="249" w:name="Tc_G7LJzPyOXkGuIyormcP0fA_4_2"/>
      <w:bookmarkStart w:id="250" w:name="Tc_VZLaFnJY7ESJtVQJQS03ag_4_0"/>
      <w:bookmarkStart w:id="251" w:name="Tc_WB6R6adX7ku-rJx_JP3Onw_3_11"/>
      <w:bookmarkStart w:id="252" w:name="Tc_NjmlYZ-mmE2dlEunoZZPZQ_3_8"/>
      <w:bookmarkStart w:id="253" w:name="Tc_cbCt46JOikGw5MOkiC7yOg_3_5"/>
      <w:bookmarkStart w:id="254" w:name="Tc_0UrEL2XAj0yqHahyrgimyA_3_2"/>
      <w:bookmarkStart w:id="255" w:name="Tc_d7deRk6O7kqj4NlGp3tn-A_2_11"/>
      <w:bookmarkStart w:id="256" w:name="Tc_LIiSp3UCHUCMwml2Itl96Q_2_8"/>
      <w:bookmarkStart w:id="257" w:name="Tc_ugUIkPrHrU67uQldvWtnHQ_2_5"/>
      <w:bookmarkStart w:id="258" w:name="Tc_lpdBeqvKcEuiD_a-IO6bkw_2_2"/>
      <w:bookmarkStart w:id="259" w:name="Tc_emiBKJcr1kOEZxSin28Z8Q_1_8"/>
      <w:bookmarkStart w:id="260" w:name="Tc_RuQIhW4RhE6XqOPmTqEkYw_1_2"/>
      <w:bookmarkStart w:id="261" w:name="_3aba4ab8_bba5_491c_8d83_78aa3e16931c"/>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tbl>
      <w:tblPr>
        <w:tblW w:w="10205" w:type="dxa"/>
        <w:jc w:val="left"/>
        <w:tblInd w:w="0" w:type="dxa"/>
        <w:tblLayout w:type="fixed"/>
        <w:tblCellMar>
          <w:top w:w="0" w:type="dxa"/>
          <w:left w:w="0" w:type="dxa"/>
          <w:bottom w:w="0" w:type="dxa"/>
          <w:right w:w="0" w:type="dxa"/>
        </w:tblCellMar>
      </w:tblPr>
      <w:tblGrid>
        <w:gridCol w:w="4888"/>
        <w:gridCol w:w="326"/>
        <w:gridCol w:w="211"/>
        <w:gridCol w:w="781"/>
        <w:gridCol w:w="326"/>
        <w:gridCol w:w="211"/>
        <w:gridCol w:w="781"/>
        <w:gridCol w:w="326"/>
        <w:gridCol w:w="211"/>
        <w:gridCol w:w="781"/>
        <w:gridCol w:w="326"/>
        <w:gridCol w:w="211"/>
        <w:gridCol w:w="826"/>
      </w:tblGrid>
      <w:tr>
        <w:trPr/>
        <w:tc>
          <w:tcPr>
            <w:tcW w:w="4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103880" cy="175260"/>
                      <wp:effectExtent l="0" t="0" r="0" b="0"/>
                      <wp:wrapNone/>
                      <wp:docPr id="13" name="Frame13"/>
                      <a:graphic xmlns:a="http://schemas.openxmlformats.org/drawingml/2006/main">
                        <a:graphicData uri="http://schemas.microsoft.com/office/word/2010/wordprocessingShape">
                          <wps:wsp>
                            <wps:cNvSpPr txBox="1"/>
                            <wps:spPr>
                              <a:xfrm>
                                <a:off x="0" y="0"/>
                                <a:ext cx="310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5935" cy="175260"/>
                      <wp:effectExtent l="0" t="0" r="0" b="0"/>
                      <wp:wrapNone/>
                      <wp:docPr id="16" name="Frame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95935" cy="175260"/>
                      <wp:effectExtent l="0" t="0" r="0" b="0"/>
                      <wp:wrapNone/>
                      <wp:docPr id="19" name="Frame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4510" cy="175260"/>
                      <wp:effectExtent l="0" t="0" r="0" b="0"/>
                      <wp:wrapNone/>
                      <wp:docPr id="25" name="Frame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263,485</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45,159</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122,104</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167,263</w:t>
            </w:r>
          </w:p>
        </w:tc>
      </w:tr>
      <w:tr>
        <w:trPr/>
        <w:tc>
          <w:tcPr>
            <w:tcW w:w="4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96,222</w:t>
            </w:r>
          </w:p>
        </w:tc>
      </w:tr>
      <w:tr>
        <w:trPr/>
        <w:tc>
          <w:tcPr>
            <w:tcW w:w="4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52,573</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16,434</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84,413</w:t>
            </w:r>
          </w:p>
        </w:tc>
      </w:tr>
      <w:tr>
        <w:trPr/>
        <w:tc>
          <w:tcPr>
            <w:tcW w:w="4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11,809</w:t>
            </w:r>
          </w:p>
        </w:tc>
      </w:tr>
      <w:tr>
        <w:trPr/>
        <w:tc>
          <w:tcPr>
            <w:tcW w:w="4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(4,097)</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9,242</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7,536</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8,071</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r>
      <w:tr>
        <w:trPr/>
        <w:tc>
          <w:tcPr>
            <w:tcW w:w="4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13,665</w:t>
            </w:r>
          </w:p>
        </w:tc>
      </w:tr>
      <w:tr>
        <w:trPr/>
        <w:tc>
          <w:tcPr>
            <w:tcW w:w="48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14,001</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2" w:name="_139c3aa6_c45f_45de_b325_d90ebedc0697"/>
      <w:bookmarkEnd w:id="262"/>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63" w:name="STOCKHOLDERSEQUITY_372544"/>
      <w:bookmarkEnd w:id="263"/>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64" w:name="Tc_OBx2FJpSj0GEG9kuzLOsaQ_21_16"/>
      <w:bookmarkStart w:id="265" w:name="Tc_VoMUiyZllUqq6D67zJhyig_21_13"/>
      <w:bookmarkStart w:id="266" w:name="Tc_bl5lI3FtrEiu0e5w4WrS_g_21_10"/>
      <w:bookmarkStart w:id="267" w:name="Tc_sAwVZrb7tEuCmRwFSNnmlQ_21_7"/>
      <w:bookmarkStart w:id="268" w:name="Tc_WPAEyQRyG0K5nn-fDJWzdQ_21_4"/>
      <w:bookmarkStart w:id="269" w:name="Tc_sr45MOooGUa-xG0EG0RF5Q_21_0"/>
      <w:bookmarkStart w:id="270" w:name="Tc_pnYp9zKg-U2uie9-9-4yfA_20_14"/>
      <w:bookmarkStart w:id="271" w:name="Tc_vzmHt2LcE0qj3vahOWn4Dw_20_8"/>
      <w:bookmarkStart w:id="272" w:name="Tc_FbhWwt9bpUm49_jnmx6A9A_20_5"/>
      <w:bookmarkStart w:id="273" w:name="Tc_G13xDkUuU02s6LCFUqG6MA_20_2"/>
      <w:bookmarkStart w:id="274" w:name="Tc_UeM4OeVZ9EiJ8HEfSqesiA_20_0"/>
      <w:bookmarkStart w:id="275" w:name="Tc_lxFZierrtUWob8nzToYRVQ_19_11"/>
      <w:bookmarkStart w:id="276" w:name="Tc_H3gsUlL-rUG41DVrRRX_sA_19_8"/>
      <w:bookmarkStart w:id="277" w:name="Tc_SL7ltwPuyEGP6o8mPqjPCQ_19_5"/>
      <w:bookmarkStart w:id="278" w:name="Tc_H8236GCAzUOFCkjDg_8xqw_19_2"/>
      <w:bookmarkStart w:id="279" w:name="Tc_JOodrVww0E2kckVV7FrVLw_19_0"/>
      <w:bookmarkStart w:id="280" w:name="Tc_EGkKuHPB_UiKR63d09wCQw_18_14"/>
      <w:bookmarkStart w:id="281" w:name="Tc_-94FgSFu1EWQZobj32HQtw_18_11"/>
      <w:bookmarkStart w:id="282" w:name="Tc_ScaJQibT3UqZqHc1C0Qn0w_18_5"/>
      <w:bookmarkStart w:id="283" w:name="Tc_Cz3bfKv_TkiKjQftiInwsg_18_2"/>
      <w:bookmarkStart w:id="284" w:name="Tc_faBEa0pM2kKfyvKFOtZ-fA_18_0"/>
      <w:bookmarkStart w:id="285" w:name="Tc_uq_s4zBCcE2vJLrGt2eBsg_17_17"/>
      <w:bookmarkStart w:id="286" w:name="Tc_yaV36iOo5E6pClpBP8eVbw_17_14"/>
      <w:bookmarkStart w:id="287" w:name="Tc_YHSl1sqRXUOmxbTDuGLlbw_17_11"/>
      <w:bookmarkStart w:id="288" w:name="Tc_E0-Gy5rj3UWsjvXqsaBX0A_17_8"/>
      <w:bookmarkStart w:id="289" w:name="Tc_sFLc9m4DzUyf5SfXD2O_YQ_17_5"/>
      <w:bookmarkStart w:id="290" w:name="Tc_c2bZH4P1EUmrfBANw-HXTg_17_0"/>
      <w:bookmarkStart w:id="291" w:name="Tc_jBOBmZhMoEimtXLR2M0_yg_16_14"/>
      <w:bookmarkStart w:id="292" w:name="Tc_4Asw3pHciUW_SkLu9dab6A_16_11"/>
      <w:bookmarkStart w:id="293" w:name="Tc_mZOV9qbBj0qIww-5Wr_eGQ_16_5"/>
      <w:bookmarkStart w:id="294" w:name="Tc_KigUxAWBMUGOEnNP1D0k3w_16_0"/>
      <w:bookmarkStart w:id="295" w:name="Tc_xSI7kjyANkC1xyclt0ZoAg_15_14"/>
      <w:bookmarkStart w:id="296" w:name="Tc_52sMrU0_IUeOv01wmRSdZQ_15_11"/>
      <w:bookmarkStart w:id="297" w:name="Tc_5gJ_axnWxUCIJYPUkVzJaw_15_0"/>
      <w:bookmarkStart w:id="298" w:name="Tc_vOANGGKeIE2TiHrBOl3bmw_14_16"/>
      <w:bookmarkStart w:id="299" w:name="Tc_KDcTCoeEZkS08q_Pq9RrYg_14_13"/>
      <w:bookmarkStart w:id="300" w:name="Tc_YBQCx0yrZ0a4VtfzzyxTjg_14_10"/>
      <w:bookmarkStart w:id="301" w:name="Tc_EQmuWU7bbUyuavTeJlt8GQ_14_7"/>
      <w:bookmarkStart w:id="302" w:name="Tc_ft_2twObc02vrxd9W-HofQ_14_4"/>
      <w:bookmarkStart w:id="303" w:name="Tc_aCFoAidgd0OWSvJI5ishcQ_14_0"/>
      <w:bookmarkStart w:id="304" w:name="Tc_3gK1NzcSWkKu99ezYsh2rw_13_14"/>
      <w:bookmarkStart w:id="305" w:name="Tc_mrOP9ccIhESOmf6XxIO3UA_13_8"/>
      <w:bookmarkStart w:id="306" w:name="Tc_PM08Ndyvg0ui90FVAvzm6Q_13_5"/>
      <w:bookmarkStart w:id="307" w:name="Tc_C6EiFxpjfki2RqxK6TfhLA_13_2"/>
      <w:bookmarkStart w:id="308" w:name="Tc_EdZk8sVZ9U6dvrZz2gz3EQ_13_0"/>
      <w:bookmarkStart w:id="309" w:name="Tc_WtGpXk9LwEehh-sQPtBpQg_12_11"/>
      <w:bookmarkStart w:id="310" w:name="Tc_pv3AwuHPfE6N6eo7G28b0A_12_8"/>
      <w:bookmarkStart w:id="311" w:name="Tc_k2UaH5My-UqIZpFUqNCHfg_12_5"/>
      <w:bookmarkStart w:id="312" w:name="Tc_XzmFRO60jUG3A-8HFxqXMQ_12_2"/>
      <w:bookmarkStart w:id="313" w:name="Tc_-FqWLoHZeEShr42BrF9CDA_12_0"/>
      <w:bookmarkStart w:id="314" w:name="Tc_Ri56omF1LkiSQVv_asOb4w_11_14"/>
      <w:bookmarkStart w:id="315" w:name="Tc__RAbkQ3RfU6xVK1pwvA4SA_11_11"/>
      <w:bookmarkStart w:id="316" w:name="Tc_E15nV0pwLE2ZW5kzgWMw5A_11_5"/>
      <w:bookmarkStart w:id="317" w:name="Tc_ThwvD-nqV0CHSJHz-6ipyg_11_2"/>
      <w:bookmarkStart w:id="318" w:name="Tc_npp6MbJEkEi0n6Hfw2oiLQ_11_0"/>
      <w:bookmarkStart w:id="319" w:name="Tc_JpQdlvU6pE2jq65whLqmGA_10_14"/>
      <w:bookmarkStart w:id="320" w:name="Tc_GiuTCPCHAE-KOS1zfzOeLw_10_11"/>
      <w:bookmarkStart w:id="321" w:name="Tc_WOfuWVGTc0uOJ3BGwYYCog_10_0"/>
      <w:bookmarkStart w:id="322" w:name="Tc_0BFpvyCVfUO1k__azaaHag_9_17"/>
      <w:bookmarkStart w:id="323" w:name="Tc_2TncuziC-0O-OR2nuXTVQA_9_14"/>
      <w:bookmarkStart w:id="324" w:name="Tc_nk3e8HORZU2AF9XRDAIUqQ_9_11"/>
      <w:bookmarkStart w:id="325" w:name="Tc_ldhC_iGN4Eys0zTCi6W8og_9_0"/>
      <w:bookmarkStart w:id="326" w:name="Tc_EDrWS1940U-CIDat3EvzOw_8_14"/>
      <w:bookmarkStart w:id="327" w:name="Tc_lTNhyw86s0eSX39_rGqbsg_8_11"/>
      <w:bookmarkStart w:id="328" w:name="Tc_5DzfBm-SbECpw1BPEZEuKg_8_0"/>
      <w:bookmarkStart w:id="329" w:name="Tc_cR0RXtklbESpPOT6TN7ezA_7_14"/>
      <w:bookmarkStart w:id="330" w:name="Tc_wQzcRNeEuUOzBCIhlFmvhA_7_11"/>
      <w:bookmarkStart w:id="331" w:name="Tc_maA-5uWvnUWdln5aESzzLQ_7_5"/>
      <w:bookmarkStart w:id="332" w:name="Tc_Y_osEmB6w0uA4D2X23mIvQ_7_0"/>
      <w:bookmarkStart w:id="333" w:name="Tc_JXTDJYvhEUuD-yi5f4civw_6_14"/>
      <w:bookmarkStart w:id="334" w:name="Tc__8E04yRVlUOsFKJ-YFXBlw_6_11"/>
      <w:bookmarkStart w:id="335" w:name="Tc_q6cQSuX-gku_-K-qmy3psw_6_5"/>
      <w:bookmarkStart w:id="336" w:name="Tc_BclwvpxJG0mSo-g8wVEp1Q_6_0"/>
      <w:bookmarkStart w:id="337" w:name="Tc_5HurLsjqNUWqrfhecRI51w_5_16"/>
      <w:bookmarkStart w:id="338" w:name="Tc_-_0v9BNvJ0m6cccx56rhOw_5_13"/>
      <w:bookmarkStart w:id="339" w:name="Tc_QBx8eDrmLkayC1y2phyPpw_5_10"/>
      <w:bookmarkStart w:id="340" w:name="Tc_Yrj3lrWExE2jeaR7fINljA_5_7"/>
      <w:bookmarkStart w:id="341" w:name="Tc_IxPS43-CqU-jjL-Gvw2CwQ_5_4"/>
      <w:bookmarkStart w:id="342" w:name="Tc_FuEUEEEk902_h63intxkig_5_0"/>
      <w:bookmarkStart w:id="343" w:name="Tc_iaFAAid-OkqoVCMWeM-r9g_4_16"/>
      <w:bookmarkStart w:id="344" w:name="Tc_SIpK_cRPEkCBg1Vn7aX3WA_4_13"/>
      <w:bookmarkStart w:id="345" w:name="Tc_3blNe-SgUEGcR3ovC5LPJQ_4_10"/>
      <w:bookmarkStart w:id="346" w:name="Tc_Ai3NLDtb8UmzOIFNE30mAg_4_7"/>
      <w:bookmarkStart w:id="347" w:name="Tc_HDfA3ki8PkOTp9BPh_iq6w_4_4"/>
      <w:bookmarkStart w:id="348" w:name="Tc_F5TUSkpzhUW_5PoiMHMjCQ_4_2"/>
      <w:bookmarkStart w:id="349" w:name="Tc_upc4jH04h0Cfyf6r-mYQjg_3_13"/>
      <w:bookmarkStart w:id="350" w:name="Tc_Q9TAEBG5qkejKszZiK9qrA_3_10"/>
      <w:bookmarkStart w:id="351" w:name="Tc_WM4xuTGgkEGmQusACqpx9A_3_7"/>
      <w:bookmarkStart w:id="352" w:name="Tc_VXoVLuxNfUComOLssb2GOg_3_2"/>
      <w:bookmarkStart w:id="353" w:name="Tc_DQKe6FO5o0SHhGJdlXpRhw_2_10"/>
      <w:bookmarkStart w:id="354" w:name="Tc_he6m7wtHq0WwngGg4ZCswA_2_7"/>
      <w:bookmarkStart w:id="355" w:name="Tc_v-fi14xxPkuiMknPsQYP5A_1_10"/>
      <w:bookmarkStart w:id="356" w:name="_2e7e20a5_a451_4611_9878_0bb7a6619791"/>
      <w:bookmarkStart w:id="357" w:name="Tc_OBx2FJpSj0GEG9kuzLOsaQ_21_16"/>
      <w:bookmarkStart w:id="358" w:name="Tc_VoMUiyZllUqq6D67zJhyig_21_13"/>
      <w:bookmarkStart w:id="359" w:name="Tc_bl5lI3FtrEiu0e5w4WrS_g_21_10"/>
      <w:bookmarkStart w:id="360" w:name="Tc_sAwVZrb7tEuCmRwFSNnmlQ_21_7"/>
      <w:bookmarkStart w:id="361" w:name="Tc_WPAEyQRyG0K5nn-fDJWzdQ_21_4"/>
      <w:bookmarkStart w:id="362" w:name="Tc_sr45MOooGUa-xG0EG0RF5Q_21_0"/>
      <w:bookmarkStart w:id="363" w:name="Tc_pnYp9zKg-U2uie9-9-4yfA_20_14"/>
      <w:bookmarkStart w:id="364" w:name="Tc_vzmHt2LcE0qj3vahOWn4Dw_20_8"/>
      <w:bookmarkStart w:id="365" w:name="Tc_FbhWwt9bpUm49_jnmx6A9A_20_5"/>
      <w:bookmarkStart w:id="366" w:name="Tc_G13xDkUuU02s6LCFUqG6MA_20_2"/>
      <w:bookmarkStart w:id="367" w:name="Tc_UeM4OeVZ9EiJ8HEfSqesiA_20_0"/>
      <w:bookmarkStart w:id="368" w:name="Tc_lxFZierrtUWob8nzToYRVQ_19_11"/>
      <w:bookmarkStart w:id="369" w:name="Tc_H3gsUlL-rUG41DVrRRX_sA_19_8"/>
      <w:bookmarkStart w:id="370" w:name="Tc_SL7ltwPuyEGP6o8mPqjPCQ_19_5"/>
      <w:bookmarkStart w:id="371" w:name="Tc_H8236GCAzUOFCkjDg_8xqw_19_2"/>
      <w:bookmarkStart w:id="372" w:name="Tc_JOodrVww0E2kckVV7FrVLw_19_0"/>
      <w:bookmarkStart w:id="373" w:name="Tc_EGkKuHPB_UiKR63d09wCQw_18_14"/>
      <w:bookmarkStart w:id="374" w:name="Tc_-94FgSFu1EWQZobj32HQtw_18_11"/>
      <w:bookmarkStart w:id="375" w:name="Tc_ScaJQibT3UqZqHc1C0Qn0w_18_5"/>
      <w:bookmarkStart w:id="376" w:name="Tc_Cz3bfKv_TkiKjQftiInwsg_18_2"/>
      <w:bookmarkStart w:id="377" w:name="Tc_faBEa0pM2kKfyvKFOtZ-fA_18_0"/>
      <w:bookmarkStart w:id="378" w:name="Tc_uq_s4zBCcE2vJLrGt2eBsg_17_17"/>
      <w:bookmarkStart w:id="379" w:name="Tc_yaV36iOo5E6pClpBP8eVbw_17_14"/>
      <w:bookmarkStart w:id="380" w:name="Tc_YHSl1sqRXUOmxbTDuGLlbw_17_11"/>
      <w:bookmarkStart w:id="381" w:name="Tc_E0-Gy5rj3UWsjvXqsaBX0A_17_8"/>
      <w:bookmarkStart w:id="382" w:name="Tc_sFLc9m4DzUyf5SfXD2O_YQ_17_5"/>
      <w:bookmarkStart w:id="383" w:name="Tc_c2bZH4P1EUmrfBANw-HXTg_17_0"/>
      <w:bookmarkStart w:id="384" w:name="Tc_jBOBmZhMoEimtXLR2M0_yg_16_14"/>
      <w:bookmarkStart w:id="385" w:name="Tc_4Asw3pHciUW_SkLu9dab6A_16_11"/>
      <w:bookmarkStart w:id="386" w:name="Tc_mZOV9qbBj0qIww-5Wr_eGQ_16_5"/>
      <w:bookmarkStart w:id="387" w:name="Tc_KigUxAWBMUGOEnNP1D0k3w_16_0"/>
      <w:bookmarkStart w:id="388" w:name="Tc_xSI7kjyANkC1xyclt0ZoAg_15_14"/>
      <w:bookmarkStart w:id="389" w:name="Tc_52sMrU0_IUeOv01wmRSdZQ_15_11"/>
      <w:bookmarkStart w:id="390" w:name="Tc_5gJ_axnWxUCIJYPUkVzJaw_15_0"/>
      <w:bookmarkStart w:id="391" w:name="Tc_vOANGGKeIE2TiHrBOl3bmw_14_16"/>
      <w:bookmarkStart w:id="392" w:name="Tc_KDcTCoeEZkS08q_Pq9RrYg_14_13"/>
      <w:bookmarkStart w:id="393" w:name="Tc_YBQCx0yrZ0a4VtfzzyxTjg_14_10"/>
      <w:bookmarkStart w:id="394" w:name="Tc_EQmuWU7bbUyuavTeJlt8GQ_14_7"/>
      <w:bookmarkStart w:id="395" w:name="Tc_ft_2twObc02vrxd9W-HofQ_14_4"/>
      <w:bookmarkStart w:id="396" w:name="Tc_aCFoAidgd0OWSvJI5ishcQ_14_0"/>
      <w:bookmarkStart w:id="397" w:name="Tc_3gK1NzcSWkKu99ezYsh2rw_13_14"/>
      <w:bookmarkStart w:id="398" w:name="Tc_mrOP9ccIhESOmf6XxIO3UA_13_8"/>
      <w:bookmarkStart w:id="399" w:name="Tc_PM08Ndyvg0ui90FVAvzm6Q_13_5"/>
      <w:bookmarkStart w:id="400" w:name="Tc_C6EiFxpjfki2RqxK6TfhLA_13_2"/>
      <w:bookmarkStart w:id="401" w:name="Tc_EdZk8sVZ9U6dvrZz2gz3EQ_13_0"/>
      <w:bookmarkStart w:id="402" w:name="Tc_WtGpXk9LwEehh-sQPtBpQg_12_11"/>
      <w:bookmarkStart w:id="403" w:name="Tc_pv3AwuHPfE6N6eo7G28b0A_12_8"/>
      <w:bookmarkStart w:id="404" w:name="Tc_k2UaH5My-UqIZpFUqNCHfg_12_5"/>
      <w:bookmarkStart w:id="405" w:name="Tc_XzmFRO60jUG3A-8HFxqXMQ_12_2"/>
      <w:bookmarkStart w:id="406" w:name="Tc_-FqWLoHZeEShr42BrF9CDA_12_0"/>
      <w:bookmarkStart w:id="407" w:name="Tc_Ri56omF1LkiSQVv_asOb4w_11_14"/>
      <w:bookmarkStart w:id="408" w:name="Tc__RAbkQ3RfU6xVK1pwvA4SA_11_11"/>
      <w:bookmarkStart w:id="409" w:name="Tc_E15nV0pwLE2ZW5kzgWMw5A_11_5"/>
      <w:bookmarkStart w:id="410" w:name="Tc_ThwvD-nqV0CHSJHz-6ipyg_11_2"/>
      <w:bookmarkStart w:id="411" w:name="Tc_npp6MbJEkEi0n6Hfw2oiLQ_11_0"/>
      <w:bookmarkStart w:id="412" w:name="Tc_JpQdlvU6pE2jq65whLqmGA_10_14"/>
      <w:bookmarkStart w:id="413" w:name="Tc_GiuTCPCHAE-KOS1zfzOeLw_10_11"/>
      <w:bookmarkStart w:id="414" w:name="Tc_WOfuWVGTc0uOJ3BGwYYCog_10_0"/>
      <w:bookmarkStart w:id="415" w:name="Tc_0BFpvyCVfUO1k__azaaHag_9_17"/>
      <w:bookmarkStart w:id="416" w:name="Tc_2TncuziC-0O-OR2nuXTVQA_9_14"/>
      <w:bookmarkStart w:id="417" w:name="Tc_nk3e8HORZU2AF9XRDAIUqQ_9_11"/>
      <w:bookmarkStart w:id="418" w:name="Tc_ldhC_iGN4Eys0zTCi6W8og_9_0"/>
      <w:bookmarkStart w:id="419" w:name="Tc_EDrWS1940U-CIDat3EvzOw_8_14"/>
      <w:bookmarkStart w:id="420" w:name="Tc_lTNhyw86s0eSX39_rGqbsg_8_11"/>
      <w:bookmarkStart w:id="421" w:name="Tc_5DzfBm-SbECpw1BPEZEuKg_8_0"/>
      <w:bookmarkStart w:id="422" w:name="Tc_cR0RXtklbESpPOT6TN7ezA_7_14"/>
      <w:bookmarkStart w:id="423" w:name="Tc_wQzcRNeEuUOzBCIhlFmvhA_7_11"/>
      <w:bookmarkStart w:id="424" w:name="Tc_maA-5uWvnUWdln5aESzzLQ_7_5"/>
      <w:bookmarkStart w:id="425" w:name="Tc_Y_osEmB6w0uA4D2X23mIvQ_7_0"/>
      <w:bookmarkStart w:id="426" w:name="Tc_JXTDJYvhEUuD-yi5f4civw_6_14"/>
      <w:bookmarkStart w:id="427" w:name="Tc__8E04yRVlUOsFKJ-YFXBlw_6_11"/>
      <w:bookmarkStart w:id="428" w:name="Tc_q6cQSuX-gku_-K-qmy3psw_6_5"/>
      <w:bookmarkStart w:id="429" w:name="Tc_BclwvpxJG0mSo-g8wVEp1Q_6_0"/>
      <w:bookmarkStart w:id="430" w:name="Tc_5HurLsjqNUWqrfhecRI51w_5_16"/>
      <w:bookmarkStart w:id="431" w:name="Tc_-_0v9BNvJ0m6cccx56rhOw_5_13"/>
      <w:bookmarkStart w:id="432" w:name="Tc_QBx8eDrmLkayC1y2phyPpw_5_10"/>
      <w:bookmarkStart w:id="433" w:name="Tc_Yrj3lrWExE2jeaR7fINljA_5_7"/>
      <w:bookmarkStart w:id="434" w:name="Tc_IxPS43-CqU-jjL-Gvw2CwQ_5_4"/>
      <w:bookmarkStart w:id="435" w:name="Tc_FuEUEEEk902_h63intxkig_5_0"/>
      <w:bookmarkStart w:id="436" w:name="Tc_iaFAAid-OkqoVCMWeM-r9g_4_16"/>
      <w:bookmarkStart w:id="437" w:name="Tc_SIpK_cRPEkCBg1Vn7aX3WA_4_13"/>
      <w:bookmarkStart w:id="438" w:name="Tc_3blNe-SgUEGcR3ovC5LPJQ_4_10"/>
      <w:bookmarkStart w:id="439" w:name="Tc_Ai3NLDtb8UmzOIFNE30mAg_4_7"/>
      <w:bookmarkStart w:id="440" w:name="Tc_HDfA3ki8PkOTp9BPh_iq6w_4_4"/>
      <w:bookmarkStart w:id="441" w:name="Tc_F5TUSkpzhUW_5PoiMHMjCQ_4_2"/>
      <w:bookmarkStart w:id="442" w:name="Tc_upc4jH04h0Cfyf6r-mYQjg_3_13"/>
      <w:bookmarkStart w:id="443" w:name="Tc_Q9TAEBG5qkejKszZiK9qrA_3_10"/>
      <w:bookmarkStart w:id="444" w:name="Tc_WM4xuTGgkEGmQusACqpx9A_3_7"/>
      <w:bookmarkStart w:id="445" w:name="Tc_VXoVLuxNfUComOLssb2GOg_3_2"/>
      <w:bookmarkStart w:id="446" w:name="Tc_DQKe6FO5o0SHhGJdlXpRhw_2_10"/>
      <w:bookmarkStart w:id="447" w:name="Tc_he6m7wtHq0WwngGg4ZCswA_2_7"/>
      <w:bookmarkStart w:id="448" w:name="Tc_v-fi14xxPkuiMknPsQYP5A_1_10"/>
      <w:bookmarkStart w:id="449" w:name="_2e7e20a5_a451_4611_9878_0bb7a6619791"/>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tbl>
      <w:tblPr>
        <w:tblW w:w="10205" w:type="dxa"/>
        <w:jc w:val="left"/>
        <w:tblInd w:w="0" w:type="dxa"/>
        <w:tblLayout w:type="fixed"/>
        <w:tblCellMar>
          <w:top w:w="0" w:type="dxa"/>
          <w:left w:w="0" w:type="dxa"/>
          <w:bottom w:w="0" w:type="dxa"/>
          <w:right w:w="0" w:type="dxa"/>
        </w:tblCellMar>
      </w:tblPr>
      <w:tblGrid>
        <w:gridCol w:w="2633"/>
        <w:gridCol w:w="326"/>
        <w:gridCol w:w="687"/>
        <w:gridCol w:w="326"/>
        <w:gridCol w:w="230"/>
        <w:gridCol w:w="462"/>
        <w:gridCol w:w="326"/>
        <w:gridCol w:w="211"/>
        <w:gridCol w:w="792"/>
        <w:gridCol w:w="326"/>
        <w:gridCol w:w="370"/>
        <w:gridCol w:w="846"/>
        <w:gridCol w:w="326"/>
        <w:gridCol w:w="211"/>
        <w:gridCol w:w="687"/>
        <w:gridCol w:w="326"/>
        <w:gridCol w:w="211"/>
        <w:gridCol w:w="909"/>
      </w:tblGrid>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6245" cy="175260"/>
                      <wp:effectExtent l="0" t="0" r="0" b="0"/>
                      <wp:wrapNone/>
                      <wp:docPr id="27" name="Frame27"/>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0" cy="175260"/>
                      <wp:effectExtent l="0" t="0" r="0" b="0"/>
                      <wp:wrapNone/>
                      <wp:docPr id="29" name="Frame2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93370" cy="175260"/>
                      <wp:effectExtent l="0" t="0" r="0" b="0"/>
                      <wp:wrapNone/>
                      <wp:docPr id="30" name="Frame30"/>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2920" cy="175260"/>
                      <wp:effectExtent l="0" t="0" r="0" b="0"/>
                      <wp:wrapNone/>
                      <wp:docPr id="33" name="Frame33"/>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34950" cy="175260"/>
                      <wp:effectExtent l="0" t="0" r="0" b="0"/>
                      <wp:wrapNone/>
                      <wp:docPr id="35" name="Frame3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7210" cy="175260"/>
                      <wp:effectExtent l="0" t="0" r="0" b="0"/>
                      <wp:wrapNone/>
                      <wp:docPr id="36" name="Frame36"/>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6245" cy="175260"/>
                      <wp:effectExtent l="0" t="0" r="0" b="0"/>
                      <wp:wrapNone/>
                      <wp:docPr id="39" name="Frame3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77215" cy="175260"/>
                      <wp:effectExtent l="0" t="0" r="0" b="0"/>
                      <wp:wrapNone/>
                      <wp:docPr id="42" name="Frame42"/>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89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r>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8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center"/>
              <w:rPr/>
            </w:pPr>
            <w:r>
              <w:rPr/>
              <w:t>​</w:t>
            </w:r>
          </w:p>
        </w:tc>
      </w:tr>
      <w:tr>
        <w:trPr/>
        <w:tc>
          <w:tcPr>
            <w:tcW w:w="26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27, 2024</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14,169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197,368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37,147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234,343 </w:t>
            </w:r>
          </w:p>
        </w:tc>
      </w:tr>
      <w:tr>
        <w:trPr/>
        <w:tc>
          <w:tcPr>
            <w:tcW w:w="2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2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(2,878)</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r>
      <w:tr>
        <w:trPr/>
        <w:tc>
          <w:tcPr>
            <w:tcW w:w="2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issued to acquire businesses</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r>
      <w:tr>
        <w:trPr/>
        <w:tc>
          <w:tcPr>
            <w:tcW w:w="2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26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April 4, 2025</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14,497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204,036 </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41,834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245,516 </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w:t>
            </w:r>
          </w:p>
        </w:tc>
      </w:tr>
      <w:tr>
        <w:trPr/>
        <w:tc>
          <w:tcPr>
            <w:tcW w:w="2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r>
      <w:tr>
        <w:trPr/>
        <w:tc>
          <w:tcPr>
            <w:tcW w:w="2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r>
      <w:tr>
        <w:trPr/>
        <w:tc>
          <w:tcPr>
            <w:tcW w:w="2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4, 2025</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14,611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208,830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57,270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 xml:space="preserve">265,935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50" w:name="Tc__LyljULo40qDrgkmCJdnyg_20_16"/>
      <w:bookmarkStart w:id="451" w:name="Tc_gfi_t9hCu02BdAK_oRl3DA_20_13"/>
      <w:bookmarkStart w:id="452" w:name="Tc_364B8MAbwUiIkoIrkxrzew_20_10"/>
      <w:bookmarkStart w:id="453" w:name="Tc_e9VnklaPP0Kjo-olmZoitQ_20_7"/>
      <w:bookmarkStart w:id="454" w:name="Tc_BgFE8sB5a0Crd59ZaMx1Uw_20_4"/>
      <w:bookmarkStart w:id="455" w:name="Tc_4G-x2M0Z6Ey1mTROJYSvEQ_20_0"/>
      <w:bookmarkStart w:id="456" w:name="Tc_J6bOdsO9s0KbIk9neQI7TA_19_14"/>
      <w:bookmarkStart w:id="457" w:name="Tc_qc3VZ8qvu02rQM77MUltog_19_8"/>
      <w:bookmarkStart w:id="458" w:name="Tc_oiLtfrcgn0WwKY8IZG7X7A_19_5"/>
      <w:bookmarkStart w:id="459" w:name="Tc_UGFTBTrTK0-Dnx1B4g1KpA_19_2"/>
      <w:bookmarkStart w:id="460" w:name="Tc_ozJpgqQlv0WOx-x8P3Pu6A_19_0"/>
      <w:bookmarkStart w:id="461" w:name="Tc_kuYg8V9-90q6gQSCwRoOvQ_18_11"/>
      <w:bookmarkStart w:id="462" w:name="Tc_N7YrgFUsfE6U4lVvonoKiQ_18_8"/>
      <w:bookmarkStart w:id="463" w:name="Tc_NIOxxyKXMkya0hYTOtRNIw_18_5"/>
      <w:bookmarkStart w:id="464" w:name="Tc_o18_mou2gUe_Qj_yS55aZQ_18_2"/>
      <w:bookmarkStart w:id="465" w:name="Tc__MLlSBKauUWTBK6vmh5RjA_18_0"/>
      <w:bookmarkStart w:id="466" w:name="Tc__4o5HoKh4Uy8ZoXpeK9TTQ_17_14"/>
      <w:bookmarkStart w:id="467" w:name="Tc_PSH9lSYydkGpe0nWWZWj-w_17_11"/>
      <w:bookmarkStart w:id="468" w:name="Tc_Hc7qBiFnOEWVKqZjk_TbKg_17_5"/>
      <w:bookmarkStart w:id="469" w:name="Tc_ZRXLxiUBUkCqq825m2MOTw_17_2"/>
      <w:bookmarkStart w:id="470" w:name="Tc_J_z-N8_UL0CykoBvwsLRpg_17_0"/>
      <w:bookmarkStart w:id="471" w:name="Tc_BR88SleyA0yYwKDanj6xvQ_16_17"/>
      <w:bookmarkStart w:id="472" w:name="Tc_RBL-AnotME20t7vu1KbdXg_16_14"/>
      <w:bookmarkStart w:id="473" w:name="Tc_ruzLynUKeUWTSan0udHdAg_16_11"/>
      <w:bookmarkStart w:id="474" w:name="Tc_j0cek9kyaUqtdXf5qg8JSQ_16_8"/>
      <w:bookmarkStart w:id="475" w:name="Tc_to-Tpvq5Z0SIswfYsBK_jw_16_5"/>
      <w:bookmarkStart w:id="476" w:name="Tc__faUd3SL0ECUk_ZdR-RsIw_16_0"/>
      <w:bookmarkStart w:id="477" w:name="Tc_UOOI9g2uykuQdahgoYwbfQ_15_14"/>
      <w:bookmarkStart w:id="478" w:name="Tc_sR1T2v4IikuvR2lHxkyXyA_15_11"/>
      <w:bookmarkStart w:id="479" w:name="Tc_MCkG5K9S-0a98F4tXzmXQg_15_5"/>
      <w:bookmarkStart w:id="480" w:name="Tc_FJPwAwGkIkywoOXDXE8v0g_15_2"/>
      <w:bookmarkStart w:id="481" w:name="Tc_RJwk7sDS5EKXIx_q27uotA_15_0"/>
      <w:bookmarkStart w:id="482" w:name="Tc_2Pfqd3e2PkSzkwkVf_v74Q_14_14"/>
      <w:bookmarkStart w:id="483" w:name="Tc_bxPAZcpL-U-jTwXwrNad9w_14_11"/>
      <w:bookmarkStart w:id="484" w:name="Tc_Bac_DQKTqkyCUUb3UAufYA_14_0"/>
      <w:bookmarkStart w:id="485" w:name="Tc_Qudua42IDk2isHCSTVbTRg_13_16"/>
      <w:bookmarkStart w:id="486" w:name="Tc_xd5Yg8EmT0GrtCxRP87ltw_13_13"/>
      <w:bookmarkStart w:id="487" w:name="Tc_3sInG5zA50u6VRIKU1AUuw_13_10"/>
      <w:bookmarkStart w:id="488" w:name="Tc_EHMqZFUO40uv2wQG39FBsA_13_7"/>
      <w:bookmarkStart w:id="489" w:name="Tc_FqGDrYgYPEWDx6PUeZ7wQQ_13_4"/>
      <w:bookmarkStart w:id="490" w:name="Tc_XA_ig-zcsUuAA5mnK1SqRQ_13_0"/>
      <w:bookmarkStart w:id="491" w:name="Tc__EFhuzzGm0muUSa_ILDW7A_12_14"/>
      <w:bookmarkStart w:id="492" w:name="Tc_tPbQCRSXtUaDE1XlG1F40g_12_8"/>
      <w:bookmarkStart w:id="493" w:name="Tc_wiDMOgLrbEeDja0YvZgPIg_12_5"/>
      <w:bookmarkStart w:id="494" w:name="Tc_XJWSuNbwDUaCKNEtaoKtNw_12_2"/>
      <w:bookmarkStart w:id="495" w:name="Tc_YaKNKvg2W0iFObF-zZfyhQ_12_0"/>
      <w:bookmarkStart w:id="496" w:name="Tc_BhDwxrviV0ibRRqMm1WtKg_11_11"/>
      <w:bookmarkStart w:id="497" w:name="Tc_vLvA3thz50SBLkziUkxA6Q_11_8"/>
      <w:bookmarkStart w:id="498" w:name="Tc_j2NH-epBykOYoTLTbg5wsQ_11_5"/>
      <w:bookmarkStart w:id="499" w:name="Tc_QOXpYLqBjEmuc8Rs7f6Vkg_11_2"/>
      <w:bookmarkStart w:id="500" w:name="Tc_8-vjrVmRMkOAT2lcS-Po7g_11_0"/>
      <w:bookmarkStart w:id="501" w:name="Tc_ebFVK7bMakyDl-QkCbWJZw_10_14"/>
      <w:bookmarkStart w:id="502" w:name="Tc_2BfrrLMdPUStiL__C6Nf1w_10_11"/>
      <w:bookmarkStart w:id="503" w:name="Tc_00yUNQpMSkaeYkZLIklnlQ_10_5"/>
      <w:bookmarkStart w:id="504" w:name="Tc_tdV6ki2Gk0WSh3fjEVtPWw_10_2"/>
      <w:bookmarkStart w:id="505" w:name="Tc_Efjjf-4LN0iY6ux--R4vGQ_10_0"/>
      <w:bookmarkStart w:id="506" w:name="Tc_oyBAehalLEG5hvN8PJwfMA_9_17"/>
      <w:bookmarkStart w:id="507" w:name="Tc_WKSIdnFjhkSA-CaDqITfEg_9_14"/>
      <w:bookmarkStart w:id="508" w:name="Tc_EtL2EAAStUqwGfwY9jskcQ_9_11"/>
      <w:bookmarkStart w:id="509" w:name="Tc_vhGlQlit80-vgEso-FQu6g_9_0"/>
      <w:bookmarkStart w:id="510" w:name="Tc_B1iyw1L5fkumgpBKRnmgBQ_8_14"/>
      <w:bookmarkStart w:id="511" w:name="Tc_osz6FdfzQkekulzkbgyM6Q_8_11"/>
      <w:bookmarkStart w:id="512" w:name="Tc_WKk3WeCJzkWGnhJiPEjPEw_8_0"/>
      <w:bookmarkStart w:id="513" w:name="Tc_tb-Z3jKm2Eu-eJDMEMKyyA_7_14"/>
      <w:bookmarkStart w:id="514" w:name="Tc_zIjVl7G4J0ulJmR43E7Lxg_7_11"/>
      <w:bookmarkStart w:id="515" w:name="Tc_cw8h2Pf3AE-7_LTDXFCc-Q_7_5"/>
      <w:bookmarkStart w:id="516" w:name="Tc__mHzsewUEkmdM3vQt7jKOg_7_0"/>
      <w:bookmarkStart w:id="517" w:name="Tc_c5ROTQ3O2Eiyt8U0NWa6lw_6_14"/>
      <w:bookmarkStart w:id="518" w:name="Tc_uNo1WHxdr0qz7ToHSrvCqg_6_11"/>
      <w:bookmarkStart w:id="519" w:name="Tc_DrH-eFtddE6vKIVkS3oAjg_6_0"/>
      <w:bookmarkStart w:id="520" w:name="Tc_C1QPRfqMdE-PlB9Cl0XfNw_5_16"/>
      <w:bookmarkStart w:id="521" w:name="Tc_Lpoizuf5H0STFR4nqUpVEQ_5_13"/>
      <w:bookmarkStart w:id="522" w:name="Tc_hFoztrrRXE-4AS-V--WoWw_5_10"/>
      <w:bookmarkStart w:id="523" w:name="Tc_RWryBPz_60aCB1esV-593w_5_7"/>
      <w:bookmarkStart w:id="524" w:name="Tc_rsZFvXoZTEWgh6pCnbLriw_5_4"/>
      <w:bookmarkStart w:id="525" w:name="Tc_qYxvoVCUYUatuX8kgKnJ5g_5_0"/>
      <w:bookmarkStart w:id="526" w:name="Tc__v8b_501fUyohElC8gRhHw_4_16"/>
      <w:bookmarkStart w:id="527" w:name="Tc_XZ3BllZaaU-v0PxMUh_R4w_4_13"/>
      <w:bookmarkStart w:id="528" w:name="Tc_faM0CthGaEq0fo5p9h4PKg_4_10"/>
      <w:bookmarkStart w:id="529" w:name="Tc_Y8aq81qxG06fMNJDv74g-g_4_7"/>
      <w:bookmarkStart w:id="530" w:name="Tc_1xWXi7IDPU-bVVqnWNV1Bg_4_4"/>
      <w:bookmarkStart w:id="531" w:name="Tc_dJ9ApuJSwEejdwOzTaPr6A_4_2"/>
      <w:bookmarkStart w:id="532" w:name="Tc_MdXZs127cU6IJhRCnde28w_3_13"/>
      <w:bookmarkStart w:id="533" w:name="Tc_MzSkRgZsJ0eoMcoJC14Qlg_3_10"/>
      <w:bookmarkStart w:id="534" w:name="Tc_LhWzHSIR80SGo8xIHjtfwQ_3_7"/>
      <w:bookmarkStart w:id="535" w:name="Tc_8mRWTnqHUUK3z48xnvb4VQ_3_2"/>
      <w:bookmarkStart w:id="536" w:name="Tc_-bSYkPYUk0eH4elQ5hSEqQ_2_10"/>
      <w:bookmarkStart w:id="537" w:name="Tc_w4OCTWlHMEab87PrajrjDw_2_7"/>
      <w:bookmarkStart w:id="538" w:name="Tc_Ha3uBCHTm0GsQBwEl1ur5g_1_10"/>
      <w:bookmarkStart w:id="539" w:name="_3030306c_de9d_4eb6_bb95_3940f3be0f05"/>
      <w:bookmarkStart w:id="540" w:name="Tc__LyljULo40qDrgkmCJdnyg_20_16"/>
      <w:bookmarkStart w:id="541" w:name="Tc_gfi_t9hCu02BdAK_oRl3DA_20_13"/>
      <w:bookmarkStart w:id="542" w:name="Tc_364B8MAbwUiIkoIrkxrzew_20_10"/>
      <w:bookmarkStart w:id="543" w:name="Tc_e9VnklaPP0Kjo-olmZoitQ_20_7"/>
      <w:bookmarkStart w:id="544" w:name="Tc_BgFE8sB5a0Crd59ZaMx1Uw_20_4"/>
      <w:bookmarkStart w:id="545" w:name="Tc_4G-x2M0Z6Ey1mTROJYSvEQ_20_0"/>
      <w:bookmarkStart w:id="546" w:name="Tc_J6bOdsO9s0KbIk9neQI7TA_19_14"/>
      <w:bookmarkStart w:id="547" w:name="Tc_qc3VZ8qvu02rQM77MUltog_19_8"/>
      <w:bookmarkStart w:id="548" w:name="Tc_oiLtfrcgn0WwKY8IZG7X7A_19_5"/>
      <w:bookmarkStart w:id="549" w:name="Tc_UGFTBTrTK0-Dnx1B4g1KpA_19_2"/>
      <w:bookmarkStart w:id="550" w:name="Tc_ozJpgqQlv0WOx-x8P3Pu6A_19_0"/>
      <w:bookmarkStart w:id="551" w:name="Tc_kuYg8V9-90q6gQSCwRoOvQ_18_11"/>
      <w:bookmarkStart w:id="552" w:name="Tc_N7YrgFUsfE6U4lVvonoKiQ_18_8"/>
      <w:bookmarkStart w:id="553" w:name="Tc_NIOxxyKXMkya0hYTOtRNIw_18_5"/>
      <w:bookmarkStart w:id="554" w:name="Tc_o18_mou2gUe_Qj_yS55aZQ_18_2"/>
      <w:bookmarkStart w:id="555" w:name="Tc__MLlSBKauUWTBK6vmh5RjA_18_0"/>
      <w:bookmarkStart w:id="556" w:name="Tc__4o5HoKh4Uy8ZoXpeK9TTQ_17_14"/>
      <w:bookmarkStart w:id="557" w:name="Tc_PSH9lSYydkGpe0nWWZWj-w_17_11"/>
      <w:bookmarkStart w:id="558" w:name="Tc_Hc7qBiFnOEWVKqZjk_TbKg_17_5"/>
      <w:bookmarkStart w:id="559" w:name="Tc_ZRXLxiUBUkCqq825m2MOTw_17_2"/>
      <w:bookmarkStart w:id="560" w:name="Tc_J_z-N8_UL0CykoBvwsLRpg_17_0"/>
      <w:bookmarkStart w:id="561" w:name="Tc_BR88SleyA0yYwKDanj6xvQ_16_17"/>
      <w:bookmarkStart w:id="562" w:name="Tc_RBL-AnotME20t7vu1KbdXg_16_14"/>
      <w:bookmarkStart w:id="563" w:name="Tc_ruzLynUKeUWTSan0udHdAg_16_11"/>
      <w:bookmarkStart w:id="564" w:name="Tc_j0cek9kyaUqtdXf5qg8JSQ_16_8"/>
      <w:bookmarkStart w:id="565" w:name="Tc_to-Tpvq5Z0SIswfYsBK_jw_16_5"/>
      <w:bookmarkStart w:id="566" w:name="Tc__faUd3SL0ECUk_ZdR-RsIw_16_0"/>
      <w:bookmarkStart w:id="567" w:name="Tc_UOOI9g2uykuQdahgoYwbfQ_15_14"/>
      <w:bookmarkStart w:id="568" w:name="Tc_sR1T2v4IikuvR2lHxkyXyA_15_11"/>
      <w:bookmarkStart w:id="569" w:name="Tc_MCkG5K9S-0a98F4tXzmXQg_15_5"/>
      <w:bookmarkStart w:id="570" w:name="Tc_FJPwAwGkIkywoOXDXE8v0g_15_2"/>
      <w:bookmarkStart w:id="571" w:name="Tc_RJwk7sDS5EKXIx_q27uotA_15_0"/>
      <w:bookmarkStart w:id="572" w:name="Tc_2Pfqd3e2PkSzkwkVf_v74Q_14_14"/>
      <w:bookmarkStart w:id="573" w:name="Tc_bxPAZcpL-U-jTwXwrNad9w_14_11"/>
      <w:bookmarkStart w:id="574" w:name="Tc_Bac_DQKTqkyCUUb3UAufYA_14_0"/>
      <w:bookmarkStart w:id="575" w:name="Tc_Qudua42IDk2isHCSTVbTRg_13_16"/>
      <w:bookmarkStart w:id="576" w:name="Tc_xd5Yg8EmT0GrtCxRP87ltw_13_13"/>
      <w:bookmarkStart w:id="577" w:name="Tc_3sInG5zA50u6VRIKU1AUuw_13_10"/>
      <w:bookmarkStart w:id="578" w:name="Tc_EHMqZFUO40uv2wQG39FBsA_13_7"/>
      <w:bookmarkStart w:id="579" w:name="Tc_FqGDrYgYPEWDx6PUeZ7wQQ_13_4"/>
      <w:bookmarkStart w:id="580" w:name="Tc_XA_ig-zcsUuAA5mnK1SqRQ_13_0"/>
      <w:bookmarkStart w:id="581" w:name="Tc__EFhuzzGm0muUSa_ILDW7A_12_14"/>
      <w:bookmarkStart w:id="582" w:name="Tc_tPbQCRSXtUaDE1XlG1F40g_12_8"/>
      <w:bookmarkStart w:id="583" w:name="Tc_wiDMOgLrbEeDja0YvZgPIg_12_5"/>
      <w:bookmarkStart w:id="584" w:name="Tc_XJWSuNbwDUaCKNEtaoKtNw_12_2"/>
      <w:bookmarkStart w:id="585" w:name="Tc_YaKNKvg2W0iFObF-zZfyhQ_12_0"/>
      <w:bookmarkStart w:id="586" w:name="Tc_BhDwxrviV0ibRRqMm1WtKg_11_11"/>
      <w:bookmarkStart w:id="587" w:name="Tc_vLvA3thz50SBLkziUkxA6Q_11_8"/>
      <w:bookmarkStart w:id="588" w:name="Tc_j2NH-epBykOYoTLTbg5wsQ_11_5"/>
      <w:bookmarkStart w:id="589" w:name="Tc_QOXpYLqBjEmuc8Rs7f6Vkg_11_2"/>
      <w:bookmarkStart w:id="590" w:name="Tc_8-vjrVmRMkOAT2lcS-Po7g_11_0"/>
      <w:bookmarkStart w:id="591" w:name="Tc_ebFVK7bMakyDl-QkCbWJZw_10_14"/>
      <w:bookmarkStart w:id="592" w:name="Tc_2BfrrLMdPUStiL__C6Nf1w_10_11"/>
      <w:bookmarkStart w:id="593" w:name="Tc_00yUNQpMSkaeYkZLIklnlQ_10_5"/>
      <w:bookmarkStart w:id="594" w:name="Tc_tdV6ki2Gk0WSh3fjEVtPWw_10_2"/>
      <w:bookmarkStart w:id="595" w:name="Tc_Efjjf-4LN0iY6ux--R4vGQ_10_0"/>
      <w:bookmarkStart w:id="596" w:name="Tc_oyBAehalLEG5hvN8PJwfMA_9_17"/>
      <w:bookmarkStart w:id="597" w:name="Tc_WKSIdnFjhkSA-CaDqITfEg_9_14"/>
      <w:bookmarkStart w:id="598" w:name="Tc_EtL2EAAStUqwGfwY9jskcQ_9_11"/>
      <w:bookmarkStart w:id="599" w:name="Tc_vhGlQlit80-vgEso-FQu6g_9_0"/>
      <w:bookmarkStart w:id="600" w:name="Tc_B1iyw1L5fkumgpBKRnmgBQ_8_14"/>
      <w:bookmarkStart w:id="601" w:name="Tc_osz6FdfzQkekulzkbgyM6Q_8_11"/>
      <w:bookmarkStart w:id="602" w:name="Tc_WKk3WeCJzkWGnhJiPEjPEw_8_0"/>
      <w:bookmarkStart w:id="603" w:name="Tc_tb-Z3jKm2Eu-eJDMEMKyyA_7_14"/>
      <w:bookmarkStart w:id="604" w:name="Tc_zIjVl7G4J0ulJmR43E7Lxg_7_11"/>
      <w:bookmarkStart w:id="605" w:name="Tc_cw8h2Pf3AE-7_LTDXFCc-Q_7_5"/>
      <w:bookmarkStart w:id="606" w:name="Tc__mHzsewUEkmdM3vQt7jKOg_7_0"/>
      <w:bookmarkStart w:id="607" w:name="Tc_c5ROTQ3O2Eiyt8U0NWa6lw_6_14"/>
      <w:bookmarkStart w:id="608" w:name="Tc_uNo1WHxdr0qz7ToHSrvCqg_6_11"/>
      <w:bookmarkStart w:id="609" w:name="Tc_DrH-eFtddE6vKIVkS3oAjg_6_0"/>
      <w:bookmarkStart w:id="610" w:name="Tc_C1QPRfqMdE-PlB9Cl0XfNw_5_16"/>
      <w:bookmarkStart w:id="611" w:name="Tc_Lpoizuf5H0STFR4nqUpVEQ_5_13"/>
      <w:bookmarkStart w:id="612" w:name="Tc_hFoztrrRXE-4AS-V--WoWw_5_10"/>
      <w:bookmarkStart w:id="613" w:name="Tc_RWryBPz_60aCB1esV-593w_5_7"/>
      <w:bookmarkStart w:id="614" w:name="Tc_rsZFvXoZTEWgh6pCnbLriw_5_4"/>
      <w:bookmarkStart w:id="615" w:name="Tc_qYxvoVCUYUatuX8kgKnJ5g_5_0"/>
      <w:bookmarkStart w:id="616" w:name="Tc__v8b_501fUyohElC8gRhHw_4_16"/>
      <w:bookmarkStart w:id="617" w:name="Tc_XZ3BllZaaU-v0PxMUh_R4w_4_13"/>
      <w:bookmarkStart w:id="618" w:name="Tc_faM0CthGaEq0fo5p9h4PKg_4_10"/>
      <w:bookmarkStart w:id="619" w:name="Tc_Y8aq81qxG06fMNJDv74g-g_4_7"/>
      <w:bookmarkStart w:id="620" w:name="Tc_1xWXi7IDPU-bVVqnWNV1Bg_4_4"/>
      <w:bookmarkStart w:id="621" w:name="Tc_dJ9ApuJSwEejdwOzTaPr6A_4_2"/>
      <w:bookmarkStart w:id="622" w:name="Tc_MdXZs127cU6IJhRCnde28w_3_13"/>
      <w:bookmarkStart w:id="623" w:name="Tc_MzSkRgZsJ0eoMcoJC14Qlg_3_10"/>
      <w:bookmarkStart w:id="624" w:name="Tc_LhWzHSIR80SGo8xIHjtfwQ_3_7"/>
      <w:bookmarkStart w:id="625" w:name="Tc_8mRWTnqHUUK3z48xnvb4VQ_3_2"/>
      <w:bookmarkStart w:id="626" w:name="Tc_-bSYkPYUk0eH4elQ5hSEqQ_2_10"/>
      <w:bookmarkStart w:id="627" w:name="Tc_w4OCTWlHMEab87PrajrjDw_2_7"/>
      <w:bookmarkStart w:id="628" w:name="Tc_Ha3uBCHTm0GsQBwEl1ur5g_1_10"/>
      <w:bookmarkStart w:id="629" w:name="_3030306c_de9d_4eb6_bb95_3940f3be0f05"/>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tbl>
      <w:tblPr>
        <w:tblW w:w="10205" w:type="dxa"/>
        <w:jc w:val="left"/>
        <w:tblInd w:w="0" w:type="dxa"/>
        <w:tblLayout w:type="fixed"/>
        <w:tblCellMar>
          <w:top w:w="0" w:type="dxa"/>
          <w:left w:w="0" w:type="dxa"/>
          <w:bottom w:w="0" w:type="dxa"/>
          <w:right w:w="0" w:type="dxa"/>
        </w:tblCellMar>
      </w:tblPr>
      <w:tblGrid>
        <w:gridCol w:w="2632"/>
        <w:gridCol w:w="326"/>
        <w:gridCol w:w="687"/>
        <w:gridCol w:w="326"/>
        <w:gridCol w:w="230"/>
        <w:gridCol w:w="462"/>
        <w:gridCol w:w="326"/>
        <w:gridCol w:w="211"/>
        <w:gridCol w:w="792"/>
        <w:gridCol w:w="326"/>
        <w:gridCol w:w="370"/>
        <w:gridCol w:w="846"/>
        <w:gridCol w:w="326"/>
        <w:gridCol w:w="211"/>
        <w:gridCol w:w="687"/>
        <w:gridCol w:w="326"/>
        <w:gridCol w:w="222"/>
        <w:gridCol w:w="899"/>
      </w:tblGrid>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6245" cy="175260"/>
                      <wp:effectExtent l="0" t="0" r="0" b="0"/>
                      <wp:wrapNone/>
                      <wp:docPr id="44" name="Frame44"/>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0" cy="175260"/>
                      <wp:effectExtent l="0" t="0" r="0" b="0"/>
                      <wp:wrapNone/>
                      <wp:docPr id="46" name="Frame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3370" cy="175260"/>
                      <wp:effectExtent l="0" t="0" r="0" b="0"/>
                      <wp:wrapNone/>
                      <wp:docPr id="47" name="Frame4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2920" cy="175260"/>
                      <wp:effectExtent l="0" t="0" r="0" b="0"/>
                      <wp:wrapNone/>
                      <wp:docPr id="50" name="Frame50"/>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34950" cy="175260"/>
                      <wp:effectExtent l="0" t="0" r="0" b="0"/>
                      <wp:wrapNone/>
                      <wp:docPr id="52" name="Frame52"/>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37210" cy="175260"/>
                      <wp:effectExtent l="0" t="0" r="0" b="0"/>
                      <wp:wrapNone/>
                      <wp:docPr id="53" name="Frame5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6245" cy="175260"/>
                      <wp:effectExtent l="0" t="0" r="0" b="0"/>
                      <wp:wrapNone/>
                      <wp:docPr id="56" name="Frame56"/>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0970" cy="175260"/>
                      <wp:effectExtent l="0" t="0" r="0" b="0"/>
                      <wp:wrapNone/>
                      <wp:docPr id="58" name="Frame5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70865" cy="175260"/>
                      <wp:effectExtent l="0" t="0" r="0" b="0"/>
                      <wp:wrapNone/>
                      <wp:docPr id="59" name="Frame5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89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8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29, 2023</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13,682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185,795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14,577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199,845 </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29, 2024</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13,817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188,088 </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17,519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205,515 </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28, 2024</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13,916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190,882 </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22,113 </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213,005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630" w:name="_985dc7fd_ee2e_4329_bd69_7d4b085fcd9d"/>
      <w:bookmarkEnd w:id="630"/>
      <w:r>
        <w:rPr>
          <w:rFonts w:ascii="Times New Roman;Times;serif" w:hAnsi="Times New Roman;Times;serif"/>
          <w:b/>
          <w:sz w:val="20"/>
        </w:rPr>
        <w:t>WILLDAN GROUP, INC. AND SUBSIDIARIES</w:t>
      </w:r>
    </w:p>
    <w:p>
      <w:pPr>
        <w:pStyle w:val="TextBody"/>
        <w:bidi w:val="0"/>
        <w:spacing w:lineRule="atLeast" w:line="200" w:before="0" w:after="0"/>
        <w:ind w:left="0" w:right="0" w:hanging="0"/>
        <w:jc w:val="center"/>
        <w:rPr>
          <w:rFonts w:ascii="Times New Roman;Times;serif" w:hAnsi="Times New Roman;Times;serif"/>
          <w:b/>
          <w:sz w:val="20"/>
        </w:rPr>
      </w:pPr>
      <w:bookmarkStart w:id="631" w:name="CONSOLIDATEDSTATEMENTSOFCASHFLOWS_554577"/>
      <w:bookmarkEnd w:id="631"/>
      <w:r>
        <w:rPr>
          <w:rFonts w:ascii="Times New Roman;Times;serif" w:hAnsi="Times New Roman;Times;serif"/>
          <w:b/>
          <w:sz w:val="20"/>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32" w:name="Tc_xieWPyLWT0eisB0ObiuDcQ_51_0"/>
      <w:bookmarkStart w:id="633" w:name="Tc_ntGYjhIjv0GP9Lg98obMCg_50_6"/>
      <w:bookmarkStart w:id="634" w:name="Tc_EhJxe56aYUW41abehfQLBQ_50_0"/>
      <w:bookmarkStart w:id="635" w:name="Tc_Jd-SnVeGlUmV-2ElMXYgVQ_49_6"/>
      <w:bookmarkStart w:id="636" w:name="Tc_4-binx-PdU-NRT5ETuzlhA_49_5"/>
      <w:bookmarkStart w:id="637" w:name="Tc_i0e-iU09_EGcFXeS6jvYTw_49_2"/>
      <w:bookmarkStart w:id="638" w:name="Tc_8VgJfUarHUmAFFnLAtU1sQ_49_0"/>
      <w:bookmarkStart w:id="639" w:name="Tc_sxu5GKK9mUyV-oj0r09GzA_48_0"/>
      <w:bookmarkStart w:id="640" w:name="Tc_0sqcfanZNk6MHMq4-QiQdA_47_0"/>
      <w:bookmarkStart w:id="641" w:name="Tc_HUkAa-IH1UK2-vajDp2FNg_46_5"/>
      <w:bookmarkStart w:id="642" w:name="Tc_AUpWZFn9mU2XYqkIltoHJg_46_2"/>
      <w:bookmarkStart w:id="643" w:name="Tc_gbvu2Uwqa06mHZtNKcKJ2Q_46_0"/>
      <w:bookmarkStart w:id="644" w:name="Tc_fiIqDTkOaU2nBNdOPizOqA_45_0"/>
      <w:bookmarkStart w:id="645" w:name="Tc_Q5dvpOBYqU6sCQDyPAXXKA_44_0"/>
      <w:bookmarkStart w:id="646" w:name="Tc_JYZQUDCgr0OuGhtaSxcERw_43_5"/>
      <w:bookmarkStart w:id="647" w:name="Tc_h7TQSe3NeUOJd_OSVjPFVA_43_2"/>
      <w:bookmarkStart w:id="648" w:name="Tc_AYh7I1XaV0q52uTd7-EmRw_43_0"/>
      <w:bookmarkStart w:id="649" w:name="Tc_FyTqCSH150WL3ypg1abpKg_42_0"/>
      <w:bookmarkStart w:id="650" w:name="Tc_8KlHZdNk9EOPd8JNftsDyA_41_0"/>
      <w:bookmarkStart w:id="651" w:name="Tc_ye2TDFNxX0quBJEvmIp4Sw_40_0"/>
      <w:bookmarkStart w:id="652" w:name="Tc_fK4lgQD5xk2gg5qbNdbxCg_39_0"/>
      <w:bookmarkStart w:id="653" w:name="Tc_ImoLqhsoRk6OBSwM8HqJxQ_38_0"/>
      <w:bookmarkStart w:id="654" w:name="Tc_bp8MgTbl1kKr-ClgwB1ang_37_0"/>
      <w:bookmarkStart w:id="655" w:name="Tc_0PWUz1MFWEiEZjJr1ay_qg_36_0"/>
      <w:bookmarkStart w:id="656" w:name="Tc_ozUe-T4BaESu84DKmX8WjA_35_0"/>
      <w:bookmarkStart w:id="657" w:name="Tc_HEknK5c1R0eVBTT0Sq4tDQ_34_6"/>
      <w:bookmarkStart w:id="658" w:name="Tc_xWD3AonDAUCD0DZNpVlowQ_34_0"/>
      <w:bookmarkStart w:id="659" w:name="Tc_183eVJhC2UeASzKesBFqvA_33_6"/>
      <w:bookmarkStart w:id="660" w:name="Tc_633JMHWivkyiFKfSD-Fi-g_33_0"/>
      <w:bookmarkStart w:id="661" w:name="Tc_CbMjo8fjZEOgYgVcwnuDaA_32_6"/>
      <w:bookmarkStart w:id="662" w:name="Tc_5-p0J96SNkaBLgMy1z6tbg_32_0"/>
      <w:bookmarkStart w:id="663" w:name="Tc_vZs1FHzZIUm445mq_ZlQOw_31_0"/>
      <w:bookmarkStart w:id="664" w:name="Tc_qfSPb7RPz0mi1hzpPwR9xg_30_0"/>
      <w:bookmarkStart w:id="665" w:name="Tc_Vieh0EThEUODJBcegBNHLg_29_0"/>
      <w:bookmarkStart w:id="666" w:name="Tc_A6R5xvYIGEuTeC2FV2X4Rg_28_6"/>
      <w:bookmarkStart w:id="667" w:name="Tc_1-CVI75OTU697lyiJK_AsQ_28_0"/>
      <w:bookmarkStart w:id="668" w:name="Tc_hPlT7d0vv02bvV5zolbusg_27_0"/>
      <w:bookmarkStart w:id="669" w:name="Tc_a_exYnPRYUO79NkHR_YoMQ_26_0"/>
      <w:bookmarkStart w:id="670" w:name="Tc_AaomPX4CCE-pObtZqzwweA_25_0"/>
      <w:bookmarkStart w:id="671" w:name="Tc_5e6UMV7iDUGmKJeLc5sVVw_24_0"/>
      <w:bookmarkStart w:id="672" w:name="Tc_Tf4yw3i8UUS7vi65Rwvz6g_23_0"/>
      <w:bookmarkStart w:id="673" w:name="Tc__hKBVYWZ_U-IJg8jEL9ppQ_22_0"/>
      <w:bookmarkStart w:id="674" w:name="Tc_VDATQC40kUSvu-X0-GYruA_21_0"/>
      <w:bookmarkStart w:id="675" w:name="Tc_YTtirCF8c0-94visUEOcjg_20_0"/>
      <w:bookmarkStart w:id="676" w:name="Tc_WhUQyFzsYU-KtaDdemBp9w_19_0"/>
      <w:bookmarkStart w:id="677" w:name="Tc__unJEKDmaEu2HfxKZUAd8A_18_0"/>
      <w:bookmarkStart w:id="678" w:name="Tc_BZY_FQUwV02BPRd3Vo3lDw_17_0"/>
      <w:bookmarkStart w:id="679" w:name="Tc_0Z_48nTtwUyyDHSIQPSg-w_16_0"/>
      <w:bookmarkStart w:id="680" w:name="Tc_13wHDse3yEWchxkS__UVpA_15_0"/>
      <w:bookmarkStart w:id="681" w:name="Tc_yrxAg1tEi0W_j-1Y0o7wDw_14_0"/>
      <w:bookmarkStart w:id="682" w:name="Tc_scw_lz2HtkWmt7Wxh73cdA_13_6"/>
      <w:bookmarkStart w:id="683" w:name="Tc_2QUkSxBRUUGBGEb8uyxT4Q_13_0"/>
      <w:bookmarkStart w:id="684" w:name="Tc_AxhgZYurGEqu7kUtDmaXZQ_12_0"/>
      <w:bookmarkStart w:id="685" w:name="Tc_wSs8KZxmoEeSgC71Uq-XUw_11_0"/>
      <w:bookmarkStart w:id="686" w:name="Tc_SQvvpJIWPki3pnojw-o92w_10_0"/>
      <w:bookmarkStart w:id="687" w:name="Tc_kz_xXGAt1EOPItKjxcjHLA_9_0"/>
      <w:bookmarkStart w:id="688" w:name="Tc_iJlUqeEPi0Ks-OQkUJbrBg_8_0"/>
      <w:bookmarkStart w:id="689" w:name="Tc_pNY8eQ8FUEmCXPb4xo7HTg_7_0"/>
      <w:bookmarkStart w:id="690" w:name="Tc_vYHnmnFTgkqDduqYaCXOSQ_6_0"/>
      <w:bookmarkStart w:id="691" w:name="Tc__avZjDMil0igdJHFXwmH3A_5_5"/>
      <w:bookmarkStart w:id="692" w:name="Tc_VAAc1qv9q0CQhn4Pw8leqQ_5_2"/>
      <w:bookmarkStart w:id="693" w:name="Tc_myROeXcEvkWsVGrcyOHAEA_5_0"/>
      <w:bookmarkStart w:id="694" w:name="Tc_vsluxPxWdkKhHdFBTAU8_g_4_0"/>
      <w:bookmarkStart w:id="695" w:name="Tc_qQWcHjY3m0Ott5NSlw0qJA_3_5"/>
      <w:bookmarkStart w:id="696" w:name="Tc_VUOL_0TuWkio4exua_pV-g_3_2"/>
      <w:bookmarkStart w:id="697" w:name="Tc_W2NMx_7P2UWLw8ELL4O_Dw_2_5"/>
      <w:bookmarkStart w:id="698" w:name="Tc_DgcQjQ9T-0u8yy-a24_UPA_2_2"/>
      <w:bookmarkStart w:id="699" w:name="Tc_g7JBKJkWuEmmgso3fHfvdA_1_2"/>
      <w:bookmarkStart w:id="700" w:name="_31a030d4_5118_4071_9295_08e350874241"/>
      <w:bookmarkStart w:id="701" w:name="Tc_xieWPyLWT0eisB0ObiuDcQ_51_0"/>
      <w:bookmarkStart w:id="702" w:name="Tc_ntGYjhIjv0GP9Lg98obMCg_50_6"/>
      <w:bookmarkStart w:id="703" w:name="Tc_EhJxe56aYUW41abehfQLBQ_50_0"/>
      <w:bookmarkStart w:id="704" w:name="Tc_Jd-SnVeGlUmV-2ElMXYgVQ_49_6"/>
      <w:bookmarkStart w:id="705" w:name="Tc_4-binx-PdU-NRT5ETuzlhA_49_5"/>
      <w:bookmarkStart w:id="706" w:name="Tc_i0e-iU09_EGcFXeS6jvYTw_49_2"/>
      <w:bookmarkStart w:id="707" w:name="Tc_8VgJfUarHUmAFFnLAtU1sQ_49_0"/>
      <w:bookmarkStart w:id="708" w:name="Tc_sxu5GKK9mUyV-oj0r09GzA_48_0"/>
      <w:bookmarkStart w:id="709" w:name="Tc_0sqcfanZNk6MHMq4-QiQdA_47_0"/>
      <w:bookmarkStart w:id="710" w:name="Tc_HUkAa-IH1UK2-vajDp2FNg_46_5"/>
      <w:bookmarkStart w:id="711" w:name="Tc_AUpWZFn9mU2XYqkIltoHJg_46_2"/>
      <w:bookmarkStart w:id="712" w:name="Tc_gbvu2Uwqa06mHZtNKcKJ2Q_46_0"/>
      <w:bookmarkStart w:id="713" w:name="Tc_fiIqDTkOaU2nBNdOPizOqA_45_0"/>
      <w:bookmarkStart w:id="714" w:name="Tc_Q5dvpOBYqU6sCQDyPAXXKA_44_0"/>
      <w:bookmarkStart w:id="715" w:name="Tc_JYZQUDCgr0OuGhtaSxcERw_43_5"/>
      <w:bookmarkStart w:id="716" w:name="Tc_h7TQSe3NeUOJd_OSVjPFVA_43_2"/>
      <w:bookmarkStart w:id="717" w:name="Tc_AYh7I1XaV0q52uTd7-EmRw_43_0"/>
      <w:bookmarkStart w:id="718" w:name="Tc_FyTqCSH150WL3ypg1abpKg_42_0"/>
      <w:bookmarkStart w:id="719" w:name="Tc_8KlHZdNk9EOPd8JNftsDyA_41_0"/>
      <w:bookmarkStart w:id="720" w:name="Tc_ye2TDFNxX0quBJEvmIp4Sw_40_0"/>
      <w:bookmarkStart w:id="721" w:name="Tc_fK4lgQD5xk2gg5qbNdbxCg_39_0"/>
      <w:bookmarkStart w:id="722" w:name="Tc_ImoLqhsoRk6OBSwM8HqJxQ_38_0"/>
      <w:bookmarkStart w:id="723" w:name="Tc_bp8MgTbl1kKr-ClgwB1ang_37_0"/>
      <w:bookmarkStart w:id="724" w:name="Tc_0PWUz1MFWEiEZjJr1ay_qg_36_0"/>
      <w:bookmarkStart w:id="725" w:name="Tc_ozUe-T4BaESu84DKmX8WjA_35_0"/>
      <w:bookmarkStart w:id="726" w:name="Tc_HEknK5c1R0eVBTT0Sq4tDQ_34_6"/>
      <w:bookmarkStart w:id="727" w:name="Tc_xWD3AonDAUCD0DZNpVlowQ_34_0"/>
      <w:bookmarkStart w:id="728" w:name="Tc_183eVJhC2UeASzKesBFqvA_33_6"/>
      <w:bookmarkStart w:id="729" w:name="Tc_633JMHWivkyiFKfSD-Fi-g_33_0"/>
      <w:bookmarkStart w:id="730" w:name="Tc_CbMjo8fjZEOgYgVcwnuDaA_32_6"/>
      <w:bookmarkStart w:id="731" w:name="Tc_5-p0J96SNkaBLgMy1z6tbg_32_0"/>
      <w:bookmarkStart w:id="732" w:name="Tc_vZs1FHzZIUm445mq_ZlQOw_31_0"/>
      <w:bookmarkStart w:id="733" w:name="Tc_qfSPb7RPz0mi1hzpPwR9xg_30_0"/>
      <w:bookmarkStart w:id="734" w:name="Tc_Vieh0EThEUODJBcegBNHLg_29_0"/>
      <w:bookmarkStart w:id="735" w:name="Tc_A6R5xvYIGEuTeC2FV2X4Rg_28_6"/>
      <w:bookmarkStart w:id="736" w:name="Tc_1-CVI75OTU697lyiJK_AsQ_28_0"/>
      <w:bookmarkStart w:id="737" w:name="Tc_hPlT7d0vv02bvV5zolbusg_27_0"/>
      <w:bookmarkStart w:id="738" w:name="Tc_a_exYnPRYUO79NkHR_YoMQ_26_0"/>
      <w:bookmarkStart w:id="739" w:name="Tc_AaomPX4CCE-pObtZqzwweA_25_0"/>
      <w:bookmarkStart w:id="740" w:name="Tc_5e6UMV7iDUGmKJeLc5sVVw_24_0"/>
      <w:bookmarkStart w:id="741" w:name="Tc_Tf4yw3i8UUS7vi65Rwvz6g_23_0"/>
      <w:bookmarkStart w:id="742" w:name="Tc__hKBVYWZ_U-IJg8jEL9ppQ_22_0"/>
      <w:bookmarkStart w:id="743" w:name="Tc_VDATQC40kUSvu-X0-GYruA_21_0"/>
      <w:bookmarkStart w:id="744" w:name="Tc_YTtirCF8c0-94visUEOcjg_20_0"/>
      <w:bookmarkStart w:id="745" w:name="Tc_WhUQyFzsYU-KtaDdemBp9w_19_0"/>
      <w:bookmarkStart w:id="746" w:name="Tc__unJEKDmaEu2HfxKZUAd8A_18_0"/>
      <w:bookmarkStart w:id="747" w:name="Tc_BZY_FQUwV02BPRd3Vo3lDw_17_0"/>
      <w:bookmarkStart w:id="748" w:name="Tc_0Z_48nTtwUyyDHSIQPSg-w_16_0"/>
      <w:bookmarkStart w:id="749" w:name="Tc_13wHDse3yEWchxkS__UVpA_15_0"/>
      <w:bookmarkStart w:id="750" w:name="Tc_yrxAg1tEi0W_j-1Y0o7wDw_14_0"/>
      <w:bookmarkStart w:id="751" w:name="Tc_scw_lz2HtkWmt7Wxh73cdA_13_6"/>
      <w:bookmarkStart w:id="752" w:name="Tc_2QUkSxBRUUGBGEb8uyxT4Q_13_0"/>
      <w:bookmarkStart w:id="753" w:name="Tc_AxhgZYurGEqu7kUtDmaXZQ_12_0"/>
      <w:bookmarkStart w:id="754" w:name="Tc_wSs8KZxmoEeSgC71Uq-XUw_11_0"/>
      <w:bookmarkStart w:id="755" w:name="Tc_SQvvpJIWPki3pnojw-o92w_10_0"/>
      <w:bookmarkStart w:id="756" w:name="Tc_kz_xXGAt1EOPItKjxcjHLA_9_0"/>
      <w:bookmarkStart w:id="757" w:name="Tc_iJlUqeEPi0Ks-OQkUJbrBg_8_0"/>
      <w:bookmarkStart w:id="758" w:name="Tc_pNY8eQ8FUEmCXPb4xo7HTg_7_0"/>
      <w:bookmarkStart w:id="759" w:name="Tc_vYHnmnFTgkqDduqYaCXOSQ_6_0"/>
      <w:bookmarkStart w:id="760" w:name="Tc__avZjDMil0igdJHFXwmH3A_5_5"/>
      <w:bookmarkStart w:id="761" w:name="Tc_VAAc1qv9q0CQhn4Pw8leqQ_5_2"/>
      <w:bookmarkStart w:id="762" w:name="Tc_myROeXcEvkWsVGrcyOHAEA_5_0"/>
      <w:bookmarkStart w:id="763" w:name="Tc_vsluxPxWdkKhHdFBTAU8_g_4_0"/>
      <w:bookmarkStart w:id="764" w:name="Tc_qQWcHjY3m0Ott5NSlw0qJA_3_5"/>
      <w:bookmarkStart w:id="765" w:name="Tc_VUOL_0TuWkio4exua_pV-g_3_2"/>
      <w:bookmarkStart w:id="766" w:name="Tc_W2NMx_7P2UWLw8ELL4O_Dw_2_5"/>
      <w:bookmarkStart w:id="767" w:name="Tc_DgcQjQ9T-0u8yy-a24_UPA_2_2"/>
      <w:bookmarkStart w:id="768" w:name="Tc_g7JBKJkWuEmmgso3fHfvdA_1_2"/>
      <w:bookmarkStart w:id="769" w:name="_31a030d4_5118_4071_9295_08e350874241"/>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tbl>
      <w:tblPr>
        <w:tblW w:w="9357" w:type="dxa"/>
        <w:jc w:val="left"/>
        <w:tblInd w:w="0" w:type="dxa"/>
        <w:tblLayout w:type="fixed"/>
        <w:tblCellMar>
          <w:top w:w="0" w:type="dxa"/>
          <w:left w:w="0" w:type="dxa"/>
          <w:bottom w:w="0" w:type="dxa"/>
          <w:right w:w="0" w:type="dxa"/>
        </w:tblCellMar>
      </w:tblPr>
      <w:tblGrid>
        <w:gridCol w:w="6916"/>
        <w:gridCol w:w="326"/>
        <w:gridCol w:w="196"/>
        <w:gridCol w:w="721"/>
        <w:gridCol w:w="326"/>
        <w:gridCol w:w="196"/>
        <w:gridCol w:w="676"/>
      </w:tblGrid>
      <w:tr>
        <w:trPr/>
        <w:tc>
          <w:tcPr>
            <w:tcW w:w="6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91660" cy="175260"/>
                      <wp:effectExtent l="0" t="0" r="0" b="0"/>
                      <wp:wrapNone/>
                      <wp:docPr id="60" name="Frame60"/>
                      <a:graphic xmlns:a="http://schemas.openxmlformats.org/drawingml/2006/main">
                        <a:graphicData uri="http://schemas.microsoft.com/office/word/2010/wordprocessingShape">
                          <wps:wsp>
                            <wps:cNvSpPr txBox="1"/>
                            <wps:spPr>
                              <a:xfrm>
                                <a:off x="0" y="0"/>
                                <a:ext cx="439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7835" cy="175260"/>
                      <wp:effectExtent l="0" t="0" r="0" b="0"/>
                      <wp:wrapNone/>
                      <wp:docPr id="63" name="Frame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29260" cy="175260"/>
                      <wp:effectExtent l="0" t="0" r="0" b="0"/>
                      <wp:wrapNone/>
                      <wp:docPr id="66" name="Frame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6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6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7,536</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7,221</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non-cash items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loss on sale/disposal of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doubtful accounts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3,335</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and fair value adjustments of contingent consideration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effects from business acquisitions: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7,548</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6,013</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(2,220)</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1,971</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(1,276)</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(8,874)</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4,281</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27,838</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equipment, software, and 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(4,125)</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acquisitions, net of cash acquired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(4,102)</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notes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made to retire prior credit agreement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Borrowing to fund new credit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payments on outstanding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(3,750)</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payments on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stock option exercise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1,137</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common stock under 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used to pay taxes on stock grants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(785)</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(2,866)</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20,870</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23,397</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32,348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44,267</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(received) during the period for: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3,983</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disclosures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related to business acquisitions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Contingent consideration related to business acquisitions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Equipment acquired under finance leases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556</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70" w:name="ORGANIZATIONANDOPERATIONSOFTHECOMPANY_11"/>
      <w:bookmarkEnd w:id="770"/>
      <w:r>
        <w:rPr>
          <w:rFonts w:ascii="Times New Roman;Times;serif" w:hAnsi="Times New Roman;Times;serif"/>
          <w:b/>
          <w:sz w:val="20"/>
        </w:rPr>
        <w:t>1. ORGANIZATION AND OPERATIONS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(“Willdan” or the “Company”) is a provider of professional, technical and consulting services to utilities, private industry, and public agencies at all levels of government. As resources and infrastructures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broad portfolio of services operates within two financial reporting segments: (1) Energy and (2) Engineering and Consulting. The interfaces and synergies between these segments are important elements of the Company’s strategy to design and deliver trusted, comprehensive, innovative, and proven solutions for its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policies followed by the Company are set forth in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the Company’s Annual Report on Form 10-K for the fiscal year ended December 27, 2024.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and related notes thereto should be read in conjunction with the Consolidated Financial Statements and the notes thereto included in the Company’s Annual Report on Form 10-K for the fiscal year ended December 27, 2024. The results of operations for interim periods are not necessarily indicative of results to be expected for the full year.</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Fiscal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2025, which ends on January 2, 2026, will be comprised of 53 weeks, with the first quarter consisting of 14 weeks and the remaining quarters consisting of 13 weeks each. Fiscal year 2024, which ended on December 27, 2024, was comprised of 52 weeks, with all quarters consisting of 13 weeks each. </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 </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prior year amounts have been reclassified in the condensed consolidated financial statements to conform to the current year presentation.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Accounting Pronouncements Recently Issued</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May 2025, the Financial Accounting Standards Board (“FASB”) issued Accounting Standards Update (“ASU”) No. 2025-03, “Business Combinations (Topic 805) and Consolidation (Topic 810): Determining the Accounting Acquirer in the Acquisition of a Variable Interest Entity” (“ASU 2025-03”). ASU 2025-03 requires an entity involved in an acquisition transaction effected primarily by exchanging equity interests when the legal acquiree is a Variable Interest Entity (“VIE”) that meets the definition of a business to consider the factors in paragraphs 805-10-55-12 through 55-15 to determine which entity is the accounting acquirer, rather than defaulting to the conclusion that the primary beneficiary is always the acquirer. The amendments are effective for the annual reporting periods beginning after December 15, 2026, and interim periods within those fiscal year reporting periods beginning after</w:t>
      </w:r>
      <w:r>
        <w:rPr>
          <w:rFonts w:ascii="Times New Roman;Times;serif" w:hAnsi="Times New Roman;Times;serif"/>
          <w:sz w:val="24"/>
        </w:rPr>
        <w:t xml:space="preserve"> </w:t>
      </w:r>
      <w:r>
        <w:rPr>
          <w:rFonts w:ascii="Times New Roman;Times;serif" w:hAnsi="Times New Roman;Times;serif"/>
          <w:sz w:val="20"/>
        </w:rPr>
        <w:t>December 15, 2026, with early adoption</w:t>
      </w:r>
      <w:r>
        <w:rPr>
          <w:rFonts w:ascii="Times New Roman;Times;serif" w:hAnsi="Times New Roman;Times;serif"/>
          <w:sz w:val="24"/>
        </w:rPr>
        <w:t xml:space="preserve"> </w:t>
      </w:r>
      <w:r>
        <w:rPr>
          <w:rFonts w:ascii="Times New Roman;Times;serif" w:hAnsi="Times New Roman;Times;serif"/>
          <w:sz w:val="20"/>
        </w:rPr>
        <w:t>permitted. The Company does not believe the amendments in ASU 2023-06 will have a material impact on any of the Company’s current disclosures.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November 2024, the FASB issued ASU No. 2024-03, “Income Statement - Reporting Comprehensive Income - Expense Disaggregation Disclosures (Subtopic 220-40)” (“ASU 2024-03”). ASU 2024-03 requires entities to disclose, in the notes to consolidated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entities will need to disclose the total amount of selling expenses and, in annual reporting periods, an entity’s definition of selling expenses. The amendments are effective for the annual reporting periods beginning after December 15, 2026, and interim periods within fiscal years beginning after December 15, 2027, with early adoption</w:t>
      </w:r>
      <w:r>
        <w:rPr>
          <w:rFonts w:ascii="Times New Roman;Times;serif" w:hAnsi="Times New Roman;Times;serif"/>
          <w:sz w:val="24"/>
        </w:rPr>
        <w:t xml:space="preserve"> </w:t>
      </w:r>
      <w:r>
        <w:rPr>
          <w:rFonts w:ascii="Times New Roman;Times;serif" w:hAnsi="Times New Roman;Times;serif"/>
          <w:sz w:val="20"/>
        </w:rPr>
        <w:t>permitted. The Company is currently evaluating</w:t>
      </w:r>
      <w:r>
        <w:rPr>
          <w:rFonts w:ascii="Times New Roman;Times;serif" w:hAnsi="Times New Roman;Times;serif"/>
          <w:sz w:val="24"/>
        </w:rPr>
        <w:t xml:space="preserve"> </w:t>
      </w:r>
      <w:r>
        <w:rPr>
          <w:rFonts w:ascii="Times New Roman;Times;serif" w:hAnsi="Times New Roman;Times;serif"/>
          <w:sz w:val="20"/>
        </w:rPr>
        <w:t>the impact this update will have on its Consolidated Financial Statements.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December 2023, the FASB issued ASU No. 2023-09, “Income Taxes (Topic 740): Improvements to Income Tax Disclosures” (“ASU 2023-09”). ASU 2023-09 amends the rules on income tax disclosures to require entities to disclose specific categories in the rate reconciliation, the income or loss from continuing operations before income tax expense or benefit (separated between domestic and foreign) and income tax expense or benefit from continuing operations (separated by federal, state, and foreign). In addition, ASU 2023-09 requires entities to disclose their income tax payments to international, federal, state, and local jurisdictions, among other changes. The amendments can be applied on a prospective basis although retrospective application is permitted. The amendments are effective for the annual reporting periods beginning after December 15, 2024, with early adoption</w:t>
      </w:r>
      <w:r>
        <w:rPr>
          <w:rFonts w:ascii="Times New Roman;Times;serif" w:hAnsi="Times New Roman;Times;serif"/>
          <w:sz w:val="24"/>
        </w:rPr>
        <w:t xml:space="preserve"> </w:t>
      </w:r>
      <w:r>
        <w:rPr>
          <w:rFonts w:ascii="Times New Roman;Times;serif" w:hAnsi="Times New Roman;Times;serif"/>
          <w:sz w:val="20"/>
        </w:rPr>
        <w:t>permitted. The Company is currently evaluating</w:t>
      </w:r>
      <w:r>
        <w:rPr>
          <w:rFonts w:ascii="Times New Roman;Times;serif" w:hAnsi="Times New Roman;Times;serif"/>
          <w:sz w:val="24"/>
        </w:rPr>
        <w:t xml:space="preserve"> </w:t>
      </w:r>
      <w:r>
        <w:rPr>
          <w:rFonts w:ascii="Times New Roman;Times;serif" w:hAnsi="Times New Roman;Times;serif"/>
          <w:sz w:val="20"/>
        </w:rPr>
        <w:t>the impact this update will have on its Consolidated Financial Statements.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 believe the amendments in ASU 2023-06 will have a material impact on any of the Company’s current disclosures.</w:t>
      </w:r>
    </w:p>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3.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the Company’s two reportable segments and the types of contracts that each most commonly enters into for revenue generating activities.</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43685" cy="29210"/>
                      <wp:effectExtent l="0" t="0" r="0" b="0"/>
                      <wp:wrapNone/>
                      <wp:docPr id="67" name="Frame67"/>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67435" cy="29210"/>
                      <wp:effectExtent l="0" t="0" r="0" b="0"/>
                      <wp:wrapNone/>
                      <wp:docPr id="68" name="Frame68"/>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48435" cy="29210"/>
                      <wp:effectExtent l="0" t="0" r="0" b="0"/>
                      <wp:wrapNone/>
                      <wp:docPr id="69" name="Frame69"/>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w:t>
      </w:r>
    </w:p>
    <w:p>
      <w:pPr>
        <w:pStyle w:val="TextBody"/>
        <w:bidi w:val="0"/>
        <w:spacing w:before="200" w:after="240"/>
        <w:ind w:left="0" w:right="0" w:firstLine="720"/>
        <w:jc w:val="left"/>
        <w:rPr>
          <w:rFonts w:ascii="Times New Roman;Times;serif" w:hAnsi="Times New Roman;Times;serif"/>
          <w:sz w:val="20"/>
        </w:rPr>
      </w:pPr>
      <w:r>
        <w:rPr>
          <w:rFonts w:ascii="Times New Roman;Times;serif" w:hAnsi="Times New Roman;Times;serif"/>
          <w:sz w:val="20"/>
        </w:rPr>
        <w:t>Many of the Company’s fixed price contracts involve a high degree of subcontracted fixed price effort and, usually, are relatively short in duration, thereby lowering the risks of not properly estimating the percent complete. 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condensed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the Company’s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 estimates of variable consideration and determination of whether to include estimated amounts in the transaction price are based largely on assessments of legal enforceability, the Company’s performance, and all information (historical, current and forecasted) that is reasonably available to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condensed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Retainage, included in contract assets, represents amounts withheld from billings to the Company’s clients pursuant to provisions in the contracts and may not be paid to the Company until specific tasks are completed or the project is completed and, in some instances, for even longer periods. As of July 4, 2025 and December 27, 2024, contract assets included retainage of $24.3 million and $22.0 million, respectively.</w:t>
      </w:r>
    </w:p>
    <w:p>
      <w:pPr>
        <w:pStyle w:val="TextBody"/>
        <w:bidi w:val="0"/>
        <w:spacing w:before="0" w:after="0"/>
        <w:ind w:left="0" w:right="0" w:hanging="0"/>
        <w:jc w:val="left"/>
        <w:rPr/>
      </w:pPr>
      <w:r>
        <w:rPr/>
        <w:t> </w:t>
      </w:r>
    </w:p>
    <w:p>
      <w:pPr>
        <w:pStyle w:val="TextBody"/>
        <w:bidi w:val="0"/>
        <w:spacing w:before="0" w:after="24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771" w:name="Tc_JS5C4OxiTkC2UdixKFMFdQ_11_5"/>
      <w:bookmarkStart w:id="772" w:name="Tc_g_gT4iB3FkyE0m3pzS0EFw_11_2"/>
      <w:bookmarkStart w:id="773" w:name="Tc_j9u4DB88mkWLiorRty9fBg_11_0"/>
      <w:bookmarkStart w:id="774" w:name="Tc_hLguAenBuEO46IyHHsKzTw_10_0"/>
      <w:bookmarkStart w:id="775" w:name="Tc_WfMH9OCTr0m2ToI6P0Ea8Q_9_0"/>
      <w:bookmarkStart w:id="776" w:name="Tc_-ROyTM8o6kGRop8FGiDhRw_8_0"/>
      <w:bookmarkStart w:id="777" w:name="Tc_nsAR8xhtBES6WaDpJtcWbQ_7_0"/>
      <w:bookmarkStart w:id="778" w:name="Tc_n8wUVifYU0SBoxQ_x_dD0A_6_0"/>
      <w:bookmarkStart w:id="779" w:name="Tc_0csg1rvyzEOIi8JV5-QicQ_5_0"/>
      <w:bookmarkStart w:id="780" w:name="Tc_hQ3Ky9KDk0a3RIDiK7b_bw_4_5"/>
      <w:bookmarkStart w:id="781" w:name="Tc_sZqc9V03-kyuBJpD5a0U0w_4_2"/>
      <w:bookmarkStart w:id="782" w:name="Tc_nR0_52pNlkGthqdZKbpQGg_4_0"/>
      <w:bookmarkStart w:id="783" w:name="Tc_OQdFZuqKYUybVPGIXIvmUA_3_2"/>
      <w:bookmarkStart w:id="784" w:name="Tc_t5-k3_sxPEWrw2oxdlyAFA_2_5"/>
      <w:bookmarkStart w:id="785" w:name="Tc_h2QtAb0S9ECbU9eeCwzwmA_2_2"/>
      <w:bookmarkStart w:id="786" w:name="Tc_k25dfrQfaEuYv7KEp-fU5Q_1_5"/>
      <w:bookmarkStart w:id="787" w:name="Tc_p32nnr_Y6UGvTfXtZgOyAw_1_2"/>
      <w:bookmarkStart w:id="788" w:name="_153c3283_4be2_41ef_b17e_d5f6aa64dd38"/>
      <w:bookmarkStart w:id="789" w:name="Tc_CLkoZ8ZDJkWDM7rEUOnH2w_6_5"/>
      <w:bookmarkStart w:id="790" w:name="Tc_v63sgLVMBUiypZkFlCzXJA_6_2"/>
      <w:bookmarkStart w:id="791" w:name="Tc_IqzsiUgZg0W-Z9ZbTlTgOw_6_0"/>
      <w:bookmarkStart w:id="792" w:name="Tc_ca-GrhlvEUunz0di-mqpGQ_5_6"/>
      <w:bookmarkStart w:id="793" w:name="Tc_JYsAG_PvS0uLmKfcO4T8Qw_5_3"/>
      <w:bookmarkStart w:id="794" w:name="Tc_OkC5KsLe7kuyBz0jAEOB5g_4_5"/>
      <w:bookmarkStart w:id="795" w:name="Tc_t6gXIAT9GkSOiSDlRt6LIQ_4_2"/>
      <w:bookmarkStart w:id="796" w:name="Tc_TkkZjLlXCke4qzrG4SnxTQ_4_0"/>
      <w:bookmarkStart w:id="797" w:name="Tc_GjXgQk34Y0-vvkxXKvBwMQ_3_2"/>
      <w:bookmarkStart w:id="798" w:name="Tc_3xHQNbu_dESmB8tO9Cs0Ug_2_5"/>
      <w:bookmarkStart w:id="799" w:name="Tc_v3CF04F0D0Gf-MWa_0JCpA_2_2"/>
      <w:bookmarkStart w:id="800" w:name="Tc_f3XE1rkVPUqo7BI-GDiVnw_1_5"/>
      <w:bookmarkStart w:id="801" w:name="Tc_2TH7VgRzkUW3MINg9Pn1jw_1_2"/>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r>
        <w:rPr>
          <w:rFonts w:ascii="Times New Roman;Times;serif" w:hAnsi="Times New Roman;Times;serif"/>
          <w:b/>
          <w:sz w:val="20"/>
        </w:rPr>
        <w:t xml:space="preserve">4. SUPPLEMENTAL FINANCIAL STATEMENT DATA </w:t>
      </w:r>
    </w:p>
    <w:p>
      <w:pPr>
        <w:pStyle w:val="TextBody"/>
        <w:pBdr/>
        <w:shd w:fill="FFFFFF" w:val="clear"/>
        <w:bidi w:val="0"/>
        <w:spacing w:before="0" w:after="0"/>
        <w:ind w:left="0" w:right="0" w:firstLine="360"/>
        <w:jc w:val="left"/>
        <w:rPr>
          <w:rFonts w:ascii="Times New Roman;Times;serif" w:hAnsi="Times New Roman;Times;serif"/>
          <w:i/>
          <w:color w:val="212529"/>
          <w:sz w:val="20"/>
        </w:rPr>
      </w:pPr>
      <w:r>
        <w:rPr>
          <w:rFonts w:ascii="Times New Roman;Times;serif" w:hAnsi="Times New Roman;Times;serif"/>
          <w:i/>
          <w:color w:val="212529"/>
          <w:sz w:val="20"/>
        </w:rPr>
        <w:t>Restricted Cash</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condensed consolidated balance sheets to the total cash, cash equivalents, and restricted cash shown in the consolidated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36"/>
        <w:gridCol w:w="326"/>
        <w:gridCol w:w="211"/>
        <w:gridCol w:w="676"/>
        <w:gridCol w:w="326"/>
        <w:gridCol w:w="237"/>
        <w:gridCol w:w="893"/>
      </w:tblGrid>
      <w:tr>
        <w:trPr/>
        <w:tc>
          <w:tcPr>
            <w:tcW w:w="7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785360" cy="175260"/>
                      <wp:effectExtent l="0" t="0" r="0" b="0"/>
                      <wp:wrapNone/>
                      <wp:docPr id="70" name="Frame70"/>
                      <a:graphic xmlns:a="http://schemas.openxmlformats.org/drawingml/2006/main">
                        <a:graphicData uri="http://schemas.microsoft.com/office/word/2010/wordprocessingShape">
                          <wps:wsp>
                            <wps:cNvSpPr txBox="1"/>
                            <wps:spPr>
                              <a:xfrm>
                                <a:off x="0" y="0"/>
                                <a:ext cx="478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73"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0495" cy="175260"/>
                      <wp:effectExtent l="0" t="0" r="0" b="0"/>
                      <wp:wrapNone/>
                      <wp:docPr id="75" name="Frame7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7055" cy="175260"/>
                      <wp:effectExtent l="0" t="0" r="0" b="0"/>
                      <wp:wrapNone/>
                      <wp:docPr id="76" name="Frame76"/>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left"/>
              <w:rPr/>
            </w:pPr>
            <w:r>
              <w:rPr/>
              <w:t>​</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7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7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32,348</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74,158</w:t>
            </w:r>
          </w:p>
        </w:tc>
      </w:tr>
      <w:tr>
        <w:trPr/>
        <w:tc>
          <w:tcPr>
            <w:tcW w:w="75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consolidated statement of cash flows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32,348</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74,158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0"/>
        <w:ind w:left="0" w:right="0" w:hanging="0"/>
        <w:jc w:val="left"/>
        <w:rPr/>
      </w:pPr>
      <w:r>
        <w:rPr/>
        <w:t>​</w:t>
      </w:r>
    </w:p>
    <w:tbl>
      <w:tblPr>
        <w:tblW w:w="6535" w:type="dxa"/>
        <w:jc w:val="left"/>
        <w:tblInd w:w="0" w:type="dxa"/>
        <w:tblLayout w:type="fixed"/>
        <w:tblCellMar>
          <w:top w:w="0" w:type="dxa"/>
          <w:left w:w="0" w:type="dxa"/>
          <w:bottom w:w="0" w:type="dxa"/>
          <w:right w:w="0" w:type="dxa"/>
        </w:tblCellMar>
      </w:tblPr>
      <w:tblGrid>
        <w:gridCol w:w="3736"/>
        <w:gridCol w:w="326"/>
        <w:gridCol w:w="211"/>
        <w:gridCol w:w="796"/>
        <w:gridCol w:w="326"/>
        <w:gridCol w:w="228"/>
        <w:gridCol w:w="912"/>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72360" cy="175260"/>
                      <wp:effectExtent l="0" t="0" r="0" b="0"/>
                      <wp:wrapNone/>
                      <wp:docPr id="77" name="Frame77"/>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5460" cy="175260"/>
                      <wp:effectExtent l="0" t="0" r="0" b="0"/>
                      <wp:wrapNone/>
                      <wp:docPr id="80" name="Frame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4780" cy="175260"/>
                      <wp:effectExtent l="0" t="0" r="0" b="0"/>
                      <wp:wrapNone/>
                      <wp:docPr id="82" name="Frame8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79120" cy="175260"/>
                      <wp:effectExtent l="0" t="0" r="0" b="0"/>
                      <wp:wrapNone/>
                      <wp:docPr id="83" name="Frame8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4,588</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56,164</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under 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7,231</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trucks, and field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3,608</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75,629</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70,962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(44,728)</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(41,428)</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30,901</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29,534</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accumulated depreciation and amortization is $0.7 million and $1.5 million of amortization expense related to equipment held under finance leases for the six months ended July 4, 2025 and for fiscal year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bookmarkStart w:id="802" w:name="Tc_1v-jqf9rtEygILGG2ldPhw_11_11"/>
      <w:bookmarkStart w:id="803" w:name="Tc_eAGjRmfDn06aeJXyjNJyGQ_11_8"/>
      <w:bookmarkStart w:id="804" w:name="Tc_EIbCKXwi-UC1CorUFPMEAw_11_5"/>
      <w:bookmarkStart w:id="805" w:name="Tc_bM5ThlWo6EmI0e-vHzqCGw_11_2"/>
      <w:bookmarkStart w:id="806" w:name="Tc_pcbrTJ0WVkqqINUHhyE8HA_11_0"/>
      <w:bookmarkStart w:id="807" w:name="Tc_bXHQ6iM5wEamQb5VG7lWQg_10_16"/>
      <w:bookmarkStart w:id="808" w:name="Tc__kLpMvxAQ06t7R5r77UntA_10_0"/>
      <w:bookmarkStart w:id="809" w:name="Tc_6rC93uw_2k6ahYWwz5VokQ_9_0"/>
      <w:bookmarkStart w:id="810" w:name="Tc_XDsVtguRBU6R0RVVqtnJWQ_8_16"/>
      <w:bookmarkStart w:id="811" w:name="Tc_fcCvlQdDkEmUrqepvl2fpA_8_0"/>
      <w:bookmarkStart w:id="812" w:name="Tc_WF7hLPdk4kKLFW1DLwaogA_7_16"/>
      <w:bookmarkStart w:id="813" w:name="Tc_aLlqNKfxSEy8rcPhMs7ejg_7_0"/>
      <w:bookmarkStart w:id="814" w:name="Tc_MuDGjSZwhEeX8lbcAxrhtw_6_11"/>
      <w:bookmarkStart w:id="815" w:name="Tc_h9DYbYZxJEKlelGN3PASVQ_6_8"/>
      <w:bookmarkStart w:id="816" w:name="Tc_Jjo9MVflmUG1r_FMvPMZdg_6_5"/>
      <w:bookmarkStart w:id="817" w:name="Tc_8SHZqIRlskGPg_qnbOusag_6_2"/>
      <w:bookmarkStart w:id="818" w:name="Tc_kUl056zePUSCTd4npkiYqQ_6_0"/>
      <w:bookmarkStart w:id="819" w:name="Tc_hANxdQSpOECFdufqWmDi9A_5_0"/>
      <w:bookmarkStart w:id="820" w:name="Tc_XGFBY-dNVE6drr3wPNm0yQ_4_14"/>
      <w:bookmarkStart w:id="821" w:name="Tc_hySsXGajA0KqqnS-VjDZ3Q_4_2"/>
      <w:bookmarkStart w:id="822" w:name="Tc_BK2azKuo4UCEONLlaSBMVQ_3_14"/>
      <w:bookmarkStart w:id="823" w:name="Tc_VH23i7wPNk-dLj-P0rtY-Q_3_11"/>
      <w:bookmarkStart w:id="824" w:name="Tc_sAjn1B-nKE6ECkjY6XDM1w_3_8"/>
      <w:bookmarkStart w:id="825" w:name="Tc_hlDsrrSIoEWFVMD0f0A0Xg_3_5"/>
      <w:bookmarkStart w:id="826" w:name="Tc_LNMqcw9QlUqxaNN-lZN_kQ_3_2"/>
      <w:bookmarkStart w:id="827" w:name="Tc_8y74smlMdUOcRhv2ovsR7Q_2_14"/>
      <w:bookmarkStart w:id="828" w:name="Tc_8VpTEiedH0GHJmDr2IJ0ag_2_11"/>
      <w:bookmarkStart w:id="829" w:name="Tc_6rPO0M91vkqdGeSFk7MeVw_2_8"/>
      <w:bookmarkStart w:id="830" w:name="Tc_Y0dLq8Djh0-Bq34kyCre4w_2_5"/>
      <w:bookmarkStart w:id="831" w:name="Tc_-a_HYoCspUaNE2ekhqSFkQ_2_2"/>
      <w:bookmarkStart w:id="832" w:name="Tc_Ig8HJMMfqkKOuLWvFujjlg_1_8"/>
      <w:bookmarkStart w:id="833" w:name="Tc_83ULivZ3u02Jgkl4-Nzl5w_1_2"/>
      <w:bookmarkStart w:id="834" w:name="_1cd3588f_16f6_4fdc_a8cc_9eb9826051be"/>
      <w:bookmarkStart w:id="835" w:name="Tc_quW4OCQlY06Kro8pQPWwBg_7_11"/>
      <w:bookmarkStart w:id="836" w:name="Tc_uhzwBjZz1kSEJ2wLS6eQLg_7_9"/>
      <w:bookmarkStart w:id="837" w:name="Tc_1RqkgX0nJE6CyIgIO8jS7A_7_8"/>
      <w:bookmarkStart w:id="838" w:name="Tc_RiXODfLVg0CiDhYYVUkvwg_7_5"/>
      <w:bookmarkStart w:id="839" w:name="Tc_y97iY3igSEGKXMVk9VuS4g_7_2"/>
      <w:bookmarkStart w:id="840" w:name="Tc_MAfbEJc7_0-lIdTBaGvBUQ_6_9"/>
      <w:bookmarkStart w:id="841" w:name="Tc_i9doRWmYpUKHWx-6iBUZng_6_0"/>
      <w:bookmarkStart w:id="842" w:name="Tc_PvF0QFf6tku6k51TUE5QMA_5_11"/>
      <w:bookmarkStart w:id="843" w:name="Tc_3RcgJcq8MkiQvxyX4mj2rA_5_9"/>
      <w:bookmarkStart w:id="844" w:name="Tc_KAF0QDBXF0Opqg5HYGtfIA_5_8"/>
      <w:bookmarkStart w:id="845" w:name="Tc_GPBv0LcwCUmjKS0DRWmBeQ_5_5"/>
      <w:bookmarkStart w:id="846" w:name="Tc_-uxr_jCTj0yi3nBIZNqU0w_5_2"/>
      <w:bookmarkStart w:id="847" w:name="Tc_sRWbwfRJ3kyvVdJzLg5lFg_5_0"/>
      <w:bookmarkStart w:id="848" w:name="Tc_Hu-b7428TkuQmvf3aZDWHw_4_0"/>
      <w:bookmarkStart w:id="849" w:name="Tc_fG-Ro7V-TkeNb448HNHICA_3_2"/>
      <w:bookmarkStart w:id="850" w:name="Tc_aLHO1T6nTUuZkwYzwFhptQ_2_11"/>
      <w:bookmarkStart w:id="851" w:name="Tc_CCOYgLefHU-YAe7xTk1IrQ_2_8"/>
      <w:bookmarkStart w:id="852" w:name="Tc_pFSb6txRYEelnOptBxuP3g_2_5"/>
      <w:bookmarkStart w:id="853" w:name="Tc_CkBAjzpvOESvZ7OyO5ryXw_2_2"/>
      <w:bookmarkStart w:id="854" w:name="Tc__VwsKAhoEky_QBUneNIRvg_1_11"/>
      <w:bookmarkStart w:id="855" w:name="Tc_nGZ6uuIPr0eOh5c3Wj_aSw_1_8"/>
      <w:bookmarkStart w:id="856" w:name="Tc_QYVPC7GWgEOh5dxOAhkeow_1_5"/>
      <w:bookmarkStart w:id="857" w:name="Tc_S_yE_hQKj0KpBl2tGG1Rxg_1_2"/>
      <w:bookmarkStart w:id="858" w:name="_c85b4554_c045_4ea0_bbf4_63b84da8ef05"/>
      <w:bookmarkStart w:id="859" w:name="Tc_6FTw8ONuYEOxvLeIePlQfQ_10_5"/>
      <w:bookmarkStart w:id="860" w:name="Tc_GKzfzJEhGUy908PasWlftw_10_2"/>
      <w:bookmarkStart w:id="861" w:name="Tc_UQm7nBSkRku45lMp95NRCA_10_0"/>
      <w:bookmarkStart w:id="862" w:name="Tc_jXZ6Z54_k0qMtuGhdp_jLQ_9_0"/>
      <w:bookmarkStart w:id="863" w:name="Tc_0MWCoyLkG0iGGX8I4vUzSA_8_3"/>
      <w:bookmarkStart w:id="864" w:name="Tc_5necSA0fkkek2m_J7BHS9A_8_0"/>
      <w:bookmarkStart w:id="865" w:name="Tc_npJRX3tfVEWCxOzVS1L9Yw_7_0"/>
      <w:bookmarkStart w:id="866" w:name="Tc_CTy5aBn-1EWSI82tOcBEsA_6_0"/>
      <w:bookmarkStart w:id="867" w:name="Tc_D0-x4SSf_0-5rZNA9vQPaA_5_0"/>
      <w:bookmarkStart w:id="868" w:name="Tc_qaa5rFswAEms7nkE3VSyNg_4_5"/>
      <w:bookmarkStart w:id="869" w:name="Tc_nxPkbsTFzUS15wBEyKd62g_4_2"/>
      <w:bookmarkStart w:id="870" w:name="Tc_R4gCZ20al0Ghuas8EfN7Vw_4_0"/>
      <w:bookmarkStart w:id="871" w:name="Tc_WFg23jlbhEyT7XiWAJORLg_3_2"/>
      <w:bookmarkStart w:id="872" w:name="Tc_rZIRmpFKEkGFMfixE5Qcsg_2_5"/>
      <w:bookmarkStart w:id="873" w:name="Tc_Th7I03nCsEOLakSUPOmZyQ_2_2"/>
      <w:bookmarkStart w:id="874" w:name="Tc_cpTckqe6U0u4YGvkj7odCA_1_5"/>
      <w:bookmarkStart w:id="875" w:name="Tc_4ARrS56tG0qQUWAgKgDDCg_1_2"/>
      <w:bookmarkStart w:id="876" w:name="_bd42a2c9_737b_415e_b15d_0fc85bb90588"/>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Times New Roman;Times;serif" w:hAnsi="Times New Roman;Times;serif"/>
          <w:i/>
          <w:sz w:val="20"/>
        </w:rPr>
        <w:t>Accrued Liabilities</w:t>
      </w:r>
    </w:p>
    <w:p>
      <w:pPr>
        <w:pStyle w:val="TextBody"/>
        <w:bidi w:val="0"/>
        <w:spacing w:before="0" w:after="0"/>
        <w:ind w:left="0" w:right="0" w:hanging="0"/>
        <w:jc w:val="left"/>
        <w:rPr/>
      </w:pPr>
      <w:r>
        <w:rPr/>
        <w:t>​</w:t>
      </w:r>
    </w:p>
    <w:tbl>
      <w:tblPr>
        <w:tblW w:w="5695" w:type="dxa"/>
        <w:jc w:val="left"/>
        <w:tblInd w:w="0" w:type="dxa"/>
        <w:tblLayout w:type="fixed"/>
        <w:tblCellMar>
          <w:top w:w="0" w:type="dxa"/>
          <w:left w:w="0" w:type="dxa"/>
          <w:bottom w:w="0" w:type="dxa"/>
          <w:right w:w="0" w:type="dxa"/>
        </w:tblCellMar>
      </w:tblPr>
      <w:tblGrid>
        <w:gridCol w:w="3016"/>
        <w:gridCol w:w="326"/>
        <w:gridCol w:w="211"/>
        <w:gridCol w:w="676"/>
        <w:gridCol w:w="326"/>
        <w:gridCol w:w="240"/>
        <w:gridCol w:w="900"/>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15160" cy="175260"/>
                      <wp:effectExtent l="0" t="0" r="0" b="0"/>
                      <wp:wrapNone/>
                      <wp:docPr id="84" name="Frame8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2400" cy="175260"/>
                      <wp:effectExtent l="0" t="0" r="0" b="0"/>
                      <wp:wrapNone/>
                      <wp:docPr id="89" name="Frame8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1500" cy="175260"/>
                      <wp:effectExtent l="0" t="0" r="0" b="0"/>
                      <wp:wrapNone/>
                      <wp:docPr id="90" name="Frame9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5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subcontractor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30,594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15,703</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18,277</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withholdings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payroll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accounting costs and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62,776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left"/>
        <w:rPr/>
      </w:pPr>
      <w:r>
        <w:rPr/>
        <w:t>​</w:t>
      </w:r>
    </w:p>
    <w:tbl>
      <w:tblPr>
        <w:tblW w:w="8083" w:type="dxa"/>
        <w:jc w:val="left"/>
        <w:tblInd w:w="0" w:type="dxa"/>
        <w:tblLayout w:type="fixed"/>
        <w:tblCellMar>
          <w:top w:w="0" w:type="dxa"/>
          <w:left w:w="0" w:type="dxa"/>
          <w:bottom w:w="0" w:type="dxa"/>
          <w:right w:w="0" w:type="dxa"/>
        </w:tblCellMar>
      </w:tblPr>
      <w:tblGrid>
        <w:gridCol w:w="2431"/>
        <w:gridCol w:w="326"/>
        <w:gridCol w:w="233"/>
        <w:gridCol w:w="862"/>
        <w:gridCol w:w="326"/>
        <w:gridCol w:w="271"/>
        <w:gridCol w:w="869"/>
        <w:gridCol w:w="326"/>
        <w:gridCol w:w="380"/>
        <w:gridCol w:w="626"/>
        <w:gridCol w:w="326"/>
        <w:gridCol w:w="211"/>
        <w:gridCol w:w="89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43685" cy="175260"/>
                      <wp:effectExtent l="0" t="0" r="0" b="0"/>
                      <wp:wrapNone/>
                      <wp:docPr id="91" name="Frame9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7955" cy="175260"/>
                      <wp:effectExtent l="0" t="0" r="0" b="0"/>
                      <wp:wrapNone/>
                      <wp:docPr id="93" name="Frame9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47370" cy="175260"/>
                      <wp:effectExtent l="0" t="0" r="0" b="0"/>
                      <wp:wrapNone/>
                      <wp:docPr id="94" name="Frame94"/>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2085" cy="175260"/>
                      <wp:effectExtent l="0" t="0" r="0" b="0"/>
                      <wp:wrapNone/>
                      <wp:docPr id="96" name="Frame9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51815" cy="175260"/>
                      <wp:effectExtent l="0" t="0" r="0" b="0"/>
                      <wp:wrapNone/>
                      <wp:docPr id="97" name="Frame97"/>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41300" cy="175260"/>
                      <wp:effectExtent l="0" t="0" r="0" b="0"/>
                      <wp:wrapNone/>
                      <wp:docPr id="99" name="Frame9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97510" cy="175260"/>
                      <wp:effectExtent l="0" t="0" r="0" b="0"/>
                      <wp:wrapNone/>
                      <wp:docPr id="100" name="Frame100"/>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68960" cy="175260"/>
                      <wp:effectExtent l="0" t="0" r="0" b="0"/>
                      <wp:wrapNone/>
                      <wp:docPr id="103" name="Frame10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26"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139,222</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33,506</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172,728</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7,879</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9,648</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140,991</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41,385</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182,376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tests its goodwill at least annually for possible impairment. The Company completes its annual testing of goodwill as of the last day of the first month of its fourth fiscal quarter each year to determine whether there is a potential impairment. In addition to the Company’s annual test, it regularly evaluates whether events and circumstances have occurred that may indicate a potential impairment of goodwill. The Company evaluated the current economic environment and noted that it does not believe it is more likely than not that goodwill was impaired as of July 4, 2025.</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Intangible Assets</w:t>
      </w:r>
    </w:p>
    <w:p>
      <w:pPr>
        <w:pStyle w:val="TextBody"/>
        <w:bidi w:val="0"/>
        <w:spacing w:before="0" w:after="0"/>
        <w:ind w:left="0" w:right="0" w:hanging="0"/>
        <w:jc w:val="left"/>
        <w:rPr/>
      </w:pPr>
      <w:r>
        <w:rPr/>
        <w:t>​</w:t>
      </w:r>
    </w:p>
    <w:tbl>
      <w:tblPr>
        <w:tblW w:w="9208" w:type="dxa"/>
        <w:jc w:val="left"/>
        <w:tblInd w:w="0" w:type="dxa"/>
        <w:tblLayout w:type="fixed"/>
        <w:tblCellMar>
          <w:top w:w="0" w:type="dxa"/>
          <w:left w:w="0" w:type="dxa"/>
          <w:bottom w:w="0" w:type="dxa"/>
          <w:right w:w="0" w:type="dxa"/>
        </w:tblCellMar>
      </w:tblPr>
      <w:tblGrid>
        <w:gridCol w:w="2176"/>
        <w:gridCol w:w="326"/>
        <w:gridCol w:w="211"/>
        <w:gridCol w:w="781"/>
        <w:gridCol w:w="326"/>
        <w:gridCol w:w="257"/>
        <w:gridCol w:w="824"/>
        <w:gridCol w:w="326"/>
        <w:gridCol w:w="211"/>
        <w:gridCol w:w="781"/>
        <w:gridCol w:w="326"/>
        <w:gridCol w:w="257"/>
        <w:gridCol w:w="824"/>
        <w:gridCol w:w="326"/>
        <w:gridCol w:w="361"/>
        <w:gridCol w:w="109"/>
        <w:gridCol w:w="166"/>
        <w:gridCol w:w="109"/>
        <w:gridCol w:w="511"/>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81760" cy="175260"/>
                      <wp:effectExtent l="0" t="0" r="0" b="0"/>
                      <wp:wrapNone/>
                      <wp:docPr id="104" name="Frame104"/>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 2025</w:t>
            </w:r>
          </w:p>
        </w:tc>
        <w:tc>
          <w:tcPr>
            <w:tcW w:w="326" w:type="dxa"/>
            <w:tcBorders/>
            <w:vAlign w:val="center"/>
          </w:tcPr>
          <w:p>
            <w:pPr>
              <w:pStyle w:val="TableContents"/>
              <w:bidi w:val="0"/>
              <w:spacing w:before="0" w:after="0"/>
              <w:ind w:left="0" w:right="0" w:hanging="0"/>
              <w:jc w:val="center"/>
              <w:rPr/>
            </w:pPr>
            <w:r>
              <w:rPr/>
              <w:t>​</w:t>
            </w:r>
          </w:p>
        </w:tc>
        <w:tc>
          <w:tcPr>
            <w:tcW w:w="23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2024</w:t>
            </w:r>
          </w:p>
        </w:tc>
        <w:tc>
          <w:tcPr>
            <w:tcW w:w="32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2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2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Finite:</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11,804</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8,882</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8,350</w:t>
            </w:r>
          </w:p>
        </w:tc>
        <w:tc>
          <w:tcPr>
            <w:tcW w:w="326" w:type="dxa"/>
            <w:tcBorders/>
            <w:vAlign w:val="center"/>
          </w:tcPr>
          <w:p>
            <w:pPr>
              <w:pStyle w:val="TableContents"/>
              <w:bidi w:val="0"/>
              <w:spacing w:before="0" w:after="0"/>
              <w:ind w:left="0" w:right="0" w:hanging="0"/>
              <w:jc w:val="left"/>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16,123</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13,196</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15,286</w:t>
            </w:r>
          </w:p>
        </w:tc>
        <w:tc>
          <w:tcPr>
            <w:tcW w:w="326" w:type="dxa"/>
            <w:tcBorders/>
            <w:shd w:fill="CCEEFF" w:val="clear"/>
            <w:vAlign w:val="center"/>
          </w:tcPr>
          <w:p>
            <w:pPr>
              <w:pStyle w:val="TableContents"/>
              <w:bidi w:val="0"/>
              <w:spacing w:before="0" w:after="0"/>
              <w:ind w:left="0" w:right="0" w:hanging="0"/>
              <w:jc w:val="left"/>
              <w:rPr/>
            </w:pPr>
            <w:r>
              <w:rPr/>
              <w:t>​</w:t>
            </w:r>
          </w:p>
        </w:tc>
        <w:tc>
          <w:tcPr>
            <w:tcW w:w="1256" w:type="dxa"/>
            <w:gridSpan w:val="5"/>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67,766</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62,041</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36,735</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115,073</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104,469</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75,055</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877" w:name="Tc_EHe41owWsUKCPMikNaNCYA_6_0"/>
      <w:bookmarkStart w:id="878" w:name="Tc_SPywKNEcokGI2Nd6ggdFcg_5_7"/>
      <w:bookmarkStart w:id="879" w:name="Tc_8h2kX1AX7kWCIpkhW5DZdg_5_4"/>
      <w:bookmarkStart w:id="880" w:name="Tc_AegNi4ANXUSTRl8lDvxKnQ_5_0"/>
      <w:bookmarkStart w:id="881" w:name="Tc_jdZ0Xpex-Ue-DHs1iVtffg_4_4"/>
      <w:bookmarkStart w:id="882" w:name="Tc_QnAkb5Mr6062CQsAw2SA1g_3_7"/>
      <w:bookmarkStart w:id="883" w:name="Tc_YJGtiC_q7UmqszKMvLXKuA_3_4"/>
      <w:bookmarkStart w:id="884" w:name="Tc_d1oUPt462E-vcQ9r6rMuNQ_3_2"/>
      <w:bookmarkStart w:id="885" w:name="Tc_8gNNxzNeEUapjBy79lz_pw_2_4"/>
      <w:bookmarkStart w:id="886" w:name="Tc_gmCzn7fvsEmnwU8X1LdNKw_1_4"/>
      <w:bookmarkStart w:id="887" w:name="_c4bba330_b332_4019_81a7_7baae4aa8798"/>
      <w:bookmarkEnd w:id="877"/>
      <w:bookmarkEnd w:id="878"/>
      <w:bookmarkEnd w:id="879"/>
      <w:bookmarkEnd w:id="880"/>
      <w:bookmarkEnd w:id="881"/>
      <w:bookmarkEnd w:id="882"/>
      <w:bookmarkEnd w:id="883"/>
      <w:bookmarkEnd w:id="884"/>
      <w:bookmarkEnd w:id="885"/>
      <w:bookmarkEnd w:id="886"/>
      <w:bookmarkEnd w:id="887"/>
      <w:r>
        <w:rPr>
          <w:rFonts w:ascii="Times New Roman;Times;serif" w:hAnsi="Times New Roman;Times;serif"/>
          <w:b/>
          <w:sz w:val="20"/>
        </w:rPr>
        <w:t>5. DERIVATIVE FINANCIAL INSTRUMENTS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certain interest rate derivative contracts to hedge interest rate exposures on its variable rate debt. The Company’s hedging program is not designated for trading or speculative purposes.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derivative instruments as either assets or liabilities on the accompanying condensed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a loss or gain on cash flow hedge valuation. All related cash flows are reported in the operating activities section of the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the Company entered into an interest rate swap agreement that the Company designated as cash flow hedge to fix the variable interest rate on a portion of the Company’s Term Loan (see Note 6, “</w:t>
      </w:r>
      <w:r>
        <w:rPr>
          <w:rFonts w:ascii="Times New Roman;Times;serif" w:hAnsi="Times New Roman;Times;serif"/>
          <w:i/>
          <w:sz w:val="20"/>
        </w:rPr>
        <w:t xml:space="preserve">Debt Obligations” </w:t>
      </w:r>
      <w:r>
        <w:rPr>
          <w:rFonts w:ascii="Times New Roman;Times;serif" w:hAnsi="Times New Roman;Times;serif"/>
          <w:sz w:val="20"/>
        </w:rPr>
        <w:t>for information regarding our indebtedness). The interest rate swap agreement has a total notional amount of $50.0 million, has a fixed annual interest rate of 4.77%, and expires on September 29, 2026. As of July 4, 2025, the effective portion of the Company’s interest rate swap agreement designated as a cash flow hedge before tax effects was $(0.3) million, of which no amounts were reclassified from accumulated other comprehensive income (loss) to interest expense</w:t>
      </w:r>
      <w:r>
        <w:rPr>
          <w:rFonts w:ascii="Times New Roman;Times;serif" w:hAnsi="Times New Roman;Times;serif"/>
          <w:sz w:val="20"/>
          <w:shd w:fill="FFFFFF" w:val="clear"/>
        </w:rPr>
        <w:t> in the six months ended July 4, 2025</w:t>
      </w:r>
      <w:r>
        <w:rPr>
          <w:rFonts w:ascii="Times New Roman;Times;serif" w:hAnsi="Times New Roman;Times;serif"/>
          <w:sz w:val="20"/>
        </w:rPr>
        <w:t>. The Company expects to reclassify $0.3 million from accumulated other comprehensive income (loss) to interest expense within the next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values of the Company’s outstanding derivatives designated as hedging instruments were as follows:</w:t>
      </w:r>
    </w:p>
    <w:p>
      <w:pPr>
        <w:pStyle w:val="TextBody"/>
        <w:bidi w:val="0"/>
        <w:spacing w:before="0" w:after="0"/>
        <w:ind w:left="0" w:right="0" w:hanging="0"/>
        <w:jc w:val="left"/>
        <w:rPr/>
      </w:pPr>
      <w:r>
        <w:rPr/>
        <w:t>​</w:t>
      </w:r>
    </w:p>
    <w:tbl>
      <w:tblPr>
        <w:tblW w:w="8041" w:type="dxa"/>
        <w:jc w:val="left"/>
        <w:tblInd w:w="0" w:type="dxa"/>
        <w:tblLayout w:type="fixed"/>
        <w:tblCellMar>
          <w:top w:w="0" w:type="dxa"/>
          <w:left w:w="0" w:type="dxa"/>
          <w:bottom w:w="0" w:type="dxa"/>
          <w:right w:w="0" w:type="dxa"/>
        </w:tblCellMar>
      </w:tblPr>
      <w:tblGrid>
        <w:gridCol w:w="2401"/>
        <w:gridCol w:w="326"/>
        <w:gridCol w:w="2311"/>
        <w:gridCol w:w="326"/>
        <w:gridCol w:w="282"/>
        <w:gridCol w:w="723"/>
        <w:gridCol w:w="127"/>
        <w:gridCol w:w="408"/>
        <w:gridCol w:w="1137"/>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24635" cy="175895"/>
                      <wp:effectExtent l="0" t="0" r="0" b="0"/>
                      <wp:wrapNone/>
                      <wp:docPr id="107" name="Frame107"/>
                      <a:graphic xmlns:a="http://schemas.openxmlformats.org/drawingml/2006/main">
                        <a:graphicData uri="http://schemas.microsoft.com/office/word/2010/wordprocessingShape">
                          <wps:wsp>
                            <wps:cNvSpPr txBox="1"/>
                            <wps:spPr>
                              <a:xfrm>
                                <a:off x="0" y="0"/>
                                <a:ext cx="15246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895"/>
                      <wp:effectExtent l="0" t="0" r="0" b="0"/>
                      <wp:wrapNone/>
                      <wp:docPr id="108" name="Frame10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67485" cy="175895"/>
                      <wp:effectExtent l="0" t="0" r="0" b="0"/>
                      <wp:wrapNone/>
                      <wp:docPr id="109" name="Frame109"/>
                      <a:graphic xmlns:a="http://schemas.openxmlformats.org/drawingml/2006/main">
                        <a:graphicData uri="http://schemas.microsoft.com/office/word/2010/wordprocessingShape">
                          <wps:wsp>
                            <wps:cNvSpPr txBox="1"/>
                            <wps:spPr>
                              <a:xfrm>
                                <a:off x="0" y="0"/>
                                <a:ext cx="1467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895"/>
                      <wp:effectExtent l="0" t="0" r="0" b="0"/>
                      <wp:wrapNone/>
                      <wp:docPr id="110" name="Frame11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79070" cy="175895"/>
                      <wp:effectExtent l="0" t="0" r="0" b="0"/>
                      <wp:wrapNone/>
                      <wp:docPr id="111" name="Frame111"/>
                      <a:graphic xmlns:a="http://schemas.openxmlformats.org/drawingml/2006/main">
                        <a:graphicData uri="http://schemas.microsoft.com/office/word/2010/wordprocessingShape">
                          <wps:wsp>
                            <wps:cNvSpPr txBox="1"/>
                            <wps:spPr>
                              <a:xfrm>
                                <a:off x="0" y="0"/>
                                <a:ext cx="1790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59105" cy="175895"/>
                      <wp:effectExtent l="0" t="0" r="0" b="0"/>
                      <wp:wrapNone/>
                      <wp:docPr id="112" name="Frame112"/>
                      <a:graphic xmlns:a="http://schemas.openxmlformats.org/drawingml/2006/main">
                        <a:graphicData uri="http://schemas.microsoft.com/office/word/2010/wordprocessingShape">
                          <wps:wsp>
                            <wps:cNvSpPr txBox="1"/>
                            <wps:spPr>
                              <a:xfrm>
                                <a:off x="0" y="0"/>
                                <a:ext cx="4591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0645" cy="175895"/>
                      <wp:effectExtent l="0" t="0" r="0" b="0"/>
                      <wp:wrapNone/>
                      <wp:docPr id="113" name="Frame113"/>
                      <a:graphic xmlns:a="http://schemas.openxmlformats.org/drawingml/2006/main">
                        <a:graphicData uri="http://schemas.microsoft.com/office/word/2010/wordprocessingShape">
                          <wps:wsp>
                            <wps:cNvSpPr txBox="1"/>
                            <wps:spPr>
                              <a:xfrm>
                                <a:off x="0" y="0"/>
                                <a:ext cx="806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59080" cy="175895"/>
                      <wp:effectExtent l="0" t="0" r="0" b="0"/>
                      <wp:wrapNone/>
                      <wp:docPr id="114" name="Frame114"/>
                      <a:graphic xmlns:a="http://schemas.openxmlformats.org/drawingml/2006/main">
                        <a:graphicData uri="http://schemas.microsoft.com/office/word/2010/wordprocessingShape">
                          <wps:wsp>
                            <wps:cNvSpPr txBox="1"/>
                            <wps:spPr>
                              <a:xfrm>
                                <a:off x="0" y="0"/>
                                <a:ext cx="2590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21995" cy="175895"/>
                      <wp:effectExtent l="0" t="0" r="0" b="0"/>
                      <wp:wrapNone/>
                      <wp:docPr id="115" name="Frame115"/>
                      <a:graphic xmlns:a="http://schemas.openxmlformats.org/drawingml/2006/main">
                        <a:graphicData uri="http://schemas.microsoft.com/office/word/2010/wordprocessingShape">
                          <wps:wsp>
                            <wps:cNvSpPr txBox="1"/>
                            <wps:spPr>
                              <a:xfrm>
                                <a:off x="0" y="0"/>
                                <a:ext cx="7219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23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    </w:t>
            </w:r>
          </w:p>
        </w:tc>
        <w:tc>
          <w:tcPr>
            <w:tcW w:w="2677"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Fair Value of Derivative</w: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23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    </w:t>
            </w:r>
          </w:p>
        </w:tc>
        <w:tc>
          <w:tcPr>
            <w:tcW w:w="2677"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Instruments as of</w: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31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1"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July 4, 2025</w:t>
            </w:r>
          </w:p>
        </w:tc>
        <w:tc>
          <w:tcPr>
            <w:tcW w:w="127"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27, 2024</w:t>
            </w:r>
          </w:p>
        </w:tc>
      </w:tr>
      <w:tr>
        <w:trPr/>
        <w:tc>
          <w:tcPr>
            <w:tcW w:w="240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677"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26" w:type="dxa"/>
            <w:tcBorders/>
            <w:shd w:fill="CCEEFF" w:val="clear"/>
            <w:vAlign w:val="center"/>
          </w:tcPr>
          <w:p>
            <w:pPr>
              <w:pStyle w:val="TableContents"/>
              <w:bidi w:val="0"/>
              <w:spacing w:before="1" w:after="1"/>
              <w:ind w:left="0" w:right="0" w:hanging="0"/>
              <w:jc w:val="left"/>
              <w:rPr/>
            </w:pPr>
            <w:r>
              <w:rPr/>
              <w:t>​</w:t>
            </w:r>
          </w:p>
        </w:tc>
        <w:tc>
          <w:tcPr>
            <w:tcW w:w="2311" w:type="dxa"/>
            <w:tcBorders/>
            <w:shd w:fill="CCEEFF" w:val="cle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shd w:fill="CCEEFF" w:val="clear"/>
            <w:vAlign w:val="center"/>
          </w:tcPr>
          <w:p>
            <w:pPr>
              <w:pStyle w:val="TableContents"/>
              <w:bidi w:val="0"/>
              <w:spacing w:before="1" w:after="1"/>
              <w:ind w:left="0" w:right="0" w:hanging="0"/>
              <w:jc w:val="left"/>
              <w:rPr/>
            </w:pPr>
            <w:r>
              <w:rPr/>
              <w:t>​</w:t>
            </w:r>
          </w:p>
        </w:tc>
        <w:tc>
          <w:tcPr>
            <w:tcW w:w="28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127" w:type="dxa"/>
            <w:tcBorders/>
            <w:shd w:fill="CCEEFF" w:val="clear"/>
            <w:vAlign w:val="center"/>
          </w:tcPr>
          <w:p>
            <w:pPr>
              <w:pStyle w:val="TableContents"/>
              <w:bidi w:val="0"/>
              <w:spacing w:before="1" w:after="1"/>
              <w:ind w:left="0" w:right="0" w:hanging="0"/>
              <w:jc w:val="left"/>
              <w:rPr/>
            </w:pPr>
            <w:r>
              <w:rPr/>
              <w:t>​</w:t>
            </w:r>
          </w:p>
        </w:tc>
        <w:tc>
          <w:tcPr>
            <w:tcW w:w="40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240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2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326" w:type="dxa"/>
            <w:tcBorders/>
            <w:vAlign w:val="center"/>
          </w:tcPr>
          <w:p>
            <w:pPr>
              <w:pStyle w:val="TableContents"/>
              <w:bidi w:val="0"/>
              <w:spacing w:before="1" w:after="1"/>
              <w:ind w:left="0" w:right="0" w:hanging="0"/>
              <w:jc w:val="left"/>
              <w:rPr/>
            </w:pPr>
            <w:r>
              <w:rPr/>
              <w:t>​</w:t>
            </w:r>
          </w:p>
        </w:tc>
        <w:tc>
          <w:tcPr>
            <w:tcW w:w="282" w:type="dxa"/>
            <w:tcBorders/>
            <w:vAlign w:val="center"/>
          </w:tcPr>
          <w:p>
            <w:pPr>
              <w:pStyle w:val="TableContents"/>
              <w:bidi w:val="0"/>
              <w:spacing w:before="1" w:after="1"/>
              <w:ind w:left="0" w:right="0" w:hanging="0"/>
              <w:jc w:val="left"/>
              <w:rPr/>
            </w:pPr>
            <w:r>
              <w:rPr/>
              <w:t>​</w:t>
            </w:r>
          </w:p>
        </w:tc>
        <w:tc>
          <w:tcPr>
            <w:tcW w:w="72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127" w:type="dxa"/>
            <w:tcBorders/>
            <w:vAlign w:val="center"/>
          </w:tcPr>
          <w:p>
            <w:pPr>
              <w:pStyle w:val="TableContents"/>
              <w:bidi w:val="0"/>
              <w:spacing w:before="1" w:after="1"/>
              <w:ind w:left="0" w:right="0" w:hanging="0"/>
              <w:jc w:val="left"/>
              <w:rPr/>
            </w:pPr>
            <w:r>
              <w:rPr/>
              <w:t>​</w:t>
            </w:r>
          </w:p>
        </w:tc>
        <w:tc>
          <w:tcPr>
            <w:tcW w:w="408" w:type="dxa"/>
            <w:tcBorders/>
            <w:vAlign w:val="center"/>
          </w:tcPr>
          <w:p>
            <w:pPr>
              <w:pStyle w:val="TableContents"/>
              <w:bidi w:val="0"/>
              <w:spacing w:before="1" w:after="1"/>
              <w:ind w:left="0" w:right="0" w:hanging="0"/>
              <w:jc w:val="left"/>
              <w:rPr/>
            </w:pPr>
            <w:r>
              <w:rPr/>
              <w:t>​</w:t>
            </w:r>
          </w:p>
        </w:tc>
        <w:tc>
          <w:tcPr>
            <w:tcW w:w="113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(200)</w:t>
            </w:r>
          </w:p>
        </w:tc>
      </w:tr>
    </w:tbl>
    <w:p>
      <w:pPr>
        <w:pStyle w:val="TextBody"/>
        <w:shd w:fill="FFFFFF" w:val="clear"/>
        <w:bidi w:val="0"/>
        <w:spacing w:before="0" w:after="0"/>
        <w:ind w:left="0" w:right="0" w:hanging="0"/>
        <w:jc w:val="left"/>
        <w:rPr/>
      </w:pPr>
      <w:r>
        <w:rPr/>
        <w:t> </w:t>
      </w:r>
    </w:p>
    <w:p>
      <w:pPr>
        <w:pStyle w:val="TextBody"/>
        <w:shd w:fill="FFFFFF" w:val="clear"/>
        <w:bidi w:val="0"/>
        <w:spacing w:before="100" w:after="10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impact of the effective portions of derivative instruments in cash flow hedging relationships and fair value relationships on other comprehensive income (loss) was $0.2 million for the three months ended July 4, 2025 and was immaterial to the Company’s condensed consolidated financial statements for the six months ended July 4,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shd w:fill="FFFFFF" w:val="clear"/>
        <w:bidi w:val="0"/>
        <w:spacing w:before="0" w:after="240"/>
        <w:ind w:left="0" w:right="0" w:firstLine="720"/>
        <w:jc w:val="left"/>
        <w:rPr>
          <w:rFonts w:ascii="Times New Roman;Times;serif" w:hAnsi="Times New Roman;Times;serif"/>
          <w:sz w:val="20"/>
        </w:rPr>
      </w:pPr>
      <w:bookmarkStart w:id="888" w:name="Tc_h7v6XSzwpUihkZVSpS25Ng_14_5"/>
      <w:bookmarkStart w:id="889" w:name="Tc_KOfM4V9SzEGFUzh2FiTe4g_14_2"/>
      <w:bookmarkStart w:id="890" w:name="Tc_glOZ3T0zpUGmTt8cxIbfnw_14_0"/>
      <w:bookmarkStart w:id="891" w:name="Tc_Bd769qxUzEW1GP9H5gToDw_13_0"/>
      <w:bookmarkStart w:id="892" w:name="Tc_O-LGnOiT1Ea2O1gZm__EWw_12_0"/>
      <w:bookmarkStart w:id="893" w:name="Tc_zJJ0hwXPFk-e5gsfRqoPFg_11_6"/>
      <w:bookmarkStart w:id="894" w:name="Tc_sEPJwi5e3kS6G-wjZjorvQ_11_3"/>
      <w:bookmarkStart w:id="895" w:name="Tc_X9YzH_7urE2UyA86_lI32w_11_0"/>
      <w:bookmarkStart w:id="896" w:name="Tc_6pnpUvR_bkOu5i9F1CntAg_10_0"/>
      <w:bookmarkStart w:id="897" w:name="Tc_BrTR-yCXCk-x8qls9_Bw5w_9_5"/>
      <w:bookmarkStart w:id="898" w:name="Tc_hMU_ZD4-SEiwFFg2UnvpdA_9_2"/>
      <w:bookmarkStart w:id="899" w:name="Tc_G9EHkkfNZUidlVBx60pelQ_9_0"/>
      <w:bookmarkStart w:id="900" w:name="Tc_ordgF1GqfEmYVFAU2uYN-A_8_0"/>
      <w:bookmarkStart w:id="901" w:name="Tc_FlnDXAadxEmkqO-rm3OWlQ_7_0"/>
      <w:bookmarkStart w:id="902" w:name="Tc_4nytYsAW6Eq7RvqkpLH40w_6_6"/>
      <w:bookmarkStart w:id="903" w:name="Tc__WVFmhd3SE66I2BN6rOhlg_6_3"/>
      <w:bookmarkStart w:id="904" w:name="Tc_xe1lT1L9mkmlmmvLhyr3zA_6_0"/>
      <w:bookmarkStart w:id="905" w:name="Tc_B_K6bjVXBk6EjmllLj_h3w_5_0"/>
      <w:bookmarkStart w:id="906" w:name="Tc_m3depV3l5UWhcQSJ_vAxzg_4_5"/>
      <w:bookmarkStart w:id="907" w:name="Tc_6wsoGvETw0SHgXo8GX-yZg_4_2"/>
      <w:bookmarkStart w:id="908" w:name="Tc_X6UH6AS2yU-t1mdoViJe9g_4_0"/>
      <w:bookmarkStart w:id="909" w:name="Tc_eys7trtER0ecB-zf7yuIJQ_3_2"/>
      <w:bookmarkStart w:id="910" w:name="Tc_vtPD_kBbaUue7n6ZSR8EWQ_2_5"/>
      <w:bookmarkStart w:id="911" w:name="Tc_lhNXI40Oj0-eyoAXeB1dJg_2_2"/>
      <w:bookmarkStart w:id="912" w:name="Tc_Bn7ku1u_xkGHzhfkI8CZAg_1_5"/>
      <w:bookmarkStart w:id="913" w:name="Tc_jJ0skyITv0-sBHxvoBU0RQ_1_2"/>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rFonts w:ascii="Times New Roman;Times;serif" w:hAnsi="Times New Roman;Times;serif"/>
          <w:sz w:val="20"/>
        </w:rPr>
        <w:t>The accumulated balances and reporting period activities for the periods below related to reclassifications out of accumulated other comprehensive income (loss) are summarized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36"/>
        <w:gridCol w:w="326"/>
        <w:gridCol w:w="538"/>
        <w:gridCol w:w="1233"/>
        <w:gridCol w:w="326"/>
        <w:gridCol w:w="641"/>
        <w:gridCol w:w="1605"/>
      </w:tblGrid>
      <w:tr>
        <w:trPr/>
        <w:tc>
          <w:tcPr>
            <w:tcW w:w="5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1605" w:type="dxa"/>
            <w:tcBorders/>
            <w:vAlign w:val="center"/>
          </w:tcPr>
          <w:p>
            <w:pPr>
              <w:pStyle w:val="TableContents"/>
              <w:bidi w:val="0"/>
              <w:spacing w:before="0" w:after="0"/>
              <w:ind w:left="0" w:right="0" w:hanging="0"/>
              <w:jc w:val="left"/>
              <w:rPr/>
            </w:pPr>
            <w:r>
              <w:rPr/>
              <w:t>​</w:t>
            </w:r>
          </w:p>
        </w:tc>
      </w:tr>
      <w:tr>
        <w:trPr/>
        <w:tc>
          <w:tcPr>
            <w:tcW w:w="5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26" w:type="dxa"/>
            <w:tcBorders/>
            <w:vAlign w:val="center"/>
          </w:tcPr>
          <w:p>
            <w:pPr>
              <w:pStyle w:val="TableContents"/>
              <w:bidi w:val="0"/>
              <w:spacing w:before="0" w:after="0"/>
              <w:ind w:left="0" w:right="0" w:hanging="0"/>
              <w:jc w:val="left"/>
              <w:rPr/>
            </w:pPr>
            <w:r>
              <w:rPr/>
              <w:t>​</w:t>
            </w:r>
          </w:p>
        </w:tc>
        <w:tc>
          <w:tcPr>
            <w:tcW w:w="2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5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Income (Loss)</w:t>
            </w:r>
          </w:p>
        </w:tc>
      </w:tr>
      <w:tr>
        <w:trPr/>
        <w:tc>
          <w:tcPr>
            <w:tcW w:w="5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4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27, 2024</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1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1605"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 </w:t>
            </w:r>
          </w:p>
        </w:tc>
        <w:tc>
          <w:tcPr>
            <w:tcW w:w="326" w:type="dxa"/>
            <w:tcBorders/>
            <w:vAlign w:val="center"/>
          </w:tcPr>
          <w:p>
            <w:pPr>
              <w:pStyle w:val="TableContents"/>
              <w:bidi w:val="0"/>
              <w:spacing w:before="0" w:after="0"/>
              <w:ind w:left="0" w:right="0" w:hanging="0"/>
              <w:jc w:val="left"/>
              <w:rPr/>
            </w:pPr>
            <w:r>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 </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0"/>
              <w:ind w:left="0" w:right="0" w:hanging="0"/>
              <w:jc w:val="left"/>
              <w:rPr/>
            </w:pPr>
            <w:r>
              <w:rPr/>
              <w:t>​</w:t>
            </w:r>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April 4, 2025</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0"/>
              <w:ind w:left="0" w:right="0" w:hanging="0"/>
              <w:jc w:val="left"/>
              <w:rPr/>
            </w:pPr>
            <w:r>
              <w:rPr/>
              <w:t>​</w:t>
            </w:r>
          </w:p>
        </w:tc>
        <w:tc>
          <w:tcPr>
            <w:tcW w:w="6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1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238 </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1605"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July 4, 2025</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CCEEFF" w:val="clear"/>
            <w:vAlign w:val="center"/>
          </w:tcPr>
          <w:p>
            <w:pPr>
              <w:pStyle w:val="TableContents"/>
              <w:bidi w:val="0"/>
              <w:spacing w:before="0" w:after="0"/>
              <w:ind w:left="0" w:right="0" w:hanging="0"/>
              <w:jc w:val="left"/>
              <w:rPr/>
            </w:pPr>
            <w:r>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914" w:name="Tc_yOqbMWWPJUCKaymutjSguQ_16_5"/>
      <w:bookmarkStart w:id="915" w:name="Tc_QNsI_ZHjK0Wv8BNAlAxh_w_16_2"/>
      <w:bookmarkStart w:id="916" w:name="Tc_GDlQZeEDdEO89pQIu0yDwQ_16_0"/>
      <w:bookmarkStart w:id="917" w:name="Tc_JhPP6xLLRk-Ujncawa4qgQ_15_0"/>
      <w:bookmarkStart w:id="918" w:name="Tc_rhlcB556y0abH-qTl2JKUg_14_0"/>
      <w:bookmarkStart w:id="919" w:name="Tc_dtGCnVTWrkmLOI22xFzY_Q_13_0"/>
      <w:bookmarkStart w:id="920" w:name="Tc_-N5OlWfVJ02G4iN-nk0uuA_12_0"/>
      <w:bookmarkStart w:id="921" w:name="Tc_SRIX1EeHFUe21GrbGsH7Ng_11_3"/>
      <w:bookmarkStart w:id="922" w:name="Tc_bldSVWkTtE2C_ZANa01uXg_11_0"/>
      <w:bookmarkStart w:id="923" w:name="Tc_lnevTX4Zc0iDZOIQdvqUCg_10_6"/>
      <w:bookmarkStart w:id="924" w:name="Tc_SHgnsH1lE0ypxc0JDwTyoA_10_3"/>
      <w:bookmarkStart w:id="925" w:name="Tc_Fq6LvfTMjUS4R7erFPWxpw_10_0"/>
      <w:bookmarkStart w:id="926" w:name="Tc_rUGg-P7l3Eutiz2Gk8WY8A_9_3"/>
      <w:bookmarkStart w:id="927" w:name="Tc_DzUv47aC0UiBRsdU8lKNug_9_0"/>
      <w:bookmarkStart w:id="928" w:name="Tc_jAhejPQJ3ESRPeCa1I0O9A_8_0"/>
      <w:bookmarkStart w:id="929" w:name="Tc_M-FOXrezgU2hyy4LF9EQdQ_7_6"/>
      <w:bookmarkStart w:id="930" w:name="Tc_ELp2V_N8v0G6WrghT4gb0w_7_3"/>
      <w:bookmarkStart w:id="931" w:name="Tc_oNH0uIFi4E6T_DNXa7UExg_7_0"/>
      <w:bookmarkStart w:id="932" w:name="Tc_aNCQidjhRE6o5wIQTx3BmA_6_6"/>
      <w:bookmarkStart w:id="933" w:name="Tc_tEkX8lgsNUKqGRHMt7fkFA_6_0"/>
      <w:bookmarkStart w:id="934" w:name="Tc_EGu89_iMZkeY_HaZdLefug_5_6"/>
      <w:bookmarkStart w:id="935" w:name="Tc_PeXhT6N3F0GAuleF__qOIg_5_5"/>
      <w:bookmarkStart w:id="936" w:name="Tc_AdG6bkgkKEWS4OO8O1ybGQ_5_2"/>
      <w:bookmarkStart w:id="937" w:name="Tc_fGb0C4H88U2XyXLLPODkWw_5_0"/>
      <w:bookmarkStart w:id="938" w:name="Tc_HwqVZmKUSUCQWGOT-MshHw_4_0"/>
      <w:bookmarkStart w:id="939" w:name="Tc_mpS6UqdFE0GjrziW-I0VBA_3_2"/>
      <w:bookmarkStart w:id="940" w:name="Tc_rkf-goueTUqP-1Dx-4ByZg_2_5"/>
      <w:bookmarkStart w:id="941" w:name="Tc_ZkIgM90d-k6QcWY-d5cGKw_2_2"/>
      <w:bookmarkStart w:id="942" w:name="Tc_P-QVfeZEWEufZN2juYUVig_1_5"/>
      <w:bookmarkStart w:id="943" w:name="Tc_RNGoRPDEb0iG6j7XQIcFyw_1_2"/>
      <w:bookmarkStart w:id="944" w:name="_312434a6_89dd_444a_a51f_21c2cb80edd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Pr>
          <w:rFonts w:ascii="Times New Roman;Times;serif" w:hAnsi="Times New Roman;Times;serif"/>
          <w:b/>
          <w:sz w:val="20"/>
        </w:rPr>
        <w:t>6.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Debt obligations, excluding obligations under finance leases (see Note 7, “</w:t>
      </w:r>
      <w:r>
        <w:rPr>
          <w:rFonts w:ascii="Times New Roman;Times;serif" w:hAnsi="Times New Roman;Times;serif"/>
          <w:i/>
          <w:sz w:val="20"/>
        </w:rPr>
        <w:t>Leases”,</w:t>
      </w:r>
      <w:r>
        <w:rPr>
          <w:rFonts w:ascii="Times New Roman;Times;serif" w:hAnsi="Times New Roman;Times;serif"/>
          <w:sz w:val="20"/>
        </w:rPr>
        <w:t xml:space="preserve"> below), consisted of the following:</w:t>
      </w:r>
    </w:p>
    <w:p>
      <w:pPr>
        <w:pStyle w:val="TextBody"/>
        <w:bidi w:val="0"/>
        <w:spacing w:before="0" w:after="0"/>
        <w:ind w:left="0" w:right="0" w:hanging="0"/>
        <w:jc w:val="left"/>
        <w:rPr/>
      </w:pPr>
      <w:r>
        <w:rPr/>
        <w:t>​</w:t>
      </w:r>
    </w:p>
    <w:tbl>
      <w:tblPr>
        <w:tblW w:w="7165" w:type="dxa"/>
        <w:jc w:val="left"/>
        <w:tblInd w:w="0" w:type="dxa"/>
        <w:tblLayout w:type="fixed"/>
        <w:tblCellMar>
          <w:top w:w="0" w:type="dxa"/>
          <w:left w:w="0" w:type="dxa"/>
          <w:bottom w:w="0" w:type="dxa"/>
          <w:right w:w="0" w:type="dxa"/>
        </w:tblCellMar>
      </w:tblPr>
      <w:tblGrid>
        <w:gridCol w:w="4486"/>
        <w:gridCol w:w="326"/>
        <w:gridCol w:w="211"/>
        <w:gridCol w:w="676"/>
        <w:gridCol w:w="326"/>
        <w:gridCol w:w="240"/>
        <w:gridCol w:w="900"/>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848610" cy="175260"/>
                      <wp:effectExtent l="0" t="0" r="0" b="0"/>
                      <wp:wrapNone/>
                      <wp:docPr id="117" name="Frame11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20"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2400" cy="175260"/>
                      <wp:effectExtent l="0" t="0" r="0" b="0"/>
                      <wp:wrapNone/>
                      <wp:docPr id="122" name="Frame12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1500" cy="175260"/>
                      <wp:effectExtent l="0" t="0" r="0" b="0"/>
                      <wp:wrapNone/>
                      <wp:docPr id="123" name="Frame12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New Credit Agreement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 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Delayed Draw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Prior Credit Agreement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90,137</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Subtotal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59,679</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89,487</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current portion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57,179</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79,350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pBdr/>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Prior Credit Agreement</w:t>
      </w:r>
    </w:p>
    <w:p>
      <w:pPr>
        <w:pStyle w:val="TextBody"/>
        <w:pBdr/>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On September 29, 2023</w:t>
      </w:r>
      <w:r>
        <w:rPr>
          <w:rFonts w:ascii="Times New Roman;Times;serif" w:hAnsi="Times New Roman;Times;serif"/>
          <w:sz w:val="24"/>
        </w:rPr>
        <w:t xml:space="preserve"> </w:t>
      </w:r>
      <w:r>
        <w:rPr>
          <w:rFonts w:ascii="Times New Roman;Times;serif" w:hAnsi="Times New Roman;Times;serif"/>
          <w:sz w:val="20"/>
        </w:rPr>
        <w:t xml:space="preserve">(the “Prior Credit Agreement Closing Date”), the Company and certain of its subsidiaries entered into a credit agreement (the “Prior Credit Agreement”) with a syndicate of financial institutions as lenders and BMO Bank, N.A. (“BMO”), as administrative agent (the “Administrative Agent”). </w:t>
      </w:r>
    </w:p>
    <w:p>
      <w:pPr>
        <w:pStyle w:val="TextBody"/>
        <w:pBdr/>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The Prior Credit Agreement provided for (i) a $100.0</w:t>
      </w:r>
      <w:r>
        <w:rPr>
          <w:rFonts w:ascii="Times New Roman;Times;serif" w:hAnsi="Times New Roman;Times;serif"/>
          <w:sz w:val="24"/>
        </w:rPr>
        <w:t> </w:t>
      </w:r>
      <w:r>
        <w:rPr>
          <w:rFonts w:ascii="Times New Roman;Times;serif" w:hAnsi="Times New Roman;Times;serif"/>
          <w:sz w:val="20"/>
        </w:rPr>
        <w:t>million term loan (the “Term Loan”) and (ii) a $50.0</w:t>
      </w:r>
      <w:r>
        <w:rPr>
          <w:rFonts w:ascii="Times New Roman;Times;serif" w:hAnsi="Times New Roman;Times;serif"/>
          <w:sz w:val="24"/>
        </w:rPr>
        <w:t> </w:t>
      </w:r>
      <w:r>
        <w:rPr>
          <w:rFonts w:ascii="Times New Roman;Times;serif" w:hAnsi="Times New Roman;Times;serif"/>
          <w:sz w:val="20"/>
        </w:rPr>
        <w:t>million revolving credit facility (the “Prior Revolving Credit Facility”, and collectively with the Term Loan, the “Prior Credit Facilities”), each maturing on September 29, 2026. The Company could also request lenders to add incremental term loans or increase the aggregate commitment under the Prior Revolving Credit Facility by an aggregate amount of up to $75.0</w:t>
      </w:r>
      <w:r>
        <w:rPr>
          <w:rFonts w:ascii="Times New Roman;Times;serif" w:hAnsi="Times New Roman;Times;serif"/>
          <w:sz w:val="24"/>
        </w:rPr>
        <w:t> </w:t>
      </w:r>
      <w:r>
        <w:rPr>
          <w:rFonts w:ascii="Times New Roman;Times;serif" w:hAnsi="Times New Roman;Times;serif"/>
          <w:sz w:val="20"/>
        </w:rPr>
        <w:t>million, subject to meeting certain conditions, and only if the lenders agreed to provide such additional term loans or revolving commitments.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Borrowings under the Prior Credit Facilities bore interest at either a Base Rate (as defined in the Prior Credit Agreement) or the adjusted Secured Overnight Financing Rate (“SOFR”), at the Company’s option, and in each case, plus an applicable margin, which applicable margin ranged from 0.75% to 2.00% with respect to Base Rate borrowings and 1.75% to 3.00% with respect to SOFR borrowings, depending on the Company’s Total Net Leverage Ratio (as defined in the Prior Credit Agreement); provided, that SOFR and the Base Rate could not be less than 0.00%, with the specific pricing reset on each date on which the Administrative Agent received the required financial statements under the Prior Credit Agreement for the fiscal quarter then ended. The Company would also pay a commitment fee for the unused portion of the Prior Revolving Credit Facility, which ranged from 0.20% to 0.40% per annum depending on the Company’s Total Net Leverage Ratio, and fees on the face amount of any letters of credit outstanding under the Prior Revolving Credit Facility, which ranged from 1.3125% to 2.25% per annum, in each case, depending on the Company’s Total Net Leverage Ratio, as well as customary fronting fees payable to BMO as letter of credit issuer. In connection with the closing of the Prior Credit Facilities, the Company paid certain other fees and expenses.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prior Term Loan amortized quarterly in an amount equal to (i) 7.5% per annum for the first year ending after the Prior Credit Agreement Closing Date and (ii) 10.0% per annum for the second and third years ending after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Credit Agreement Closing Date, with a final payment of all then remaining principal and interest due on the maturity date of September 29, 2026. The amounts outstanding under the Prior Credit Facilities could be prepaid in whole or in part at any time without penalty (other than customary breakage costs).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Willdan Group, Inc. was the borrower under the Prior Credit Agreement and its obligations under the Prior Credit Agreement were guaranteed by its present and future domestic subsidiaries (other than inactive subsidiaries). In addition, subject to certain exceptions, all such obligations were secured by substantially all of the assets of Willdan Group, Inc. and the subsidiary guarantors (other than inactive subsidiaries).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Prior Credit Agreement required compliance with financial covenants, including a maximum Net Leverage Ratio and a minimum Fixed Charge Coverage Ratio (as defined in the Prior Credit Agreement). The Prior Credit Agreement also contained customary restrictive covenants, including (i) restrictions on the incurrence of additional indebtedness and additional liens on property, (ii) restrictions on permitted acquisitions and other investments and (iii) limitations on asset sales, mergers and acquisitions. Further, the Prior Credit Agreement limited the Company’s payment of future dividends and distributions and share repurchases by the Company. Subject to certain exceptions, the borrowings under the Prior Credit Agreement were also subject to mandatory prepayment from (a) any issuances of debt or equity securities, (b) any sale or disposition of assets, (c) insurance and condemnation proceeds, and (d) a percentage of excess cash flow. The Prior Credit Agreement included customary events of default.</w:t>
      </w:r>
    </w:p>
    <w:p>
      <w:pPr>
        <w:pStyle w:val="TextBody"/>
        <w:pBdr/>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Amended and Restated Credit Agreement</w:t>
      </w:r>
    </w:p>
    <w:p>
      <w:pPr>
        <w:pStyle w:val="TextBody"/>
        <w:pBdr/>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On May 5, 2025</w:t>
      </w:r>
      <w:r>
        <w:rPr>
          <w:rFonts w:ascii="Times New Roman;Times;serif" w:hAnsi="Times New Roman;Times;serif"/>
          <w:sz w:val="24"/>
        </w:rPr>
        <w:t xml:space="preserve"> </w:t>
      </w:r>
      <w:r>
        <w:rPr>
          <w:rFonts w:ascii="Times New Roman;Times;serif" w:hAnsi="Times New Roman;Times;serif"/>
          <w:sz w:val="20"/>
        </w:rPr>
        <w:t>(the “Closing Date”), the Company entered into the Amended and Restated Credit Agreement (the “Amended and Restated Credit Agreement”) with BMO as Administrative Agent and the lenders party thereto, which amended and restated the Prior Credit Agreement. The Amended and Restated Credit Agreement, (A) increased the borrowing limit under the Prior Revolving Credit Facility to $100.0</w:t>
      </w:r>
      <w:r>
        <w:rPr>
          <w:rFonts w:ascii="Times New Roman;Times;serif" w:hAnsi="Times New Roman;Times;serif"/>
          <w:sz w:val="24"/>
        </w:rPr>
        <w:t> </w:t>
      </w:r>
      <w:r>
        <w:rPr>
          <w:rFonts w:ascii="Times New Roman;Times;serif" w:hAnsi="Times New Roman;Times;serif"/>
          <w:sz w:val="20"/>
        </w:rPr>
        <w:t>million (as amended, the “Revolving Credit Facility”), (B) reduced the Term Loan A (“TLA”) commitment to $50.0</w:t>
      </w:r>
      <w:r>
        <w:rPr>
          <w:rFonts w:ascii="Times New Roman;Times;serif" w:hAnsi="Times New Roman;Times;serif"/>
          <w:sz w:val="24"/>
        </w:rPr>
        <w:t> </w:t>
      </w:r>
      <w:r>
        <w:rPr>
          <w:rFonts w:ascii="Times New Roman;Times;serif" w:hAnsi="Times New Roman;Times;serif"/>
          <w:sz w:val="20"/>
        </w:rPr>
        <w:t>million, (C) provided a new $50.0</w:t>
      </w:r>
      <w:r>
        <w:rPr>
          <w:rFonts w:ascii="Times New Roman;Times;serif" w:hAnsi="Times New Roman;Times;serif"/>
          <w:sz w:val="24"/>
        </w:rPr>
        <w:t> </w:t>
      </w:r>
      <w:r>
        <w:rPr>
          <w:rFonts w:ascii="Times New Roman;Times;serif" w:hAnsi="Times New Roman;Times;serif"/>
          <w:sz w:val="20"/>
        </w:rPr>
        <w:t>million Delayed Draw Term Loan (the “Delayed Draw Term Loan”, and together with the Revolving Credit Facility and TLA, the “Amended and Restated Credit Facilities”), and (D) extended the maturity date of the Amended and Restated Credit Facilities to May 5, 2030. The Company may also request lenders to add incremental term loans or increase the aggregate commitment under the Revolving Credit Facility by an aggregate amount of (i) up to $75.0</w:t>
      </w:r>
      <w:r>
        <w:rPr>
          <w:rFonts w:ascii="Times New Roman;Times;serif" w:hAnsi="Times New Roman;Times;serif"/>
          <w:sz w:val="24"/>
        </w:rPr>
        <w:t> </w:t>
      </w:r>
      <w:r>
        <w:rPr>
          <w:rFonts w:ascii="Times New Roman;Times;serif" w:hAnsi="Times New Roman;Times;serif"/>
          <w:sz w:val="20"/>
        </w:rPr>
        <w:t>million or (ii) 1.0x the Company’s last twelve months (“LTM”) Adjusted EBITDA (as calculated pursuant to the Amended and Restated Credit Agreement), subject to meeting certain conditions, and only if the lenders agree to provide such additional term loans or revolving commitments.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Amended and Restated Credit Agreement, borrowings under the Amended and Restated Credit Facilities bear interest at either a Base Rate (as defined in the Amended and Restated Credit Agreement) or the adjusted SOFR, at the Company’s option, and in each case, plus an applicable margin, which applicable margin ranges from 0.50% to 1.50% with respect to Base Rate borrowings and 1.50% to 2.50% with respect to SOFR borrowings, depending on the Company’s Total Net Leverage Ratio (as defined in the Amended and Restated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0.15% to 0.35% per annum depending on the Company’s Total Net Leverage Ratio, and fees on the face amount of any letters of credit outstanding under the Revolving Credit Facility, which range from 1.125% to 1.875% per annum, in each case, depending on the Company’s Total Net Leverage Ratio, as well as customary fronting fees payable to BMO as letter of credit issuer. In connection with the closing of the Amended and Restated Credit Facilities, the Company paid certain other fees and expenses.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TLA will amortize quarterly in an amount equal to 5.0% per annum beginning with the first full fiscal quarter ending after the Amended and Restated Credit Agreement Closing Date, with a final payment of all then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0"/>
        </w:rPr>
        <w:t>remaining principal and interest due on the maturity date of May 5, 2030. Each borrowing under the Delayed Draw Term Loan will amortize in an amount equal to 5.0%</w:t>
      </w:r>
      <w:r>
        <w:rPr>
          <w:rFonts w:ascii="Times New Roman;Times;serif" w:hAnsi="Times New Roman;Times;serif"/>
          <w:sz w:val="24"/>
        </w:rPr>
        <w:t> </w:t>
      </w:r>
      <w:r>
        <w:rPr>
          <w:rFonts w:ascii="Times New Roman;Times;serif" w:hAnsi="Times New Roman;Times;serif"/>
          <w:sz w:val="20"/>
        </w:rPr>
        <w:t>per annum of the aggregate outstanding borrowings under the Delayed Draw Term Loan, beginning with the first full fiscal quarter ending after the initial borrowing date, with a final payment of all then remaining principal and interest due on the maturity date of May 5, 2030. The amounts outstanding under the Amended and Restated Credit Facilities may be prepaid in whole or in part at any time without penalty (other than customary breakage costs).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TLA issuance costs are amortized to interest expense over the term of the TLA, and as of July 4, 2025, issuance costs of $0.3 million remained unamortized. The Revolving Credit Facility issuance costs of $0.7 million are included in assets in the accompanying Condensed Consolidated Balance Sheets.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Willdan Group, Inc. is the borrower under the Amended and Restated Credit Agreement and its obligations under the Amended and Restated Credit Agreement are guaranteed by its present and future domestic subsidiaries (other than inactive subsidiaries). In addition, subject to certain exceptions, all such obligations are secured by substantially all of the assets of Willdan Group, Inc. and the subsidiary guarantors (other than inactive subsidiaries).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Amended and Restated Credit Agreement requires compliance with financial covenants, including a maximum Net Leverage Ratio and a minimum Fixed Charge Coverage Ratio (as defined in the Credit Agreement). The Amended and Restated Credit Agreement also contains customary restrictive covenants, including (i) restrictions on the incurrence of additional indebtedness and additional liens on property, (ii) restrictions on permitted acquisitions and other investments and (iii) limitations on asset sales, mergers and acquisitions. Further, the Amended and Restated Credit Agreement limits the Company’s payment of future dividends and distributions and share repurchases by the Company. Subject to certain exceptions, the borrowings under the Amended and Restated Credit Agreement are also subject to mandatory prepayment from (a) any issuances of debt or equity securities, (b) any sale or disposition of assets, (c) insurance and condemnation proceeds, and (d) a percentage of Excess Cash Flow, as defined in the Amended and Restated Credit Agreement. The Amended and Restated Credit Agreement includes customary events of default.</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July 4, 2025, the Company was in compliance with all these covenants contained in the Amended and Restated Credit Agreement. In addition, as of July 4, 2025, </w:t>
      </w:r>
      <w:r>
        <w:rPr>
          <w:rFonts w:ascii="Times New Roman;Times;serif" w:hAnsi="Times New Roman;Times;serif"/>
          <w:sz w:val="20"/>
          <w:shd w:fill="FFFFFF" w:val="clear"/>
        </w:rPr>
        <w:t>the Company’s composite interest rate, exclusive of the effects of upfront fees, undrawn fees and issuance cost amortization, was 6.2%.</w:t>
      </w:r>
    </w:p>
    <w:p>
      <w:pPr>
        <w:pStyle w:val="TextBody"/>
        <w:bidi w:val="0"/>
        <w:spacing w:before="100" w:after="100"/>
        <w:ind w:left="0" w:right="0" w:hanging="0"/>
        <w:jc w:val="left"/>
        <w:rPr/>
      </w:pPr>
      <w:r>
        <w:rPr/>
        <w:t>​</w:t>
      </w:r>
    </w:p>
    <w:p>
      <w:pPr>
        <w:pStyle w:val="TextBody"/>
        <w:bidi w:val="0"/>
        <w:spacing w:before="0" w:after="0"/>
        <w:ind w:left="0" w:right="0" w:firstLine="720"/>
        <w:jc w:val="left"/>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945" w:name="xxx"/>
      <w:bookmarkEnd w:id="945"/>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office facilities under long-term, non-cancellable operating leases that expire at various dates through 2030. In addition, the Company is obligated under finance leases for certain furniture and office equipment that expire at various dates through 2030.</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 xml:space="preserve">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eight years, some of which may include options to extend</w:t>
      </w:r>
      <w:r>
        <w:rPr>
          <w:rFonts w:ascii="Times New Roman;Times;serif" w:hAnsi="Times New Roman;Times;serif"/>
          <w:sz w:val="24"/>
        </w:rPr>
        <w:t xml:space="preserve"> </w:t>
      </w:r>
      <w:r>
        <w:rPr>
          <w:rFonts w:ascii="Times New Roman;Times;serif" w:hAnsi="Times New Roman;Times;serif"/>
          <w:sz w:val="20"/>
        </w:rPr>
        <w:t>the leases for up to five years, and some of which may include options to terminate</w:t>
      </w:r>
      <w:r>
        <w:rPr>
          <w:rFonts w:ascii="Times New Roman;Times;serif" w:hAnsi="Times New Roman;Times;serif"/>
          <w:sz w:val="24"/>
        </w:rPr>
        <w:t xml:space="preserve"> </w:t>
      </w:r>
      <w:r>
        <w:rPr>
          <w:rFonts w:ascii="Times New Roman;Times;serif" w:hAnsi="Times New Roman;Times;serif"/>
          <w:sz w:val="20"/>
        </w:rPr>
        <w:t>the leases within one year. Currently, all of the Company’s leases contain fixed payment terms. The Company may decide to cancel or terminate a lease before the end of its term, in which case the Company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July 4, 2025, the Company had no</w:t>
      </w:r>
      <w:r>
        <w:rPr>
          <w:rFonts w:ascii="Times New Roman;Times;serif" w:hAnsi="Times New Roman;Times;serif"/>
          <w:sz w:val="24"/>
        </w:rPr>
        <w:t xml:space="preserve"> </w:t>
      </w:r>
      <w:r>
        <w:rPr>
          <w:rFonts w:ascii="Times New Roman;Times;serif" w:hAnsi="Times New Roman;Times;serif"/>
          <w:sz w:val="20"/>
        </w:rPr>
        <w:t>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Financing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Right-of-use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w:t>
      </w:r>
    </w:p>
    <w:p>
      <w:pPr>
        <w:pStyle w:val="TextBody"/>
        <w:bidi w:val="0"/>
        <w:spacing w:before="100" w:after="10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946" w:name="Tc_e15_B474T068fCo8b-kong_26_7"/>
      <w:bookmarkStart w:id="947" w:name="Tc_r1l68g1ZF0GPx-Qgaoof6w_26_4"/>
      <w:bookmarkStart w:id="948" w:name="Tc_cuPCpd36b0C1CbubaCPMyA_26_0"/>
      <w:bookmarkStart w:id="949" w:name="Tc_OHZvGxtYx0egTFYJ4TnmSg_25_7"/>
      <w:bookmarkStart w:id="950" w:name="Tc_8MdZyDYCjEaCDUZH--pA8g_25_4"/>
      <w:bookmarkStart w:id="951" w:name="Tc_nfGCVbGuMkmvzTDt1Z9xJw_25_0"/>
      <w:bookmarkStart w:id="952" w:name="Tc_EdqGKvFoKUqJEq1jZVchMg_24_0"/>
      <w:bookmarkStart w:id="953" w:name="Tc_YvfeB2uHWEa54J_kA_Yh6A_22_0"/>
      <w:bookmarkStart w:id="954" w:name="Tc_1d0nX5aMR0mGfysDZ1Oa_g_21_0"/>
      <w:bookmarkStart w:id="955" w:name="Tc_hbzHEnKCX0uw8KaQC-C__g_20_0"/>
      <w:bookmarkStart w:id="956" w:name="Tc_hRE5jtgKik2U2TQzj_q1nA_18_5"/>
      <w:bookmarkStart w:id="957" w:name="Tc_2z8hxN238UymCg99-lXTQQ_18_2"/>
      <w:bookmarkStart w:id="958" w:name="Tc_BwZ3qOT3fUKpRASQuHPFVA_18_0"/>
      <w:bookmarkStart w:id="959" w:name="Tc_plwMQ1u1gUGBfAbiE-lFxQ_17_0"/>
      <w:bookmarkStart w:id="960" w:name="Tc_skUPLJDg60mxAssWRtqXRQ_16_5"/>
      <w:bookmarkStart w:id="961" w:name="Tc_x_CgfE0m7UqOQOVT-x3dyQ_16_2"/>
      <w:bookmarkStart w:id="962" w:name="Tc_x0TyFK4rR0KK13Ka_re28g_16_0"/>
      <w:bookmarkStart w:id="963" w:name="Tc_Dgg4Jm9Gf0Cc1oyvwS34wg_14_5"/>
      <w:bookmarkStart w:id="964" w:name="Tc_2Vcv0ncWn0-3qJqQ2vVuog_14_2"/>
      <w:bookmarkStart w:id="965" w:name="Tc_lpORmTN5iUeClHDzGs6FqQ_13_0"/>
      <w:bookmarkStart w:id="966" w:name="Tc_gKOpkI8xCEOUfFLOFhE22Q_12_5"/>
      <w:bookmarkStart w:id="967" w:name="Tc_AG2B9Iy8pEWTnKGYsnE7Rg_12_2"/>
      <w:bookmarkStart w:id="968" w:name="Tc_wN9UkUkmOUG_kFdQA1vdSg_12_0"/>
      <w:bookmarkStart w:id="969" w:name="Tc_eGORXU_JKkGI_-J_9bOoqA_11_0"/>
      <w:bookmarkStart w:id="970" w:name="Tc_2AAxxJtLGUW1jf83GzX5Hg_9_5"/>
      <w:bookmarkStart w:id="971" w:name="Tc_aDdYJakwGEykR856E7iuFw_9_2"/>
      <w:bookmarkStart w:id="972" w:name="Tc_gXX5-Uv4ukmy0slao1Aj4w_9_0"/>
      <w:bookmarkStart w:id="973" w:name="Tc_gjltc4rzyUKu81d1hce45g_8_0"/>
      <w:bookmarkStart w:id="974" w:name="Tc_GXsCz0LPikeq3Q8fpKLl8A_7_5"/>
      <w:bookmarkStart w:id="975" w:name="Tc_Jw5g7u7p7UWNxjiz3yTgFA_7_2"/>
      <w:bookmarkStart w:id="976" w:name="Tc_e-wJd_F0gESw8eITSK03sA_7_0"/>
      <w:bookmarkStart w:id="977" w:name="Tc_mNRBo42GB0GAx1OehV__Tw_5_5"/>
      <w:bookmarkStart w:id="978" w:name="Tc_GYUK3EEUo0iSJRZbjsbhdw_5_2"/>
      <w:bookmarkStart w:id="979" w:name="Tc_18n8J2tLUEaXZsiQzwm2sw_5_0"/>
      <w:bookmarkStart w:id="980" w:name="Tc_YwxzduOUkU69nRPHaXRuWg_4_0"/>
      <w:bookmarkStart w:id="981" w:name="Tc_k9y5DzJmzU-PfC1L7-lKFg_3_2"/>
      <w:bookmarkStart w:id="982" w:name="Tc_oGrcgoFAiEODA3O91UtruQ_2_5"/>
      <w:bookmarkStart w:id="983" w:name="Tc_8evocf61D0-cQozfo7zU5w_2_2"/>
      <w:bookmarkStart w:id="984" w:name="Tc_yUF04tFOykiqJrXFMNq8jg_1_5"/>
      <w:bookmarkStart w:id="985" w:name="Tc_cn-Su67E30m2qMHpXcv1Gw_1_2"/>
      <w:bookmarkStart w:id="986" w:name="_5c1f5a99_fb42_44fe_9155_061cb791ebd0"/>
      <w:bookmarkStart w:id="987" w:name="Tc_jz9l3JxLxU-AL5FDBs5zZg_10_10"/>
      <w:bookmarkStart w:id="988" w:name="Tc_H8u4k-HvPkecdyShcc_GVA_10_7"/>
      <w:bookmarkStart w:id="989" w:name="Tc_fQnPxZt7GUiPvsC6A8Tb2Q_10_4"/>
      <w:bookmarkStart w:id="990" w:name="Tc_DQOJcKA4ek-Bw8Vcoo6HfA_10_1"/>
      <w:bookmarkStart w:id="991" w:name="Tc_xbX2fuTWpE6M2vLmsXtvKA_10_0"/>
      <w:bookmarkStart w:id="992" w:name="Tc_w05BmtsecEuHpY4oYQ6QvQ_9_0"/>
      <w:bookmarkStart w:id="993" w:name="Tc_3qBIfcEre0CvkQj7ajDIIA_8_0"/>
      <w:bookmarkStart w:id="994" w:name="Tc_dNfWANdfiU-jAJHj5CurDA_7_0"/>
      <w:bookmarkStart w:id="995" w:name="Tc_qdqYk-WbvUOjB8DvVBnO-g_6_0"/>
      <w:bookmarkStart w:id="996" w:name="Tc_9oETTgmrfUSEgsBJV4s2aA_5_10"/>
      <w:bookmarkStart w:id="997" w:name="Tc_3BTi4lYJmkWn0adkANQgpw_5_7"/>
      <w:bookmarkStart w:id="998" w:name="Tc_HTexxhQ6xUSZOwGDzonvLw_5_4"/>
      <w:bookmarkStart w:id="999" w:name="Tc_TEYCpmlyBEaIFsG-IGD8_g_5_1"/>
      <w:bookmarkStart w:id="1000" w:name="Tc_gx2rfSIExUmaOUi-YQK0VQ_5_0"/>
      <w:bookmarkStart w:id="1001" w:name="Tc_JMmVjxyMK0-aKvbExysXTw_4_7"/>
      <w:bookmarkStart w:id="1002" w:name="Tc__M-KwUxSyk-XjJAKOaZPuQ_4_1"/>
      <w:bookmarkStart w:id="1003" w:name="Tc_p80aIAvsgE2g5hAYZNEcZQ_3_10"/>
      <w:bookmarkStart w:id="1004" w:name="Tc_3kDL9bpS0ke-WbU7Ld524g_3_7"/>
      <w:bookmarkStart w:id="1005" w:name="Tc_AxRw2D3eLE2Y_M8yhWIyzw_3_4"/>
      <w:bookmarkStart w:id="1006" w:name="Tc_s1MeIbfo30idLs90Dt3RWw_3_1"/>
      <w:bookmarkStart w:id="1007" w:name="Tc_prInuYg29kildy5bPJfaFg_2_10"/>
      <w:bookmarkStart w:id="1008" w:name="Tc_7FMiaTgscUaAnYGyLsjeXA_2_7"/>
      <w:bookmarkStart w:id="1009" w:name="Tc_koTLvVYs0UCZmp2fuShYhA_2_4"/>
      <w:bookmarkStart w:id="1010" w:name="Tc_P_cN4whsLUeR_uX059XWZQ_2_1"/>
      <w:bookmarkStart w:id="1011" w:name="Tc_xqp29q0mQEWaW_Nn55voPA_1_7"/>
      <w:bookmarkStart w:id="1012" w:name="Tc_ivHOR7bjAkeFV0H5fsl31w_1_1"/>
      <w:bookmarkStart w:id="1013" w:name="_9ee4b882_7b2c_4a23_9a8c_86e8929a3c68"/>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Pr>
          <w:rFonts w:ascii="Times New Roman;Times;serif" w:hAnsi="Times New Roman;Times;serif"/>
          <w:sz w:val="20"/>
        </w:rPr>
        <w:t>The following is a summary of the Company’s lease expense:</w:t>
      </w:r>
    </w:p>
    <w:p>
      <w:pPr>
        <w:pStyle w:val="TextBody"/>
        <w:bidi w:val="0"/>
        <w:spacing w:before="0" w:after="0"/>
        <w:ind w:left="0" w:right="0" w:firstLine="720"/>
        <w:jc w:val="left"/>
        <w:rPr/>
      </w:pPr>
      <w:r>
        <w:rPr/>
        <w:t>​</w:t>
      </w:r>
    </w:p>
    <w:tbl>
      <w:tblPr>
        <w:tblW w:w="6472" w:type="dxa"/>
        <w:jc w:val="left"/>
        <w:tblInd w:w="0" w:type="dxa"/>
        <w:tblLayout w:type="fixed"/>
        <w:tblCellMar>
          <w:top w:w="0" w:type="dxa"/>
          <w:left w:w="0" w:type="dxa"/>
          <w:bottom w:w="0" w:type="dxa"/>
          <w:right w:w="0" w:type="dxa"/>
        </w:tblCellMar>
      </w:tblPr>
      <w:tblGrid>
        <w:gridCol w:w="2251"/>
        <w:gridCol w:w="211"/>
        <w:gridCol w:w="571"/>
        <w:gridCol w:w="326"/>
        <w:gridCol w:w="211"/>
        <w:gridCol w:w="571"/>
        <w:gridCol w:w="326"/>
        <w:gridCol w:w="211"/>
        <w:gridCol w:w="571"/>
        <w:gridCol w:w="326"/>
        <w:gridCol w:w="211"/>
        <w:gridCol w:w="68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29385" cy="175260"/>
                      <wp:effectExtent l="0" t="0" r="0" b="0"/>
                      <wp:wrapNone/>
                      <wp:docPr id="124" name="Frame124"/>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585" cy="175260"/>
                      <wp:effectExtent l="0" t="0" r="0" b="0"/>
                      <wp:wrapNone/>
                      <wp:docPr id="126" name="Frame1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2585" cy="175260"/>
                      <wp:effectExtent l="0" t="0" r="0" b="0"/>
                      <wp:wrapNone/>
                      <wp:docPr id="129" name="Frame1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2585" cy="175260"/>
                      <wp:effectExtent l="0" t="0" r="0" b="0"/>
                      <wp:wrapNone/>
                      <wp:docPr id="132"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5610" cy="175260"/>
                      <wp:effectExtent l="0" t="0" r="0" b="0"/>
                      <wp:wrapNone/>
                      <wp:docPr id="135" name="Frame13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251"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225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51"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20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assets</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lease cost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lease information presented on the Company’s consolidated balance sheet:</w:t>
      </w:r>
    </w:p>
    <w:p>
      <w:pPr>
        <w:pStyle w:val="TextBody"/>
        <w:bidi w:val="0"/>
        <w:spacing w:before="0" w:after="0"/>
        <w:ind w:left="0" w:right="0" w:firstLine="720"/>
        <w:jc w:val="left"/>
        <w:rPr/>
      </w:pPr>
      <w:r>
        <w:rPr/>
        <w:t>​</w:t>
      </w:r>
    </w:p>
    <w:tbl>
      <w:tblPr>
        <w:tblW w:w="8824" w:type="dxa"/>
        <w:jc w:val="left"/>
        <w:tblInd w:w="0" w:type="dxa"/>
        <w:tblLayout w:type="fixed"/>
        <w:tblCellMar>
          <w:top w:w="0" w:type="dxa"/>
          <w:left w:w="0" w:type="dxa"/>
          <w:bottom w:w="0" w:type="dxa"/>
          <w:right w:w="0" w:type="dxa"/>
        </w:tblCellMar>
      </w:tblPr>
      <w:tblGrid>
        <w:gridCol w:w="6076"/>
        <w:gridCol w:w="109"/>
        <w:gridCol w:w="211"/>
        <w:gridCol w:w="691"/>
        <w:gridCol w:w="326"/>
        <w:gridCol w:w="256"/>
        <w:gridCol w:w="839"/>
        <w:gridCol w:w="316"/>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858260" cy="175260"/>
                      <wp:effectExtent l="0" t="0" r="0" b="0"/>
                      <wp:wrapNone/>
                      <wp:docPr id="136" name="Frame136"/>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39" name="Frame1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2560" cy="175260"/>
                      <wp:effectExtent l="0" t="0" r="0" b="0"/>
                      <wp:wrapNone/>
                      <wp:docPr id="141" name="Frame14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32765" cy="175260"/>
                      <wp:effectExtent l="0" t="0" r="0" b="0"/>
                      <wp:wrapNone/>
                      <wp:docPr id="142" name="Frame14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0660" cy="175260"/>
                      <wp:effectExtent l="0" t="0" r="0" b="0"/>
                      <wp:wrapNone/>
                      <wp:docPr id="143" name="Frame1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11,044</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5,804</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7,474</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9,939</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13,197</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15,743</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 (included in 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7,231</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7,052</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(4,709)</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 less current portion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Rent expense was $1.7 million and $3.5 million for the three and six months ended July 4, 2025 respectively, as compared to $1.8 million and $3.5 million for the three and six months ended June 28,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014" w:name="Tc_yMQhEHP0b0ybt5XQwT04FA_14_5"/>
      <w:bookmarkStart w:id="1015" w:name="Tc_75AV1VtDLEWwh443rBDwyA_14_2"/>
      <w:bookmarkStart w:id="1016" w:name="Tc_GrOfmPoDAU-DysCXjMvmiQ_14_0"/>
      <w:bookmarkStart w:id="1017" w:name="Tc_yCFTBnEHv0iS6HoirfvS5Q_13_0"/>
      <w:bookmarkStart w:id="1018" w:name="Tc_cO3ajYE0dUa8HGgPwLHIoA_12_0"/>
      <w:bookmarkStart w:id="1019" w:name="Tc_I0bQ1ydQDUKso_c3OM3_Iw_11_0"/>
      <w:bookmarkStart w:id="1020" w:name="Tc_dVviu0gliUqY2NjOzNyFBw_10_0"/>
      <w:bookmarkStart w:id="1021" w:name="Tc_VyR6jvXH0ESC0UHHDqKvLg_9_0"/>
      <w:bookmarkStart w:id="1022" w:name="Tc_PnGK_VgKvUStw5lCMyP5mA_8_0"/>
      <w:bookmarkStart w:id="1023" w:name="Tc_0EdsWW6YoEaRsBL--apqzw_7_0"/>
      <w:bookmarkStart w:id="1024" w:name="Tc_jxXlVPvq_EurmnnqPGux4Q_6_0"/>
      <w:bookmarkStart w:id="1025" w:name="Tc_c2EufzipPUGzN9ud6vXZbw_5_0"/>
      <w:bookmarkStart w:id="1026" w:name="Tc_U7rPlcq0_ESck4kqLIlujA_4_5"/>
      <w:bookmarkStart w:id="1027" w:name="Tc_IHXRWianjE6w5GIjjo7L_g_4_2"/>
      <w:bookmarkStart w:id="1028" w:name="Tc_1wnHl6Ud5ES11ELRD12uQA_4_0"/>
      <w:bookmarkStart w:id="1029" w:name="Tc_kcIZMiohkUepGNguAFnwGA_3_0"/>
      <w:bookmarkStart w:id="1030" w:name="Tc_e4xjPds3TE67-LzPi0TT4w_2_2"/>
      <w:bookmarkStart w:id="1031" w:name="Tc_u5sWr0kdxkGNh68xAQPntA_1_5"/>
      <w:bookmarkStart w:id="1032" w:name="Tc_QJKvWdJO2USNEo6g4jNlgg_1_2"/>
      <w:bookmarkStart w:id="1033" w:name="_1e3a943f_a13e_4b2f_85fa_69288b81f6cd"/>
      <w:bookmarkStart w:id="1034" w:name="Tc_qjqoR8_KUUmeljh5b_kqbw_11_5"/>
      <w:bookmarkStart w:id="1035" w:name="Tc_kj7ODs8C-E22fd9CH1lJhQ_11_2"/>
      <w:bookmarkStart w:id="1036" w:name="Tc_x5czNpBsV0SJbeZe5lFDlQ_11_0"/>
      <w:bookmarkStart w:id="1037" w:name="Tc_uF6nMbHPVEGOT5lONNlILA_10_0"/>
      <w:bookmarkStart w:id="1038" w:name="Tc_pWwcRz3C5EGzYhxvra75ow_8_0"/>
      <w:bookmarkStart w:id="1039" w:name="Tc_zTvuWZ-zukmAIzBfgVC4hA_7_0"/>
      <w:bookmarkStart w:id="1040" w:name="Tc_a19Y1dxQUku4awG01hOJnQ_6_5"/>
      <w:bookmarkStart w:id="1041" w:name="Tc_gkeUlfcaV0KxaQ1b9cq8jg_6_2"/>
      <w:bookmarkStart w:id="1042" w:name="Tc_fUFeaIjErESS0C3mscN90w_6_0"/>
      <w:bookmarkStart w:id="1043" w:name="Tc_Wur5iHUNX0SEm2mcCaFekQ_5_0"/>
      <w:bookmarkStart w:id="1044" w:name="Tc_KC4lgD_810-TPEnX5C1JZg_4_2"/>
      <w:bookmarkStart w:id="1045" w:name="Tc_xa2q7xt-a0q9XoJ4iEDXKQ_3_5"/>
      <w:bookmarkStart w:id="1046" w:name="Tc_6nRftfDy-UqPxPVgYVs7sA_3_2"/>
      <w:bookmarkStart w:id="1047" w:name="Tc_TT_3X2TaD0OdgiSVo4rozw_2_5"/>
      <w:bookmarkStart w:id="1048" w:name="Tc_Jy01BfR-o0-Y3PpP5ZkhBg_2_2"/>
      <w:bookmarkStart w:id="1049" w:name="Tc_sskZIA2Xk0C65hj1_gW-OQ_1_2"/>
      <w:bookmarkStart w:id="1050" w:name="_49b25e5b_8c25_4169_902e_110e24caa58e"/>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rPr>
          <w:rFonts w:ascii="Times New Roman;Times;serif" w:hAnsi="Times New Roman;Times;serif"/>
          <w:sz w:val="20"/>
        </w:rPr>
        <w:t xml:space="preserve">The following is a summary of other information and supplemental cash flow information related to finance and operating leases: </w:t>
      </w:r>
    </w:p>
    <w:p>
      <w:pPr>
        <w:pStyle w:val="TextBody"/>
        <w:bidi w:val="0"/>
        <w:spacing w:before="0" w:after="0"/>
        <w:ind w:left="0" w:right="0" w:hanging="0"/>
        <w:jc w:val="left"/>
        <w:rPr/>
      </w:pPr>
      <w:r>
        <w:rPr/>
        <w:t>​</w:t>
      </w:r>
    </w:p>
    <w:tbl>
      <w:tblPr>
        <w:tblW w:w="7980" w:type="dxa"/>
        <w:jc w:val="left"/>
        <w:tblInd w:w="0" w:type="dxa"/>
        <w:tblLayout w:type="fixed"/>
        <w:tblCellMar>
          <w:top w:w="0" w:type="dxa"/>
          <w:left w:w="0" w:type="dxa"/>
          <w:bottom w:w="0" w:type="dxa"/>
          <w:right w:w="0" w:type="dxa"/>
        </w:tblCellMar>
      </w:tblPr>
      <w:tblGrid>
        <w:gridCol w:w="5866"/>
        <w:gridCol w:w="109"/>
        <w:gridCol w:w="211"/>
        <w:gridCol w:w="571"/>
        <w:gridCol w:w="326"/>
        <w:gridCol w:w="211"/>
        <w:gridCol w:w="68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724910" cy="175260"/>
                      <wp:effectExtent l="0" t="0" r="0" b="0"/>
                      <wp:wrapNone/>
                      <wp:docPr id="144" name="Frame144"/>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260"/>
                      <wp:effectExtent l="0" t="0" r="0" b="0"/>
                      <wp:wrapNone/>
                      <wp:docPr id="147" name="Frame1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5610" cy="175260"/>
                      <wp:effectExtent l="0" t="0" r="0" b="0"/>
                      <wp:wrapNone/>
                      <wp:docPr id="150" name="Frame15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 from finance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the Company’s maturities of lease liabilities as of July 4, 2025:</w:t>
      </w:r>
    </w:p>
    <w:p>
      <w:pPr>
        <w:pStyle w:val="TextBody"/>
        <w:bidi w:val="0"/>
        <w:spacing w:before="100" w:after="100"/>
        <w:ind w:left="0" w:right="0" w:firstLine="720"/>
        <w:jc w:val="left"/>
        <w:rPr/>
      </w:pPr>
      <w:r>
        <w:rPr/>
        <w:t>​</w:t>
      </w:r>
    </w:p>
    <w:tbl>
      <w:tblPr>
        <w:tblW w:w="4988" w:type="dxa"/>
        <w:jc w:val="left"/>
        <w:tblInd w:w="0" w:type="dxa"/>
        <w:tblLayout w:type="fixed"/>
        <w:tblCellMar>
          <w:top w:w="0" w:type="dxa"/>
          <w:left w:w="0" w:type="dxa"/>
          <w:bottom w:w="0" w:type="dxa"/>
          <w:right w:w="0" w:type="dxa"/>
        </w:tblCellMar>
      </w:tblPr>
      <w:tblGrid>
        <w:gridCol w:w="2461"/>
        <w:gridCol w:w="326"/>
        <w:gridCol w:w="211"/>
        <w:gridCol w:w="691"/>
        <w:gridCol w:w="326"/>
        <w:gridCol w:w="211"/>
        <w:gridCol w:w="57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62735" cy="175895"/>
                      <wp:effectExtent l="0" t="0" r="0" b="0"/>
                      <wp:wrapNone/>
                      <wp:docPr id="151" name="Frame151"/>
                      <a:graphic xmlns:a="http://schemas.openxmlformats.org/drawingml/2006/main">
                        <a:graphicData uri="http://schemas.microsoft.com/office/word/2010/wordprocessingShape">
                          <wps:wsp>
                            <wps:cNvSpPr txBox="1"/>
                            <wps:spPr>
                              <a:xfrm>
                                <a:off x="0" y="0"/>
                                <a:ext cx="156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895"/>
                      <wp:effectExtent l="0" t="0" r="0" b="0"/>
                      <wp:wrapNone/>
                      <wp:docPr id="152" name="Frame15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895"/>
                      <wp:effectExtent l="0" t="0" r="0" b="0"/>
                      <wp:wrapNone/>
                      <wp:docPr id="153" name="Frame15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8785" cy="175895"/>
                      <wp:effectExtent l="0" t="0" r="0" b="0"/>
                      <wp:wrapNone/>
                      <wp:docPr id="154" name="Frame154"/>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895"/>
                      <wp:effectExtent l="0" t="0" r="0" b="0"/>
                      <wp:wrapNone/>
                      <wp:docPr id="155" name="Frame15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895"/>
                      <wp:effectExtent l="0" t="0" r="0" b="0"/>
                      <wp:wrapNone/>
                      <wp:docPr id="156" name="Frame15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62585" cy="175895"/>
                      <wp:effectExtent l="0" t="0" r="0" b="0"/>
                      <wp:wrapNone/>
                      <wp:docPr id="157" name="Frame157"/>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1285" cy="175895"/>
                      <wp:effectExtent l="0" t="0" r="0" b="0"/>
                      <wp:wrapNone/>
                      <wp:docPr id="158" name="Frame15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91" w:type="dxa"/>
            <w:tcBorders/>
            <w:vAlign w:val="center"/>
          </w:tcPr>
          <w:p>
            <w:pPr>
              <w:pStyle w:val="TableContents"/>
              <w:bidi w:val="0"/>
              <w:spacing w:before="1" w:after="1"/>
              <w:ind w:left="0" w:right="0" w:hanging="0"/>
              <w:jc w:val="center"/>
              <w:rPr/>
            </w:pPr>
            <w:r>
              <w:rPr/>
              <w:t> </w: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01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1" w:after="1"/>
              <w:ind w:left="0" w:right="0" w:hanging="0"/>
              <w:jc w:val="center"/>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3,280</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748</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5,700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1,231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3,132</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696</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1,776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14,649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2,828</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(1,452)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13,197</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2,635</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Current obligations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5,723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1,259</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7,474</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1,376</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100" w:after="1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VARIABLE INTEREST ENTITIES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Employee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qualified profit sharing plan pursuant to Code Section 401(a) and </w:t>
      </w:r>
      <w:r>
        <w:rPr>
          <w:rFonts w:ascii="Times New Roman;Times;serif" w:hAnsi="Times New Roman;Times;serif"/>
          <w:b w:val="false"/>
          <w:i w:val="false"/>
          <w:caps w:val="false"/>
          <w:smallCaps w:val="false"/>
          <w:sz w:val="20"/>
        </w:rPr>
        <w:t>qualified</w:t>
      </w:r>
      <w:r>
        <w:rPr>
          <w:rFonts w:ascii="Times New Roman;Times;serif" w:hAnsi="Times New Roman;Times;serif"/>
          <w:sz w:val="20"/>
        </w:rPr>
        <w:t xml:space="preserve">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and subject to a maximum of $3,000 per employee. Under the Plan, the Company may make discretionary contributions to employee accounts.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July 4, 2025 and June 28, 2024, the Company made matching contributions of $2.0 million and </w:t>
      </w:r>
      <w:r>
        <w:rPr>
          <w:rFonts w:ascii="Times New Roman;Times;serif" w:hAnsi="Times New Roman;Times;serif"/>
          <w:sz w:val="20"/>
          <w:shd w:fill="FFFFFF" w:val="clear"/>
        </w:rPr>
        <w:t>$1.7 million, respectively.</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March 4, 2016, the Company and the Company’s wholly-owned subsidiary, Willdan Energy Solutions, Inc. (“WES”), acquired substantially all of the assets of Genesys Engineering, P.C.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variable interest entity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July 4, 2025, the Company had one VIE — Genesys.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051" w:name="Tc_vmgxjbiOgE-YDt8IkNx_QA_29_0"/>
      <w:bookmarkStart w:id="1052" w:name="Tc_birWGNm4bkurdHy6r9iXgQ_28_12"/>
      <w:bookmarkStart w:id="1053" w:name="Tc_2fwz97ETLkaQrEvjW_pmXw_28_0"/>
      <w:bookmarkStart w:id="1054" w:name="Tc_E5G0pXgF50ulcsNXntt_sg_27_12"/>
      <w:bookmarkStart w:id="1055" w:name="Tc_RHyr74ykSkK9iRJCHPH_Dg_27_0"/>
      <w:bookmarkStart w:id="1056" w:name="Tc_iLOIHJaWQU-40t1XlGllKw_26_12"/>
      <w:bookmarkStart w:id="1057" w:name="Tc_ZRCgMMpLJk6vC_YbQK0NMQ_26_0"/>
      <w:bookmarkStart w:id="1058" w:name="Tc_zk5UiGIetEyEFaXEHgjPvA_25_12"/>
      <w:bookmarkStart w:id="1059" w:name="Tc_-lQ90ZQBOEWPqrC1EhGsWQ_25_9"/>
      <w:bookmarkStart w:id="1060" w:name="Tc_Br8dtbeYFUa01ccaRsmKVQ_25_0"/>
      <w:bookmarkStart w:id="1061" w:name="Tc_TtGAmY9CUkKFrFUyt7NxaQ_24_12"/>
      <w:bookmarkStart w:id="1062" w:name="Tc_sGKboGPyxEeq9ziv8gzmXA_24_6"/>
      <w:bookmarkStart w:id="1063" w:name="Tc_ic4C1eifQUWSYMHzEhuKYw_24_3"/>
      <w:bookmarkStart w:id="1064" w:name="Tc_v7pDGdG7Hk-uSiEc-oba0g_24_0"/>
      <w:bookmarkStart w:id="1065" w:name="Tc_Hv0WqP4nPU-oWs8SB6RoIQ_23_12"/>
      <w:bookmarkStart w:id="1066" w:name="Tc_SZ2XwySYmkuR5eqA_B4c4Q_23_0"/>
      <w:bookmarkStart w:id="1067" w:name="Tc_M0AwvfjbNEioYaz53CUQlw_22_12"/>
      <w:bookmarkStart w:id="1068" w:name="Tc_mOpGDZdvAEicXnyeQyOtHw_22_0"/>
      <w:bookmarkStart w:id="1069" w:name="Tc_rUdNQOakE0a0-9prQIrehQ_21_12"/>
      <w:bookmarkStart w:id="1070" w:name="Tc_REMMHvv1YUWqT3N6XJ2blg_21_9"/>
      <w:bookmarkStart w:id="1071" w:name="Tc_q8noP6WKZUeEa-GMfyyHlQ_21_0"/>
      <w:bookmarkStart w:id="1072" w:name="Tc_JtQ06_fDpkSeFugfmsr1wQ_20_12"/>
      <w:bookmarkStart w:id="1073" w:name="Tc_2wCO8dLbTkyuCCevGRYlSg_20_9"/>
      <w:bookmarkStart w:id="1074" w:name="Tc_7YGIKoXutkmY31k7d4IjBg_20_0"/>
      <w:bookmarkStart w:id="1075" w:name="Tc_tWWSMc2zEkOQ8iKEk-f36Q_19_12"/>
      <w:bookmarkStart w:id="1076" w:name="Tc_olMa84UC50u_mAV22jaOnQ_19_9"/>
      <w:bookmarkStart w:id="1077" w:name="Tc_d6728oYN7k6iVd-GpZdbbw_19_0"/>
      <w:bookmarkStart w:id="1078" w:name="Tc_gmX44x-qBUGU5j1c2iQObQ_18_14"/>
      <w:bookmarkStart w:id="1079" w:name="Tc_cT8rioM420eiEeW8n4LEJg_18_12"/>
      <w:bookmarkStart w:id="1080" w:name="Tc_3sPMeGe_DUyvajDVyCDeFQ_18_11"/>
      <w:bookmarkStart w:id="1081" w:name="Tc_nbplV5Z5SkakDNnuHnpb3w_18_9"/>
      <w:bookmarkStart w:id="1082" w:name="Tc_mkln4kkduEqhkvc3NzuvBA_18_8"/>
      <w:bookmarkStart w:id="1083" w:name="Tc_apN03hvlrkyIx_IkQIZVnQ_18_5"/>
      <w:bookmarkStart w:id="1084" w:name="Tc_ssstBbbc202THp_qE61Juw_18_2"/>
      <w:bookmarkStart w:id="1085" w:name="Tc_6vec-SqPq0q3J4xlBMJUvQ_18_0"/>
      <w:bookmarkStart w:id="1086" w:name="Tc_4yCtsbF4uEGGTa4c5M7zKg_17_0"/>
      <w:bookmarkStart w:id="1087" w:name="Tc_8MbPFvYXrEOi2Swn4HyCZA_16_0"/>
      <w:bookmarkStart w:id="1088" w:name="Tc_NAujjeAHeEW5zKpYp8qrAw_15_12"/>
      <w:bookmarkStart w:id="1089" w:name="Tc_sEbL4fZGdEWbliR1cc03aw_15_0"/>
      <w:bookmarkStart w:id="1090" w:name="Tc_wYaP_0blDUa-GfWOXvebww_14_12"/>
      <w:bookmarkStart w:id="1091" w:name="Tc_ENL0TldTPEucekVT6vmGtQ_14_0"/>
      <w:bookmarkStart w:id="1092" w:name="Tc__IpPABDSoki0FN3qNC9yGw_13_12"/>
      <w:bookmarkStart w:id="1093" w:name="Tc_yQ8UfhMrx0yk5_Y7_scDjQ_13_0"/>
      <w:bookmarkStart w:id="1094" w:name="Tc_3zKZ-DUYGUWk3f_FMI_KFQ_12_12"/>
      <w:bookmarkStart w:id="1095" w:name="Tc_MXc_8A4tuU2nthmZXEOLcg_12_9"/>
      <w:bookmarkStart w:id="1096" w:name="Tc_7yAdvsFMYUS09IjQ-buvnw_12_0"/>
      <w:bookmarkStart w:id="1097" w:name="Tc_2C6Fo9L7tkaqjqUtSFcOvQ_11_12"/>
      <w:bookmarkStart w:id="1098" w:name="Tc_GBnqwPIClESZhMUTywed6A_11_6"/>
      <w:bookmarkStart w:id="1099" w:name="Tc_eiyBRGg4N0aKfY3iVbB6Qg_11_3"/>
      <w:bookmarkStart w:id="1100" w:name="Tc_1aRtvZ5m3UuhMRYkGf1uZA_11_0"/>
      <w:bookmarkStart w:id="1101" w:name="Tc_6bvRvbGzfUqbXqYGz593iQ_10_12"/>
      <w:bookmarkStart w:id="1102" w:name="Tc_UGvxVFfYgU2EqVVqaE5UiQ_10_0"/>
      <w:bookmarkStart w:id="1103" w:name="Tc_ZBqCL2aLM0qKE3UoCy_tqA_9_12"/>
      <w:bookmarkStart w:id="1104" w:name="Tc_gO_05pvSDEC0vfd4QH0Kug_9_0"/>
      <w:bookmarkStart w:id="1105" w:name="Tc_fRSJyfZ5Z0ahYr8g7rbKrQ_8_12"/>
      <w:bookmarkStart w:id="1106" w:name="Tc_XS7in-MkiEeYAts1V2E78w_8_9"/>
      <w:bookmarkStart w:id="1107" w:name="Tc_M5RDh64swUeGrsT8ltMUzQ_8_0"/>
      <w:bookmarkStart w:id="1108" w:name="Tc_z0JQNBG8nUaG4UVWEKXi2A_7_12"/>
      <w:bookmarkStart w:id="1109" w:name="Tc_9qmjG445JU624ZQ-qyFAPA_7_9"/>
      <w:bookmarkStart w:id="1110" w:name="Tc_2rU9o4q240yjryWmvuIbQw_7_0"/>
      <w:bookmarkStart w:id="1111" w:name="Tc_zZOMVudIyESlg2rnh-1Lbw_6_12"/>
      <w:bookmarkStart w:id="1112" w:name="Tc_y4sYVTfZDEmNFhprCawsdw_6_9"/>
      <w:bookmarkStart w:id="1113" w:name="Tc_EMKIbTfrHESUUQ0raYFkMA_6_0"/>
      <w:bookmarkStart w:id="1114" w:name="Tc_sW83zLne_EqcEKuUG3acWw_5_14"/>
      <w:bookmarkStart w:id="1115" w:name="Tc_78zuuEmVikKQIPB9IYpc6w_5_12"/>
      <w:bookmarkStart w:id="1116" w:name="Tc_b2pfJzcA-kCBNIfn-K3XoQ_5_11"/>
      <w:bookmarkStart w:id="1117" w:name="Tc_kGi9hgPhQUqRI8LxVop3aA_5_9"/>
      <w:bookmarkStart w:id="1118" w:name="Tc_BJ7sRjkGb0GeA3xKNZT4LQ_5_8"/>
      <w:bookmarkStart w:id="1119" w:name="Tc_Q8vObtLlKU-DI0Ys-XEDjw_5_5"/>
      <w:bookmarkStart w:id="1120" w:name="Tc_EyD8-LnEqEeiP9oBrWMcPQ_5_2"/>
      <w:bookmarkStart w:id="1121" w:name="Tc_TH2vj6XT5k6qql9_-tVioA_5_0"/>
      <w:bookmarkStart w:id="1122" w:name="Tc_yNEsw8u1hUGp733aiuxT-A_4_0"/>
      <w:bookmarkStart w:id="1123" w:name="Tc_chtDZtRag02lDMEdEwcuew_3_2"/>
      <w:bookmarkStart w:id="1124" w:name="Tc_VN1JsgZH6EeLx5Yp8T_sfQ_2_14"/>
      <w:bookmarkStart w:id="1125" w:name="Tc_zWXs5k1TqUqpeaKZqK3LNg_2_11"/>
      <w:bookmarkStart w:id="1126" w:name="Tc_Xkq-aLQjgkOmE6K5h58KCA_2_8"/>
      <w:bookmarkStart w:id="1127" w:name="Tc_zKLU0smloEe-OhWfkI3mMQ_2_5"/>
      <w:bookmarkStart w:id="1128" w:name="Tc_okUAN1tuwkGRCLGmUL3QDA_2_2"/>
      <w:bookmarkStart w:id="1129" w:name="Tc_lsg5AaGmV06DgpYkhIeurg_1_14"/>
      <w:bookmarkStart w:id="1130" w:name="Tc_6WJEFIl7gUS4F_Qd0PiiMQ_1_8"/>
      <w:bookmarkStart w:id="1131" w:name="Tc_U4buioQSmEuctXC6Bt1VaA_1_5"/>
      <w:bookmarkStart w:id="1132" w:name="_480b5bb5_6d26_4495_8028_979b089540af"/>
      <w:bookmarkStart w:id="1133" w:name="_f0805b8e_f71d_4f70_a650_11d9646143df_5"/>
      <w:bookmarkStart w:id="1134" w:name="_f0805b8e_f71d_4f70_a650_11d9646143df_4"/>
      <w:bookmarkStart w:id="1135" w:name="_f0805b8e_f71d_4f70_a650_11d9646143df_3"/>
      <w:bookmarkStart w:id="1136" w:name="_f0805b8e_f71d_4f70_a650_11d9646143df_2"/>
      <w:bookmarkStart w:id="1137" w:name="_f0805b8e_f71d_4f70_a650_11d9646143df"/>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r>
        <w:rPr>
          <w:rFonts w:ascii="Times New Roman;Times;serif" w:hAnsi="Times New Roman;Times;serif"/>
          <w:b/>
          <w:sz w:val="20"/>
        </w:rPr>
        <w:t>9. SEGMENT AND GEOGRAPHICAL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two segments are Energy, and Engineering and Consulting, and the Company’s chief operating decision maker, which continues to be its chief executive officer, receives and reviews financial information in this format.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ASU 2023-07, the Company’s chief operating decision maker (“CODM”) evaluates the performance of each segment based upon the information provided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intersegment sales during the three months ended July 4, 2025 and June 28, 2024. In addition, enterprise-wide service line contract revenue is not included as it is impracticable to report this information for each group of similar services</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tbl>
      <w:tblPr>
        <w:tblW w:w="9865" w:type="dxa"/>
        <w:jc w:val="left"/>
        <w:tblInd w:w="0" w:type="dxa"/>
        <w:tblLayout w:type="fixed"/>
        <w:tblCellMar>
          <w:top w:w="0" w:type="dxa"/>
          <w:left w:w="0" w:type="dxa"/>
          <w:bottom w:w="0" w:type="dxa"/>
          <w:right w:w="0" w:type="dxa"/>
        </w:tblCellMar>
      </w:tblPr>
      <w:tblGrid>
        <w:gridCol w:w="3631"/>
        <w:gridCol w:w="326"/>
        <w:gridCol w:w="196"/>
        <w:gridCol w:w="691"/>
        <w:gridCol w:w="326"/>
        <w:gridCol w:w="220"/>
        <w:gridCol w:w="681"/>
        <w:gridCol w:w="326"/>
        <w:gridCol w:w="196"/>
        <w:gridCol w:w="721"/>
        <w:gridCol w:w="326"/>
        <w:gridCol w:w="196"/>
        <w:gridCol w:w="721"/>
        <w:gridCol w:w="326"/>
        <w:gridCol w:w="196"/>
        <w:gridCol w:w="78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305685" cy="175260"/>
                      <wp:effectExtent l="0" t="0" r="0" b="0"/>
                      <wp:wrapNone/>
                      <wp:docPr id="159" name="Frame159"/>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460" cy="175260"/>
                      <wp:effectExtent l="0" t="0" r="0" b="0"/>
                      <wp:wrapNone/>
                      <wp:docPr id="161" name="Frame1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8785" cy="175260"/>
                      <wp:effectExtent l="0" t="0" r="0" b="0"/>
                      <wp:wrapNone/>
                      <wp:docPr id="162" name="Frame1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9700" cy="175260"/>
                      <wp:effectExtent l="0" t="0" r="0" b="0"/>
                      <wp:wrapNone/>
                      <wp:docPr id="164" name="Frame16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2435" cy="175260"/>
                      <wp:effectExtent l="0" t="0" r="0" b="0"/>
                      <wp:wrapNone/>
                      <wp:docPr id="165" name="Frame16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57835" cy="175260"/>
                      <wp:effectExtent l="0" t="0" r="0" b="0"/>
                      <wp:wrapNone/>
                      <wp:docPr id="168" name="Frame1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57835" cy="175260"/>
                      <wp:effectExtent l="0" t="0" r="0" b="0"/>
                      <wp:wrapNone/>
                      <wp:docPr id="171" name="Frame17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9110" cy="175260"/>
                      <wp:effectExtent l="0" t="0" r="0" b="0"/>
                      <wp:wrapNone/>
                      <wp:docPr id="174" name="Frame17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2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Total</w:t>
            </w:r>
            <w:r>
              <w:rPr>
                <w:rFonts w:ascii="Times New Roman;Times;serif" w:hAnsi="Times New Roman;Times;serif"/>
                <w:sz w:val="14"/>
              </w:rPr>
              <w:t xml:space="preserve"> </w:t>
            </w:r>
            <w:r>
              <w:rPr>
                <w:rFonts w:ascii="Times New Roman;Times;serif" w:hAnsi="Times New Roman;Times;serif"/>
                <w:sz w:val="11"/>
              </w:rPr>
              <w:t>(1)</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908"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July 4, 2025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76,794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78,505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26,643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53,779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68,325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35,878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51,005</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17,167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12,228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10,181</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18,088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15,436</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385,271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484,851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Six Months Ended July 4, 2025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142,874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145,553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32,717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54,320</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97,406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125,986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70,426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97,190</w:t>
            </w:r>
          </w:p>
        </w:tc>
      </w:tr>
      <w:tr>
        <w:trP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26,249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29,306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9,944</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17,355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(4,749)</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22,715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20,123</w:t>
            </w:r>
          </w:p>
        </w:tc>
      </w:tr>
      <w:tr>
        <w:trP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385,271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484,851</w:t>
            </w:r>
          </w:p>
        </w:tc>
      </w:tr>
    </w:tbl>
    <w:p>
      <w:pPr>
        <w:pStyle w:val="TextBody"/>
        <w:bidi w:val="0"/>
        <w:spacing w:before="0" w:after="0"/>
        <w:ind w:left="0" w:right="0" w:hanging="0"/>
        <w:jc w:val="left"/>
        <w:rPr/>
      </w:pPr>
      <w:r>
        <w:rPr/>
        <w:t>​</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(2)</w:t>
            </w:r>
          </w:p>
        </w:tc>
        <w:tc>
          <w:tcPr>
            <w:tcW w:w="6166" w:type="dxa"/>
            <w:tcBorders/>
            <w:tcMar>
              <w:top w:w="0" w:type="dxa"/>
              <w:left w:w="0" w:type="dxa"/>
              <w:bottom w:w="0" w:type="dxa"/>
              <w:right w:w="0" w:type="dxa"/>
            </w:tcMar>
            <w:vAlign w:val="center"/>
          </w:tcPr>
          <w:p>
            <w:pPr>
              <w:pStyle w:val="TableContents"/>
              <w:bidi w:val="0"/>
              <w:spacing w:before="0" w:after="283"/>
              <w:jc w:val="left"/>
              <w:rPr/>
            </w:pPr>
            <w:r>
              <w:rPr/>
              <w:t>“</w:t>
            </w:r>
            <w:r>
              <w:rPr>
                <w:rFonts w:ascii="Times New Roman;Times;serif" w:hAnsi="Times New Roman;Times;serif"/>
                <w:b w:val="false"/>
                <w:i/>
                <w:sz w:val="16"/>
              </w:rPr>
              <w:t>EBITDA” is defined as earnings before interest, taxes, depreciation and amortization.</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(3)</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Segment assets are presented net of intercompany receivables.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Normal"/>
        <w:bidi w:val="0"/>
        <w:spacing w:before="0" w:after="0"/>
        <w:ind w:left="0" w:right="0" w:hanging="0"/>
        <w:jc w:val="left"/>
        <w:rPr>
          <w:sz w:val="4"/>
          <w:szCs w:val="4"/>
        </w:rPr>
      </w:pPr>
      <w:r>
        <w:rPr>
          <w:sz w:val="4"/>
          <w:szCs w:val="4"/>
        </w:rPr>
      </w:r>
      <w:bookmarkStart w:id="1138" w:name="Tc_Ik-hY-W43EWxYXiu7S1aNg_29_0"/>
      <w:bookmarkStart w:id="1139" w:name="Tc__oYlFdeZcU2LbkXmecazXg_28_12"/>
      <w:bookmarkStart w:id="1140" w:name="Tc_vac9ccWjsUuLOzuWhEHRrg_28_0"/>
      <w:bookmarkStart w:id="1141" w:name="Tc_qTwQQFpvBUiVi3I8kYl35w_27_12"/>
      <w:bookmarkStart w:id="1142" w:name="Tc_vz4oY7knlk22vo4NdzY34w_27_0"/>
      <w:bookmarkStart w:id="1143" w:name="Tc_K8t8aYEqcEmx_Y97DCZRkQ_26_12"/>
      <w:bookmarkStart w:id="1144" w:name="Tc_lRYgYZqyGk-5s1xD6lMGyA_26_0"/>
      <w:bookmarkStart w:id="1145" w:name="Tc_EzmFQOYlF06zIp4NTSnRfA_25_12"/>
      <w:bookmarkStart w:id="1146" w:name="Tc_sCCrVULRi0m9AEBva-SifQ_25_9"/>
      <w:bookmarkStart w:id="1147" w:name="Tc_vRUryFG_NUeNQoTqYF5NwQ_25_0"/>
      <w:bookmarkStart w:id="1148" w:name="Tc_O8Svqc_MU0C0LiEj6vUXOQ_24_12"/>
      <w:bookmarkStart w:id="1149" w:name="Tc_IztNj2JOREW2ig4GeD28wA_24_6"/>
      <w:bookmarkStart w:id="1150" w:name="Tc_HFbjH_KE_kWDrJeHW_s9Sw_24_0"/>
      <w:bookmarkStart w:id="1151" w:name="Tc_mtVxDh7Z6kuPCr0L1W8ZKQ_23_12"/>
      <w:bookmarkStart w:id="1152" w:name="Tc_NxOffCsLmUWiaJ28TCMhkA_23_0"/>
      <w:bookmarkStart w:id="1153" w:name="Tc_MF5a_Th2kE6Pnk_H_yqc7w_22_12"/>
      <w:bookmarkStart w:id="1154" w:name="Tc_adwFRMyhR0CMQjykAWwbuQ_22_0"/>
      <w:bookmarkStart w:id="1155" w:name="Tc_weZMBO8KsU2FvH1sNvF48g_21_12"/>
      <w:bookmarkStart w:id="1156" w:name="Tc_oWXjlWpCZUezuFTPCgIHGA_21_9"/>
      <w:bookmarkStart w:id="1157" w:name="Tc_bXpFZKwXLEKzjPtkSBOhQA_21_0"/>
      <w:bookmarkStart w:id="1158" w:name="Tc_G0wnYXnzS061IxzJfyXemA_20_12"/>
      <w:bookmarkStart w:id="1159" w:name="Tc_3ySrpsmcFk6VSMuCnbwedg_20_9"/>
      <w:bookmarkStart w:id="1160" w:name="Tc_4xzR4HHuzkeTsv4kZK8x5A_20_0"/>
      <w:bookmarkStart w:id="1161" w:name="Tc_kqFR4Pho1USOm2eyZVr2Cw_19_12"/>
      <w:bookmarkStart w:id="1162" w:name="Tc_Yb0Zp8o0oUuDvhyRH6O8uQ_19_9"/>
      <w:bookmarkStart w:id="1163" w:name="Tc_-KtUbM_MMUm3uNhQRNE5gw_19_0"/>
      <w:bookmarkStart w:id="1164" w:name="Tc_znWbJyEeJEe1QvirHCBBLg_18_14"/>
      <w:bookmarkStart w:id="1165" w:name="Tc_UOIfMJzuv02fKXCjFruscQ_18_12"/>
      <w:bookmarkStart w:id="1166" w:name="Tc_tvJrA1Wr7UiV8i57FIGkhg_18_11"/>
      <w:bookmarkStart w:id="1167" w:name="Tc_qXNcqtpCCkC2hVAWMlkuGQ_18_9"/>
      <w:bookmarkStart w:id="1168" w:name="Tc_rt9U_yQkTEqdZTzvXHhAFg_18_8"/>
      <w:bookmarkStart w:id="1169" w:name="Tc_gB4Z66nga0SYxTPLo0PIBw_18_5"/>
      <w:bookmarkStart w:id="1170" w:name="Tc_QXOWGA2nr0esvg3BxxKsvQ_18_2"/>
      <w:bookmarkStart w:id="1171" w:name="Tc_MK1cHUBJUkOYFnsQ-3IXsQ_18_0"/>
      <w:bookmarkStart w:id="1172" w:name="Tc_i38CBWATJ0S7i04WxeZQjg_17_0"/>
      <w:bookmarkStart w:id="1173" w:name="Tc_yau_gifJ5kqPj1Vvfl2U1A_16_0"/>
      <w:bookmarkStart w:id="1174" w:name="Tc_Qg_sqg1am0-5zRAiybeJQg_15_12"/>
      <w:bookmarkStart w:id="1175" w:name="Tc_oiCigPnTtkGuYBlrsd-wxw_15_0"/>
      <w:bookmarkStart w:id="1176" w:name="Tc_PAIOstXeP0mBdAGlxXkV4A_14_12"/>
      <w:bookmarkStart w:id="1177" w:name="Tc_NxO0ZxrviEezkhlQ3t5jvA_14_0"/>
      <w:bookmarkStart w:id="1178" w:name="Tc_Nzqk-eoF40abhnaJNqQbqg_13_12"/>
      <w:bookmarkStart w:id="1179" w:name="Tc_4ik83Hfu00qaDmGlCeR9Kg_13_0"/>
      <w:bookmarkStart w:id="1180" w:name="Tc_METsiC17d0SVyi7XWT1Ymw_12_12"/>
      <w:bookmarkStart w:id="1181" w:name="Tc_8iRygeA_iEmIw0_diDWEdw_12_9"/>
      <w:bookmarkStart w:id="1182" w:name="Tc_d6UBv0Zq2E2WdABM-2_HwQ_12_0"/>
      <w:bookmarkStart w:id="1183" w:name="Tc_wYn6FRT_zkeW6S44q3v8IA_11_12"/>
      <w:bookmarkStart w:id="1184" w:name="Tc_x7AYdYsBi02oT3dnUJVNKg_11_6"/>
      <w:bookmarkStart w:id="1185" w:name="Tc_lAqE4d6PZ0qOQzpzsgDLRQ_11_3"/>
      <w:bookmarkStart w:id="1186" w:name="Tc_L21tIh9ZhkK07f_1bPgJDg_11_0"/>
      <w:bookmarkStart w:id="1187" w:name="Tc_bLfb1I1h8kqVR_SdkqA_PA_10_12"/>
      <w:bookmarkStart w:id="1188" w:name="Tc_ljtCgmBH5U6TjYj3MuOXUg_10_0"/>
      <w:bookmarkStart w:id="1189" w:name="Tc_L5vkv8XOkUuHshXgH14biw_9_12"/>
      <w:bookmarkStart w:id="1190" w:name="Tc_Ls5G7weNUkeiNKJ_1itBEA_9_0"/>
      <w:bookmarkStart w:id="1191" w:name="Tc_0KJ4HvCfgkGOXi9wPpb29A_8_12"/>
      <w:bookmarkStart w:id="1192" w:name="Tc_uBxVvJH74k-rycYWDDMc3g_8_9"/>
      <w:bookmarkStart w:id="1193" w:name="Tc_UwHw8uZ6VEeiziBD_gwZ5A_8_0"/>
      <w:bookmarkStart w:id="1194" w:name="Tc_phcXjSnP6kGX7vAriFTv0g_7_12"/>
      <w:bookmarkStart w:id="1195" w:name="Tc_rbXkliDF-ki58G7GTCazwg_7_9"/>
      <w:bookmarkStart w:id="1196" w:name="Tc_PxbNl8ZJiEOcbesqYyqKiQ_7_0"/>
      <w:bookmarkStart w:id="1197" w:name="Tc_HEAV-47UPUCMieypUD86bg_6_12"/>
      <w:bookmarkStart w:id="1198" w:name="Tc_dVF72srcmEO-Ht-jnappkg_6_9"/>
      <w:bookmarkStart w:id="1199" w:name="Tc_bdyRdzHcUUO3phrIj7uJUg_6_0"/>
      <w:bookmarkStart w:id="1200" w:name="Tc_wgDbs_VEp0yrYTV9m3HaPw_5_14"/>
      <w:bookmarkStart w:id="1201" w:name="Tc_PoguP05Lsk6G4ju1L1RH-A_5_12"/>
      <w:bookmarkStart w:id="1202" w:name="Tc_iGCW7mlk9EO5rUhMdrbNxw_5_11"/>
      <w:bookmarkStart w:id="1203" w:name="Tc_h-z_r1pB2ESwIfUUA8StJQ_5_9"/>
      <w:bookmarkStart w:id="1204" w:name="Tc_Us1mB9GVJU-fDSUOGYPsmg_5_8"/>
      <w:bookmarkStart w:id="1205" w:name="Tc_A2nX3JzsbE6gH_QdvwUmIA_5_5"/>
      <w:bookmarkStart w:id="1206" w:name="Tc_jGmrI9mrBkGTyolUEm0zHg_5_2"/>
      <w:bookmarkStart w:id="1207" w:name="Tc_RKanKkqhGUOcBsmSxwuPxw_5_0"/>
      <w:bookmarkStart w:id="1208" w:name="Tc_0PaGQm3VrkKlgo9NyRUEzw_4_0"/>
      <w:bookmarkStart w:id="1209" w:name="Tc_1-qtAfg6PE66C69pfy9CRg_3_2"/>
      <w:bookmarkStart w:id="1210" w:name="Tc_GivzTaSQ4kGp8hxNUya4rA_2_14"/>
      <w:bookmarkStart w:id="1211" w:name="Tc_A6Z_yJk7gEaV3j2Rt_QBcw_2_11"/>
      <w:bookmarkStart w:id="1212" w:name="Tc_iteFOZFz-E6sHzSe9HMgVw_2_8"/>
      <w:bookmarkStart w:id="1213" w:name="Tc_EmEMJ02i2EKjYDZA2pg5wA_2_5"/>
      <w:bookmarkStart w:id="1214" w:name="Tc_aJNqlt1Se0q-tsykI2aeFg_2_2"/>
      <w:bookmarkStart w:id="1215" w:name="Tc_ubHOJMSwREieUHkwkJrVuw_1_14"/>
      <w:bookmarkStart w:id="1216" w:name="Tc_3oATusLwsEam8e9ljh-HQA_1_8"/>
      <w:bookmarkStart w:id="1217" w:name="Tc_xyPRHGsq30CkBVhvKbehCA_1_5"/>
      <w:bookmarkStart w:id="1218" w:name="_6ed5f7ee_25fe_4666_b2d7_8c59cfc71556"/>
      <w:bookmarkStart w:id="1219" w:name="Tc_Ik-hY-W43EWxYXiu7S1aNg_29_0"/>
      <w:bookmarkStart w:id="1220" w:name="Tc__oYlFdeZcU2LbkXmecazXg_28_12"/>
      <w:bookmarkStart w:id="1221" w:name="Tc_vac9ccWjsUuLOzuWhEHRrg_28_0"/>
      <w:bookmarkStart w:id="1222" w:name="Tc_qTwQQFpvBUiVi3I8kYl35w_27_12"/>
      <w:bookmarkStart w:id="1223" w:name="Tc_vz4oY7knlk22vo4NdzY34w_27_0"/>
      <w:bookmarkStart w:id="1224" w:name="Tc_K8t8aYEqcEmx_Y97DCZRkQ_26_12"/>
      <w:bookmarkStart w:id="1225" w:name="Tc_lRYgYZqyGk-5s1xD6lMGyA_26_0"/>
      <w:bookmarkStart w:id="1226" w:name="Tc_EzmFQOYlF06zIp4NTSnRfA_25_12"/>
      <w:bookmarkStart w:id="1227" w:name="Tc_sCCrVULRi0m9AEBva-SifQ_25_9"/>
      <w:bookmarkStart w:id="1228" w:name="Tc_vRUryFG_NUeNQoTqYF5NwQ_25_0"/>
      <w:bookmarkStart w:id="1229" w:name="Tc_O8Svqc_MU0C0LiEj6vUXOQ_24_12"/>
      <w:bookmarkStart w:id="1230" w:name="Tc_IztNj2JOREW2ig4GeD28wA_24_6"/>
      <w:bookmarkStart w:id="1231" w:name="Tc_HFbjH_KE_kWDrJeHW_s9Sw_24_0"/>
      <w:bookmarkStart w:id="1232" w:name="Tc_mtVxDh7Z6kuPCr0L1W8ZKQ_23_12"/>
      <w:bookmarkStart w:id="1233" w:name="Tc_NxOffCsLmUWiaJ28TCMhkA_23_0"/>
      <w:bookmarkStart w:id="1234" w:name="Tc_MF5a_Th2kE6Pnk_H_yqc7w_22_12"/>
      <w:bookmarkStart w:id="1235" w:name="Tc_adwFRMyhR0CMQjykAWwbuQ_22_0"/>
      <w:bookmarkStart w:id="1236" w:name="Tc_weZMBO8KsU2FvH1sNvF48g_21_12"/>
      <w:bookmarkStart w:id="1237" w:name="Tc_oWXjlWpCZUezuFTPCgIHGA_21_9"/>
      <w:bookmarkStart w:id="1238" w:name="Tc_bXpFZKwXLEKzjPtkSBOhQA_21_0"/>
      <w:bookmarkStart w:id="1239" w:name="Tc_G0wnYXnzS061IxzJfyXemA_20_12"/>
      <w:bookmarkStart w:id="1240" w:name="Tc_3ySrpsmcFk6VSMuCnbwedg_20_9"/>
      <w:bookmarkStart w:id="1241" w:name="Tc_4xzR4HHuzkeTsv4kZK8x5A_20_0"/>
      <w:bookmarkStart w:id="1242" w:name="Tc_kqFR4Pho1USOm2eyZVr2Cw_19_12"/>
      <w:bookmarkStart w:id="1243" w:name="Tc_Yb0Zp8o0oUuDvhyRH6O8uQ_19_9"/>
      <w:bookmarkStart w:id="1244" w:name="Tc_-KtUbM_MMUm3uNhQRNE5gw_19_0"/>
      <w:bookmarkStart w:id="1245" w:name="Tc_znWbJyEeJEe1QvirHCBBLg_18_14"/>
      <w:bookmarkStart w:id="1246" w:name="Tc_UOIfMJzuv02fKXCjFruscQ_18_12"/>
      <w:bookmarkStart w:id="1247" w:name="Tc_tvJrA1Wr7UiV8i57FIGkhg_18_11"/>
      <w:bookmarkStart w:id="1248" w:name="Tc_qXNcqtpCCkC2hVAWMlkuGQ_18_9"/>
      <w:bookmarkStart w:id="1249" w:name="Tc_rt9U_yQkTEqdZTzvXHhAFg_18_8"/>
      <w:bookmarkStart w:id="1250" w:name="Tc_gB4Z66nga0SYxTPLo0PIBw_18_5"/>
      <w:bookmarkStart w:id="1251" w:name="Tc_QXOWGA2nr0esvg3BxxKsvQ_18_2"/>
      <w:bookmarkStart w:id="1252" w:name="Tc_MK1cHUBJUkOYFnsQ-3IXsQ_18_0"/>
      <w:bookmarkStart w:id="1253" w:name="Tc_i38CBWATJ0S7i04WxeZQjg_17_0"/>
      <w:bookmarkStart w:id="1254" w:name="Tc_yau_gifJ5kqPj1Vvfl2U1A_16_0"/>
      <w:bookmarkStart w:id="1255" w:name="Tc_Qg_sqg1am0-5zRAiybeJQg_15_12"/>
      <w:bookmarkStart w:id="1256" w:name="Tc_oiCigPnTtkGuYBlrsd-wxw_15_0"/>
      <w:bookmarkStart w:id="1257" w:name="Tc_PAIOstXeP0mBdAGlxXkV4A_14_12"/>
      <w:bookmarkStart w:id="1258" w:name="Tc_NxO0ZxrviEezkhlQ3t5jvA_14_0"/>
      <w:bookmarkStart w:id="1259" w:name="Tc_Nzqk-eoF40abhnaJNqQbqg_13_12"/>
      <w:bookmarkStart w:id="1260" w:name="Tc_4ik83Hfu00qaDmGlCeR9Kg_13_0"/>
      <w:bookmarkStart w:id="1261" w:name="Tc_METsiC17d0SVyi7XWT1Ymw_12_12"/>
      <w:bookmarkStart w:id="1262" w:name="Tc_8iRygeA_iEmIw0_diDWEdw_12_9"/>
      <w:bookmarkStart w:id="1263" w:name="Tc_d6UBv0Zq2E2WdABM-2_HwQ_12_0"/>
      <w:bookmarkStart w:id="1264" w:name="Tc_wYn6FRT_zkeW6S44q3v8IA_11_12"/>
      <w:bookmarkStart w:id="1265" w:name="Tc_x7AYdYsBi02oT3dnUJVNKg_11_6"/>
      <w:bookmarkStart w:id="1266" w:name="Tc_lAqE4d6PZ0qOQzpzsgDLRQ_11_3"/>
      <w:bookmarkStart w:id="1267" w:name="Tc_L21tIh9ZhkK07f_1bPgJDg_11_0"/>
      <w:bookmarkStart w:id="1268" w:name="Tc_bLfb1I1h8kqVR_SdkqA_PA_10_12"/>
      <w:bookmarkStart w:id="1269" w:name="Tc_ljtCgmBH5U6TjYj3MuOXUg_10_0"/>
      <w:bookmarkStart w:id="1270" w:name="Tc_L5vkv8XOkUuHshXgH14biw_9_12"/>
      <w:bookmarkStart w:id="1271" w:name="Tc_Ls5G7weNUkeiNKJ_1itBEA_9_0"/>
      <w:bookmarkStart w:id="1272" w:name="Tc_0KJ4HvCfgkGOXi9wPpb29A_8_12"/>
      <w:bookmarkStart w:id="1273" w:name="Tc_uBxVvJH74k-rycYWDDMc3g_8_9"/>
      <w:bookmarkStart w:id="1274" w:name="Tc_UwHw8uZ6VEeiziBD_gwZ5A_8_0"/>
      <w:bookmarkStart w:id="1275" w:name="Tc_phcXjSnP6kGX7vAriFTv0g_7_12"/>
      <w:bookmarkStart w:id="1276" w:name="Tc_rbXkliDF-ki58G7GTCazwg_7_9"/>
      <w:bookmarkStart w:id="1277" w:name="Tc_PxbNl8ZJiEOcbesqYyqKiQ_7_0"/>
      <w:bookmarkStart w:id="1278" w:name="Tc_HEAV-47UPUCMieypUD86bg_6_12"/>
      <w:bookmarkStart w:id="1279" w:name="Tc_dVF72srcmEO-Ht-jnappkg_6_9"/>
      <w:bookmarkStart w:id="1280" w:name="Tc_bdyRdzHcUUO3phrIj7uJUg_6_0"/>
      <w:bookmarkStart w:id="1281" w:name="Tc_wgDbs_VEp0yrYTV9m3HaPw_5_14"/>
      <w:bookmarkStart w:id="1282" w:name="Tc_PoguP05Lsk6G4ju1L1RH-A_5_12"/>
      <w:bookmarkStart w:id="1283" w:name="Tc_iGCW7mlk9EO5rUhMdrbNxw_5_11"/>
      <w:bookmarkStart w:id="1284" w:name="Tc_h-z_r1pB2ESwIfUUA8StJQ_5_9"/>
      <w:bookmarkStart w:id="1285" w:name="Tc_Us1mB9GVJU-fDSUOGYPsmg_5_8"/>
      <w:bookmarkStart w:id="1286" w:name="Tc_A2nX3JzsbE6gH_QdvwUmIA_5_5"/>
      <w:bookmarkStart w:id="1287" w:name="Tc_jGmrI9mrBkGTyolUEm0zHg_5_2"/>
      <w:bookmarkStart w:id="1288" w:name="Tc_RKanKkqhGUOcBsmSxwuPxw_5_0"/>
      <w:bookmarkStart w:id="1289" w:name="Tc_0PaGQm3VrkKlgo9NyRUEzw_4_0"/>
      <w:bookmarkStart w:id="1290" w:name="Tc_1-qtAfg6PE66C69pfy9CRg_3_2"/>
      <w:bookmarkStart w:id="1291" w:name="Tc_GivzTaSQ4kGp8hxNUya4rA_2_14"/>
      <w:bookmarkStart w:id="1292" w:name="Tc_A6Z_yJk7gEaV3j2Rt_QBcw_2_11"/>
      <w:bookmarkStart w:id="1293" w:name="Tc_iteFOZFz-E6sHzSe9HMgVw_2_8"/>
      <w:bookmarkStart w:id="1294" w:name="Tc_EmEMJ02i2EKjYDZA2pg5wA_2_5"/>
      <w:bookmarkStart w:id="1295" w:name="Tc_aJNqlt1Se0q-tsykI2aeFg_2_2"/>
      <w:bookmarkStart w:id="1296" w:name="Tc_ubHOJMSwREieUHkwkJrVuw_1_14"/>
      <w:bookmarkStart w:id="1297" w:name="Tc_3oATusLwsEam8e9ljh-HQA_1_8"/>
      <w:bookmarkStart w:id="1298" w:name="Tc_xyPRHGsq30CkBVhvKbehCA_1_5"/>
      <w:bookmarkStart w:id="1299" w:name="_6ed5f7ee_25fe_4666_b2d7_8c59cfc71556"/>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
    <w:tbl>
      <w:tblPr>
        <w:tblW w:w="9775" w:type="dxa"/>
        <w:jc w:val="left"/>
        <w:tblInd w:w="0" w:type="dxa"/>
        <w:tblLayout w:type="fixed"/>
        <w:tblCellMar>
          <w:top w:w="0" w:type="dxa"/>
          <w:left w:w="0" w:type="dxa"/>
          <w:bottom w:w="0" w:type="dxa"/>
          <w:right w:w="0" w:type="dxa"/>
        </w:tblCellMar>
      </w:tblPr>
      <w:tblGrid>
        <w:gridCol w:w="3631"/>
        <w:gridCol w:w="326"/>
        <w:gridCol w:w="196"/>
        <w:gridCol w:w="691"/>
        <w:gridCol w:w="326"/>
        <w:gridCol w:w="220"/>
        <w:gridCol w:w="681"/>
        <w:gridCol w:w="326"/>
        <w:gridCol w:w="196"/>
        <w:gridCol w:w="631"/>
        <w:gridCol w:w="326"/>
        <w:gridCol w:w="196"/>
        <w:gridCol w:w="721"/>
        <w:gridCol w:w="326"/>
        <w:gridCol w:w="196"/>
        <w:gridCol w:w="78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305685" cy="175260"/>
                      <wp:effectExtent l="0" t="0" r="0" b="0"/>
                      <wp:wrapNone/>
                      <wp:docPr id="175" name="Frame175"/>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8785" cy="175260"/>
                      <wp:effectExtent l="0" t="0" r="0" b="0"/>
                      <wp:wrapNone/>
                      <wp:docPr id="178" name="Frame1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9700" cy="175260"/>
                      <wp:effectExtent l="0" t="0" r="0" b="0"/>
                      <wp:wrapNone/>
                      <wp:docPr id="180" name="Frame18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32435" cy="175260"/>
                      <wp:effectExtent l="0" t="0" r="0" b="0"/>
                      <wp:wrapNone/>
                      <wp:docPr id="181" name="Frame181"/>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00685" cy="175260"/>
                      <wp:effectExtent l="0" t="0" r="0" b="0"/>
                      <wp:wrapNone/>
                      <wp:docPr id="184" name="Frame18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4460" cy="175260"/>
                      <wp:effectExtent l="0" t="0" r="0" b="0"/>
                      <wp:wrapNone/>
                      <wp:docPr id="186" name="Frame1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57835" cy="175260"/>
                      <wp:effectExtent l="0" t="0" r="0" b="0"/>
                      <wp:wrapNone/>
                      <wp:docPr id="187" name="Frame18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9" name="Frame1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99110" cy="175260"/>
                      <wp:effectExtent l="0" t="0" r="0" b="0"/>
                      <wp:wrapNone/>
                      <wp:docPr id="190" name="Frame190"/>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26"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Total</w:t>
            </w:r>
            <w:r>
              <w:rPr>
                <w:rFonts w:ascii="Times New Roman;Times;serif" w:hAnsi="Times New Roman;Times;serif"/>
                <w:sz w:val="14"/>
              </w:rPr>
              <w:t xml:space="preserve"> </w:t>
            </w:r>
            <w:r>
              <w:rPr>
                <w:rFonts w:ascii="Times New Roman;Times;serif" w:hAnsi="Times New Roman;Times;serif"/>
                <w:sz w:val="11"/>
              </w:rPr>
              <w:t>(1)</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18"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June 28,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67,556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68,545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23,647</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36,411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48,804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38,727</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8,624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10,903</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3,629</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5,314</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4,594</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328,031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421,289</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Six Months Ended June 28, 2024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120,210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122,104</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45,159</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72,170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96,222</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56,341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77,192</w:t>
            </w:r>
          </w:p>
        </w:tc>
      </w:tr>
      <w:tr>
        <w:trP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20,560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4,097</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7,221</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9,242</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7,536</w:t>
            </w:r>
          </w:p>
        </w:tc>
      </w:tr>
      <w:tr>
        <w:trP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328,031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30,989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421,289</w:t>
            </w:r>
          </w:p>
        </w:tc>
      </w:tr>
    </w:tbl>
    <w:p>
      <w:pPr>
        <w:pStyle w:val="TextBody"/>
        <w:bidi w:val="0"/>
        <w:spacing w:before="0" w:after="0"/>
        <w:ind w:left="0" w:right="0" w:hanging="0"/>
        <w:jc w:val="left"/>
        <w:rPr/>
      </w:pPr>
      <w:r>
        <w:rPr/>
        <w:t>​</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(2)</w:t>
            </w:r>
          </w:p>
        </w:tc>
        <w:tc>
          <w:tcPr>
            <w:tcW w:w="6211" w:type="dxa"/>
            <w:tcBorders/>
            <w:tcMar>
              <w:top w:w="0" w:type="dxa"/>
              <w:left w:w="0" w:type="dxa"/>
              <w:bottom w:w="0" w:type="dxa"/>
              <w:right w:w="0" w:type="dxa"/>
            </w:tcMar>
            <w:vAlign w:val="center"/>
          </w:tcPr>
          <w:p>
            <w:pPr>
              <w:pStyle w:val="TableContents"/>
              <w:bidi w:val="0"/>
              <w:spacing w:before="0" w:after="283"/>
              <w:jc w:val="left"/>
              <w:rPr/>
            </w:pPr>
            <w:r>
              <w:rPr/>
              <w:t>“</w:t>
            </w:r>
            <w:r>
              <w:rPr>
                <w:rFonts w:ascii="Times New Roman;Times;serif" w:hAnsi="Times New Roman;Times;serif"/>
                <w:b w:val="false"/>
                <w:i/>
                <w:sz w:val="16"/>
              </w:rPr>
              <w:t xml:space="preserve">EBITDA” is defined as earnings before interest, taxes, depreciation and amortization. </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(3)</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Segment assets are presented net of intercompany receivables.</w:t>
            </w:r>
          </w:p>
        </w:tc>
      </w:tr>
    </w:tbl>
    <w:p>
      <w:pPr>
        <w:pStyle w:val="TextBody"/>
        <w:bidi w:val="0"/>
        <w:spacing w:before="0" w:after="2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300" w:name="Tc_c_8cJ1nptUih1dfijkvaJg_35_8"/>
      <w:bookmarkStart w:id="1301" w:name="Tc_zjBpjBbjJEe1Qhi7UQCOXQ_35_5"/>
      <w:bookmarkStart w:id="1302" w:name="Tc_pHC6hfTJ0Ei5G2dn3jylJQ_35_2"/>
      <w:bookmarkStart w:id="1303" w:name="Tc_Ls7ua3bmbEac5htJN78GLg_35_0"/>
      <w:bookmarkStart w:id="1304" w:name="Tc_s713Bxr6_0KLmZBpc4uvnw_34_0"/>
      <w:bookmarkStart w:id="1305" w:name="Tc_a6iwadURt0Sz8RnJRP_e0g_32_8"/>
      <w:bookmarkStart w:id="1306" w:name="Tc_zQO-a3UBckuAoQs8d6SfyA_32_5"/>
      <w:bookmarkStart w:id="1307" w:name="Tc_J47LT1beG0Kn6TmY_dgkAA_32_2"/>
      <w:bookmarkStart w:id="1308" w:name="Tc_fusMYA2EIky5B0qsQ5XFDA_32_0"/>
      <w:bookmarkStart w:id="1309" w:name="Tc_x5zz6dmE50GqnWXO2lP-UA_31_0"/>
      <w:bookmarkStart w:id="1310" w:name="Tc_XP21e0KFiU2r_tWS1kj7iw_30_0"/>
      <w:bookmarkStart w:id="1311" w:name="Tc_IIztYK78LEmylzxL_JLXYw_29_8"/>
      <w:bookmarkStart w:id="1312" w:name="Tc_yQVDo0AfDUe0yiox_A_R6w_29_5"/>
      <w:bookmarkStart w:id="1313" w:name="Tc_-QNsvh52_k6Ia265cLzWlQ_29_2"/>
      <w:bookmarkStart w:id="1314" w:name="Tc_vfB4KoH780O9R6H25-Bb-A_29_0"/>
      <w:bookmarkStart w:id="1315" w:name="Tc_VtK_OTixRky-1kf1w-w8pQ_28_0"/>
      <w:bookmarkStart w:id="1316" w:name="Tc_KhX06f6eN0mpC9nMKRdNSg_26_8"/>
      <w:bookmarkStart w:id="1317" w:name="Tc_5ANwNRNLUUiaC0JxsQ--PA_26_5"/>
      <w:bookmarkStart w:id="1318" w:name="Tc_wTuhTFDGskKXWnlVa6-pWA_26_2"/>
      <w:bookmarkStart w:id="1319" w:name="Tc_OmH74dsWBkilOzlY0OTROg_26_0"/>
      <w:bookmarkStart w:id="1320" w:name="Tc_jhQbW5KZLEKeDgeq5A_pkg_25_0"/>
      <w:bookmarkStart w:id="1321" w:name="Tc_B2DHW-9-mketp8_ndiI_Fg_24_0"/>
      <w:bookmarkStart w:id="1322" w:name="Tc_Is8FOW4ehEudBSMjDEa0Ew_23_8"/>
      <w:bookmarkStart w:id="1323" w:name="Tc_rwC_hjymvUyaRnMcURtkQw_23_5"/>
      <w:bookmarkStart w:id="1324" w:name="Tc_zp2r0nvAFEuEbsDtUcQTjQ_23_2"/>
      <w:bookmarkStart w:id="1325" w:name="Tc_fjX2iLhgJU6vcfeErnk_8Q_23_0"/>
      <w:bookmarkStart w:id="1326" w:name="Tc_CyL944Y8Ek2ctOIVKxDNcQ_22_0"/>
      <w:bookmarkStart w:id="1327" w:name="Tc_8KdWlo_JhkybpglqJzxNiA_21_2"/>
      <w:bookmarkStart w:id="1328" w:name="Tc_c63nnCAImU22oeVOGM3fBg_20_8"/>
      <w:bookmarkStart w:id="1329" w:name="Tc_lb4ph94r4kCJ-K92nuky2Q_20_5"/>
      <w:bookmarkStart w:id="1330" w:name="Tc_Fo--RLkcDU23HQA7O_cNYQ_20_2"/>
      <w:bookmarkStart w:id="1331" w:name="Tc_e5BELjndPEem8nH8IwXBrA_19_2"/>
      <w:bookmarkStart w:id="1332" w:name="Tc_ocUwNBIBmkGQ-fOecPTDmA_17_8"/>
      <w:bookmarkStart w:id="1333" w:name="Tc_IjpTl-hw70-iM6RODXMLlQ_17_5"/>
      <w:bookmarkStart w:id="1334" w:name="Tc_QsAv7T1mOUK1IN8bQNo3nQ_17_2"/>
      <w:bookmarkStart w:id="1335" w:name="Tc_RcNijzJhh0KKMQFdPFZl2Q_17_0"/>
      <w:bookmarkStart w:id="1336" w:name="Tc_qTqOcRzmP0OshLnZQmYp4Q_16_0"/>
      <w:bookmarkStart w:id="1337" w:name="Tc_1pW2MhvGRkasIlhEdMzJvA_14_8"/>
      <w:bookmarkStart w:id="1338" w:name="Tc_CGV1dNnyyUq_JDrzFneXbg_14_5"/>
      <w:bookmarkStart w:id="1339" w:name="Tc_ezzoh14Nm0G2CVjp57U2kQ_14_2"/>
      <w:bookmarkStart w:id="1340" w:name="Tc_kiCPQpQFAk6Xe7WIl_03Zg_14_0"/>
      <w:bookmarkStart w:id="1341" w:name="Tc_w4OjT-xWPEa3N60qfXw1yg_13_0"/>
      <w:bookmarkStart w:id="1342" w:name="Tc_SyBcFMr9GUKMdu7XM1raOA_12_0"/>
      <w:bookmarkStart w:id="1343" w:name="Tc_l34W4N4Kw0aHMsJTkjkxUQ_11_8"/>
      <w:bookmarkStart w:id="1344" w:name="Tc_4jLc9TeOE0qqU9UHCvDFyQ_11_5"/>
      <w:bookmarkStart w:id="1345" w:name="Tc_4YRJYcDagUSjKmSNEA-xcQ_11_2"/>
      <w:bookmarkStart w:id="1346" w:name="Tc_RUzRMPVHBUifWpIf_k1v_A_11_0"/>
      <w:bookmarkStart w:id="1347" w:name="Tc_2h3QeekSv0ewWwvrF85mMg_10_0"/>
      <w:bookmarkStart w:id="1348" w:name="Tc_HDhWtF5q0EymR3e08qispA_8_8"/>
      <w:bookmarkStart w:id="1349" w:name="Tc_eQTdzAor0kmGZKcxGJIgJw_8_5"/>
      <w:bookmarkStart w:id="1350" w:name="Tc_l17SCjX5wEuvmdtDlMFgSw_8_2"/>
      <w:bookmarkStart w:id="1351" w:name="Tc_3Hl8tCpkBEOlycioPNdybw_8_0"/>
      <w:bookmarkStart w:id="1352" w:name="Tc_5KVX6kC1dEyz1Te_1ZWDBg_7_0"/>
      <w:bookmarkStart w:id="1353" w:name="Tc_xT9BXPaiGUq99ViUMgCuBQ_6_0"/>
      <w:bookmarkStart w:id="1354" w:name="Tc_aEEcuvneYUC2YE4-PjJ1DA_5_8"/>
      <w:bookmarkStart w:id="1355" w:name="Tc_KFhER-BBCEqTFA4G3w7LJA_5_5"/>
      <w:bookmarkStart w:id="1356" w:name="Tc_c97Ar_0_HUCMvgZVdYeBQg_5_2"/>
      <w:bookmarkStart w:id="1357" w:name="Tc_10BXMXIKMUSVtpfhcdX-hA_5_0"/>
      <w:bookmarkStart w:id="1358" w:name="Tc_dEgycukpx0e27vyMdVzOdA_4_0"/>
      <w:bookmarkStart w:id="1359" w:name="Tc_vTLcElRc0UCHfBB04Cpvhw_3_2"/>
      <w:bookmarkStart w:id="1360" w:name="Tc_DZ8gAqrIAE6-Ctu8cj05xg_2_8"/>
      <w:bookmarkStart w:id="1361" w:name="Tc_UPzgvWtddkuqAhH33Gj-9g_2_5"/>
      <w:bookmarkStart w:id="1362" w:name="Tc_Wn5XaAx3G0mfgwayCfHajg_2_2"/>
      <w:bookmarkStart w:id="1363" w:name="Tc_ssyDbfkCzk6ft_E10kKPUw_1_2"/>
      <w:bookmarkStart w:id="1364" w:name="_bdfc8955_9955_4268_8b06_3cffbdbe1f12"/>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r>
        <w:rPr>
          <w:rFonts w:ascii="Times New Roman;Times;serif" w:hAnsi="Times New Roman;Times;serif"/>
          <w:sz w:val="20"/>
        </w:rPr>
        <w:t xml:space="preserve">The following tables provide information about disaggregated revenue by contract type, client type and geographical region: </w:t>
      </w:r>
    </w:p>
    <w:p>
      <w:pPr>
        <w:pStyle w:val="TextBody"/>
        <w:bidi w:val="0"/>
        <w:spacing w:before="1" w:after="0"/>
        <w:ind w:left="0" w:right="0" w:firstLine="720"/>
        <w:jc w:val="left"/>
        <w:rPr/>
      </w:pPr>
      <w:r>
        <w:rPr/>
        <w:t>​</w:t>
      </w:r>
    </w:p>
    <w:tbl>
      <w:tblPr>
        <w:tblW w:w="560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34085" cy="175260"/>
                      <wp:effectExtent l="0" t="0" r="0" b="0"/>
                      <wp:wrapNone/>
                      <wp:docPr id="191" name="Frame19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194" name="Frame1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1295" cy="175260"/>
                      <wp:effectExtent l="0" t="0" r="0" b="0"/>
                      <wp:wrapNone/>
                      <wp:docPr id="196" name="Frame19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18490" cy="175260"/>
                      <wp:effectExtent l="0" t="0" r="0" b="0"/>
                      <wp:wrapNone/>
                      <wp:docPr id="197" name="Frame19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4460" cy="175260"/>
                      <wp:effectExtent l="0" t="0" r="0" b="0"/>
                      <wp:wrapNone/>
                      <wp:docPr id="199" name="Frame1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99110" cy="175260"/>
                      <wp:effectExtent l="0" t="0" r="0" b="0"/>
                      <wp:wrapNone/>
                      <wp:docPr id="200" name="Frame200"/>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4, 2025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11,733</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30,632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58,250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64,737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76,766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78,104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18,093</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19,848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55,839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80,763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72,817</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72,862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4, 2025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23,335</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60,294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105,957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118,699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143,705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146,866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31,608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35,174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104,163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153,359</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137,226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137,326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325,859</w:t>
            </w:r>
          </w:p>
        </w:tc>
      </w:tr>
    </w:tbl>
    <w:p>
      <w:pPr>
        <w:pStyle w:val="TextBody"/>
        <w:bidi w:val="0"/>
        <w:spacing w:before="1"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Normal"/>
        <w:bidi w:val="0"/>
        <w:spacing w:before="0" w:after="0"/>
        <w:ind w:left="0" w:right="0" w:hanging="0"/>
        <w:jc w:val="left"/>
        <w:rPr>
          <w:sz w:val="4"/>
          <w:szCs w:val="4"/>
        </w:rPr>
      </w:pPr>
      <w:r>
        <w:rPr>
          <w:sz w:val="4"/>
          <w:szCs w:val="4"/>
        </w:rPr>
      </w:r>
      <w:bookmarkStart w:id="1365" w:name="Tc_QNqpZ4-pZUuljTKG14PDlQ_35_8"/>
      <w:bookmarkStart w:id="1366" w:name="Tc_Ij8JBsmyVkSUVR2hRLYXRA_35_5"/>
      <w:bookmarkStart w:id="1367" w:name="Tc_-uY2X7SmJEyvRFYvtwoQFA_35_2"/>
      <w:bookmarkStart w:id="1368" w:name="Tc_Aem-jC2wEUqDD7jyZzqQGA_35_0"/>
      <w:bookmarkStart w:id="1369" w:name="Tc_CIwHN5JECkmo2GoKjmwEhA_34_0"/>
      <w:bookmarkStart w:id="1370" w:name="Tc_lNUXwSiVTE-PbytYHRFNkg_32_8"/>
      <w:bookmarkStart w:id="1371" w:name="Tc_39MUR2qxoEmkLP06dYMqUw_32_5"/>
      <w:bookmarkStart w:id="1372" w:name="Tc_N7Npm3E4bUSdjqsmTlVCWQ_32_2"/>
      <w:bookmarkStart w:id="1373" w:name="Tc_sKpoXrzIlkybkGnIAIm_VA_32_0"/>
      <w:bookmarkStart w:id="1374" w:name="Tc_801axrV1PkW8_6ExgzrJig_31_0"/>
      <w:bookmarkStart w:id="1375" w:name="Tc_scIeud36eEKStXgdjHz41A_30_0"/>
      <w:bookmarkStart w:id="1376" w:name="Tc_q-x2jh_Z-Eyg-lY3--W_2w_29_8"/>
      <w:bookmarkStart w:id="1377" w:name="Tc_0pM-feAcd02WruJKnWnYdQ_29_5"/>
      <w:bookmarkStart w:id="1378" w:name="Tc_OjSqYRYMQE6l88KFer3-hQ_29_2"/>
      <w:bookmarkStart w:id="1379" w:name="Tc_Mh1KuLDsvUe3fKH4n2Ozxg_29_0"/>
      <w:bookmarkStart w:id="1380" w:name="Tc_O8ipPYpydkmbfS-SBQbLmw_28_0"/>
      <w:bookmarkStart w:id="1381" w:name="Tc_hxg3tNjpJEKM-Oi_OxG2KA_26_8"/>
      <w:bookmarkStart w:id="1382" w:name="Tc_zve9SToPjkKCXzSDVZ_T8w_26_5"/>
      <w:bookmarkStart w:id="1383" w:name="Tc_Y0LkB-wdpUyiL1pOzD7CeA_26_2"/>
      <w:bookmarkStart w:id="1384" w:name="Tc_4ToShewjY0ivEPKuX5LScQ_26_0"/>
      <w:bookmarkStart w:id="1385" w:name="Tc__gaMLmB_HEeaL2NULVTzAA_25_0"/>
      <w:bookmarkStart w:id="1386" w:name="Tc_psN4WbyUyEyXTjyNDckzwg_24_0"/>
      <w:bookmarkStart w:id="1387" w:name="Tc_JdbfRCN36EaxgLVBH5lY5Q_23_8"/>
      <w:bookmarkStart w:id="1388" w:name="Tc_AsxAcsCJB02-PWwhW4JS-Q_23_5"/>
      <w:bookmarkStart w:id="1389" w:name="Tc_RmFQz-dS_EupnrGFr97EyQ_23_2"/>
      <w:bookmarkStart w:id="1390" w:name="Tc_UP5zR0m8DEGfopJ5UEhpAQ_23_0"/>
      <w:bookmarkStart w:id="1391" w:name="Tc_bBkUILomu0mPmMd-axsMEg_22_0"/>
      <w:bookmarkStart w:id="1392" w:name="Tc_dqvc1Cj7MUSFpX1cR08DNA_21_2"/>
      <w:bookmarkStart w:id="1393" w:name="Tc_841b-ywTsUSVoxLSXSbjCQ_20_8"/>
      <w:bookmarkStart w:id="1394" w:name="Tc_SsJq8uxeA0-E4GUuGy83kA_20_5"/>
      <w:bookmarkStart w:id="1395" w:name="Tc_JXuDtysSiUyVVeN2iCRCZA_20_2"/>
      <w:bookmarkStart w:id="1396" w:name="Tc_pg79lFVP4U20-qIv22QshA_19_2"/>
      <w:bookmarkStart w:id="1397" w:name="Tc_jtIyzTqZEESBfzGRLwNyEw_17_8"/>
      <w:bookmarkStart w:id="1398" w:name="Tc_KK_CWvUK3Ei0lBqYPUk62g_17_5"/>
      <w:bookmarkStart w:id="1399" w:name="Tc_COhvC1zGGUm2X-Ki9kwvbQ_17_2"/>
      <w:bookmarkStart w:id="1400" w:name="Tc_2L0-zwJ64U23HH6r27lLFw_17_0"/>
      <w:bookmarkStart w:id="1401" w:name="Tc_ZT_EKZJqYUKxO_rtp7L1lA_16_0"/>
      <w:bookmarkStart w:id="1402" w:name="Tc_zXX9tJ8O4E6Iv6z-tEniJw_14_8"/>
      <w:bookmarkStart w:id="1403" w:name="Tc_0SLRAANgEEin53FlhTVWQA_14_5"/>
      <w:bookmarkStart w:id="1404" w:name="Tc_KtIzP1_qLUeurohckD5Akg_14_2"/>
      <w:bookmarkStart w:id="1405" w:name="Tc_XFQgXBubC0ybWpbgYwFyXw_14_0"/>
      <w:bookmarkStart w:id="1406" w:name="Tc_NU7DB0Qg8ECC7h8RE7JqZA_13_0"/>
      <w:bookmarkStart w:id="1407" w:name="Tc_3q3d46OgckKswzNT81OFYQ_12_0"/>
      <w:bookmarkStart w:id="1408" w:name="Tc_0iGky5Xr2k-PcXzSq4d8aw_11_8"/>
      <w:bookmarkStart w:id="1409" w:name="Tc_146tmAVpbEiCO4v3qoqagw_11_5"/>
      <w:bookmarkStart w:id="1410" w:name="Tc_y-O8il0omUyO8IsAeXvw1g_11_2"/>
      <w:bookmarkStart w:id="1411" w:name="Tc_V4TsCVHpkkiqdaBsmjFT-A_11_0"/>
      <w:bookmarkStart w:id="1412" w:name="Tc_f7h1I2lpUUO6q_ubUXDCow_10_0"/>
      <w:bookmarkStart w:id="1413" w:name="Tc_atigl6B87U6peL_rXXL3KA_8_8"/>
      <w:bookmarkStart w:id="1414" w:name="Tc_dVSsUbwDzUKa_xt7MR9QbQ_8_5"/>
      <w:bookmarkStart w:id="1415" w:name="Tc_KLdrz3pTF0CukxJibbhQUA_8_2"/>
      <w:bookmarkStart w:id="1416" w:name="Tc_1nIcet0GlEeQ8DvDsZApzA_8_0"/>
      <w:bookmarkStart w:id="1417" w:name="Tc_UToEhA-vIkui70nJfDYDbw_7_0"/>
      <w:bookmarkStart w:id="1418" w:name="Tc_xX8rcD2PVUmXCRYiFQDssg_6_0"/>
      <w:bookmarkStart w:id="1419" w:name="Tc_yUsdT9J5QkmZxyMo1eyM4A_5_8"/>
      <w:bookmarkStart w:id="1420" w:name="Tc_QAxPYflEzkipSGQpoCXQwg_5_5"/>
      <w:bookmarkStart w:id="1421" w:name="Tc_r-0bzW3o7E-aNWxVdl8aKQ_5_2"/>
      <w:bookmarkStart w:id="1422" w:name="Tc_COVrPIToDUiXltez1ODeig_5_0"/>
      <w:bookmarkStart w:id="1423" w:name="Tc_LW38P5gm4U2yohPSRSfctg_4_0"/>
      <w:bookmarkStart w:id="1424" w:name="Tc_WwIbYDapIU-0dKdiRJJwjA_3_2"/>
      <w:bookmarkStart w:id="1425" w:name="Tc_9BipcJYZkEeNpWR1iI2g3Q_2_8"/>
      <w:bookmarkStart w:id="1426" w:name="Tc_e9fI-6lke0OFayiQK6EEIw_2_5"/>
      <w:bookmarkStart w:id="1427" w:name="Tc_Z6I1m48xR0arRpFCPYtSaA_2_2"/>
      <w:bookmarkStart w:id="1428" w:name="Tc_skoJEOpYN0ytT4iHGbazrA_1_2"/>
      <w:bookmarkStart w:id="1429" w:name="_5ce13bce_5090_4d07_9d96_ef4ff43b1ade"/>
      <w:bookmarkStart w:id="1430" w:name="Tc_QNqpZ4-pZUuljTKG14PDlQ_35_8"/>
      <w:bookmarkStart w:id="1431" w:name="Tc_Ij8JBsmyVkSUVR2hRLYXRA_35_5"/>
      <w:bookmarkStart w:id="1432" w:name="Tc_-uY2X7SmJEyvRFYvtwoQFA_35_2"/>
      <w:bookmarkStart w:id="1433" w:name="Tc_Aem-jC2wEUqDD7jyZzqQGA_35_0"/>
      <w:bookmarkStart w:id="1434" w:name="Tc_CIwHN5JECkmo2GoKjmwEhA_34_0"/>
      <w:bookmarkStart w:id="1435" w:name="Tc_lNUXwSiVTE-PbytYHRFNkg_32_8"/>
      <w:bookmarkStart w:id="1436" w:name="Tc_39MUR2qxoEmkLP06dYMqUw_32_5"/>
      <w:bookmarkStart w:id="1437" w:name="Tc_N7Npm3E4bUSdjqsmTlVCWQ_32_2"/>
      <w:bookmarkStart w:id="1438" w:name="Tc_sKpoXrzIlkybkGnIAIm_VA_32_0"/>
      <w:bookmarkStart w:id="1439" w:name="Tc_801axrV1PkW8_6ExgzrJig_31_0"/>
      <w:bookmarkStart w:id="1440" w:name="Tc_scIeud36eEKStXgdjHz41A_30_0"/>
      <w:bookmarkStart w:id="1441" w:name="Tc_q-x2jh_Z-Eyg-lY3--W_2w_29_8"/>
      <w:bookmarkStart w:id="1442" w:name="Tc_0pM-feAcd02WruJKnWnYdQ_29_5"/>
      <w:bookmarkStart w:id="1443" w:name="Tc_OjSqYRYMQE6l88KFer3-hQ_29_2"/>
      <w:bookmarkStart w:id="1444" w:name="Tc_Mh1KuLDsvUe3fKH4n2Ozxg_29_0"/>
      <w:bookmarkStart w:id="1445" w:name="Tc_O8ipPYpydkmbfS-SBQbLmw_28_0"/>
      <w:bookmarkStart w:id="1446" w:name="Tc_hxg3tNjpJEKM-Oi_OxG2KA_26_8"/>
      <w:bookmarkStart w:id="1447" w:name="Tc_zve9SToPjkKCXzSDVZ_T8w_26_5"/>
      <w:bookmarkStart w:id="1448" w:name="Tc_Y0LkB-wdpUyiL1pOzD7CeA_26_2"/>
      <w:bookmarkStart w:id="1449" w:name="Tc_4ToShewjY0ivEPKuX5LScQ_26_0"/>
      <w:bookmarkStart w:id="1450" w:name="Tc__gaMLmB_HEeaL2NULVTzAA_25_0"/>
      <w:bookmarkStart w:id="1451" w:name="Tc_psN4WbyUyEyXTjyNDckzwg_24_0"/>
      <w:bookmarkStart w:id="1452" w:name="Tc_JdbfRCN36EaxgLVBH5lY5Q_23_8"/>
      <w:bookmarkStart w:id="1453" w:name="Tc_AsxAcsCJB02-PWwhW4JS-Q_23_5"/>
      <w:bookmarkStart w:id="1454" w:name="Tc_RmFQz-dS_EupnrGFr97EyQ_23_2"/>
      <w:bookmarkStart w:id="1455" w:name="Tc_UP5zR0m8DEGfopJ5UEhpAQ_23_0"/>
      <w:bookmarkStart w:id="1456" w:name="Tc_bBkUILomu0mPmMd-axsMEg_22_0"/>
      <w:bookmarkStart w:id="1457" w:name="Tc_dqvc1Cj7MUSFpX1cR08DNA_21_2"/>
      <w:bookmarkStart w:id="1458" w:name="Tc_841b-ywTsUSVoxLSXSbjCQ_20_8"/>
      <w:bookmarkStart w:id="1459" w:name="Tc_SsJq8uxeA0-E4GUuGy83kA_20_5"/>
      <w:bookmarkStart w:id="1460" w:name="Tc_JXuDtysSiUyVVeN2iCRCZA_20_2"/>
      <w:bookmarkStart w:id="1461" w:name="Tc_pg79lFVP4U20-qIv22QshA_19_2"/>
      <w:bookmarkStart w:id="1462" w:name="Tc_jtIyzTqZEESBfzGRLwNyEw_17_8"/>
      <w:bookmarkStart w:id="1463" w:name="Tc_KK_CWvUK3Ei0lBqYPUk62g_17_5"/>
      <w:bookmarkStart w:id="1464" w:name="Tc_COhvC1zGGUm2X-Ki9kwvbQ_17_2"/>
      <w:bookmarkStart w:id="1465" w:name="Tc_2L0-zwJ64U23HH6r27lLFw_17_0"/>
      <w:bookmarkStart w:id="1466" w:name="Tc_ZT_EKZJqYUKxO_rtp7L1lA_16_0"/>
      <w:bookmarkStart w:id="1467" w:name="Tc_zXX9tJ8O4E6Iv6z-tEniJw_14_8"/>
      <w:bookmarkStart w:id="1468" w:name="Tc_0SLRAANgEEin53FlhTVWQA_14_5"/>
      <w:bookmarkStart w:id="1469" w:name="Tc_KtIzP1_qLUeurohckD5Akg_14_2"/>
      <w:bookmarkStart w:id="1470" w:name="Tc_XFQgXBubC0ybWpbgYwFyXw_14_0"/>
      <w:bookmarkStart w:id="1471" w:name="Tc_NU7DB0Qg8ECC7h8RE7JqZA_13_0"/>
      <w:bookmarkStart w:id="1472" w:name="Tc_3q3d46OgckKswzNT81OFYQ_12_0"/>
      <w:bookmarkStart w:id="1473" w:name="Tc_0iGky5Xr2k-PcXzSq4d8aw_11_8"/>
      <w:bookmarkStart w:id="1474" w:name="Tc_146tmAVpbEiCO4v3qoqagw_11_5"/>
      <w:bookmarkStart w:id="1475" w:name="Tc_y-O8il0omUyO8IsAeXvw1g_11_2"/>
      <w:bookmarkStart w:id="1476" w:name="Tc_V4TsCVHpkkiqdaBsmjFT-A_11_0"/>
      <w:bookmarkStart w:id="1477" w:name="Tc_f7h1I2lpUUO6q_ubUXDCow_10_0"/>
      <w:bookmarkStart w:id="1478" w:name="Tc_atigl6B87U6peL_rXXL3KA_8_8"/>
      <w:bookmarkStart w:id="1479" w:name="Tc_dVSsUbwDzUKa_xt7MR9QbQ_8_5"/>
      <w:bookmarkStart w:id="1480" w:name="Tc_KLdrz3pTF0CukxJibbhQUA_8_2"/>
      <w:bookmarkStart w:id="1481" w:name="Tc_1nIcet0GlEeQ8DvDsZApzA_8_0"/>
      <w:bookmarkStart w:id="1482" w:name="Tc_UToEhA-vIkui70nJfDYDbw_7_0"/>
      <w:bookmarkStart w:id="1483" w:name="Tc_xX8rcD2PVUmXCRYiFQDssg_6_0"/>
      <w:bookmarkStart w:id="1484" w:name="Tc_yUsdT9J5QkmZxyMo1eyM4A_5_8"/>
      <w:bookmarkStart w:id="1485" w:name="Tc_QAxPYflEzkipSGQpoCXQwg_5_5"/>
      <w:bookmarkStart w:id="1486" w:name="Tc_r-0bzW3o7E-aNWxVdl8aKQ_5_2"/>
      <w:bookmarkStart w:id="1487" w:name="Tc_COVrPIToDUiXltez1ODeig_5_0"/>
      <w:bookmarkStart w:id="1488" w:name="Tc_LW38P5gm4U2yohPSRSfctg_4_0"/>
      <w:bookmarkStart w:id="1489" w:name="Tc_WwIbYDapIU-0dKdiRJJwjA_3_2"/>
      <w:bookmarkStart w:id="1490" w:name="Tc_9BipcJYZkEeNpWR1iI2g3Q_2_8"/>
      <w:bookmarkStart w:id="1491" w:name="Tc_e9fI-6lke0OFayiQK6EEIw_2_5"/>
      <w:bookmarkStart w:id="1492" w:name="Tc_Z6I1m48xR0arRpFCPYtSaA_2_2"/>
      <w:bookmarkStart w:id="1493" w:name="Tc_skoJEOpYN0ytT4iHGbazrA_1_2"/>
      <w:bookmarkStart w:id="1494" w:name="_5ce13bce_5090_4d07_9d96_ef4ff43b1ade"/>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p>
    <w:tbl>
      <w:tblPr>
        <w:tblW w:w="560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34085" cy="175260"/>
                      <wp:effectExtent l="0" t="0" r="0" b="0"/>
                      <wp:wrapNone/>
                      <wp:docPr id="201" name="Frame20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4460" cy="175260"/>
                      <wp:effectExtent l="0" t="0" r="0" b="0"/>
                      <wp:wrapNone/>
                      <wp:docPr id="203" name="Frame2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8785" cy="175260"/>
                      <wp:effectExtent l="0" t="0" r="0" b="0"/>
                      <wp:wrapNone/>
                      <wp:docPr id="204" name="Frame2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1295" cy="175260"/>
                      <wp:effectExtent l="0" t="0" r="0" b="0"/>
                      <wp:wrapNone/>
                      <wp:docPr id="206" name="Frame20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18490" cy="175260"/>
                      <wp:effectExtent l="0" t="0" r="0" b="0"/>
                      <wp:wrapNone/>
                      <wp:docPr id="207" name="Frame20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4460" cy="175260"/>
                      <wp:effectExtent l="0" t="0" r="0" b="0"/>
                      <wp:wrapNone/>
                      <wp:docPr id="209" name="Frame2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99110" cy="175260"/>
                      <wp:effectExtent l="0" t="0" r="0" b="0"/>
                      <wp:wrapNone/>
                      <wp:docPr id="210" name="Frame210"/>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28,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47,578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52,449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61,574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62,820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8,691</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10,424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51,468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72,829</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57,693</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28,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17,237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50,663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94,535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103,917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106,826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108,905</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15,894</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19,207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87,288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128,747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115,416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115,531</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263,485</w:t>
            </w:r>
          </w:p>
        </w:tc>
      </w:tr>
    </w:tbl>
    <w:tbl>
      <w:tblPr>
        <w:tblW w:w="4131" w:type="dxa"/>
        <w:jc w:val="left"/>
        <w:tblInd w:w="0" w:type="dxa"/>
        <w:tblLayout w:type="fixed"/>
        <w:tblCellMar>
          <w:top w:w="28" w:type="dxa"/>
          <w:left w:w="28" w:type="dxa"/>
          <w:bottom w:w="28" w:type="dxa"/>
          <w:right w:w="28" w:type="dxa"/>
        </w:tblCellMar>
      </w:tblPr>
      <w:tblGrid>
        <w:gridCol w:w="124"/>
        <w:gridCol w:w="271"/>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296" w:type="dxa"/>
        <w:jc w:val="left"/>
        <w:tblInd w:w="0" w:type="dxa"/>
        <w:tblLayout w:type="fixed"/>
        <w:tblCellMar>
          <w:top w:w="28" w:type="dxa"/>
          <w:left w:w="28" w:type="dxa"/>
          <w:bottom w:w="28" w:type="dxa"/>
          <w:right w:w="28" w:type="dxa"/>
        </w:tblCellMar>
      </w:tblPr>
      <w:tblGrid>
        <w:gridCol w:w="124"/>
        <w:gridCol w:w="271"/>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9876" w:type="dxa"/>
        <w:jc w:val="left"/>
        <w:tblInd w:w="0" w:type="dxa"/>
        <w:tblLayout w:type="fixed"/>
        <w:tblCellMar>
          <w:top w:w="28" w:type="dxa"/>
          <w:left w:w="28" w:type="dxa"/>
          <w:bottom w:w="28" w:type="dxa"/>
          <w:right w:w="28" w:type="dxa"/>
        </w:tblCellMar>
      </w:tblPr>
      <w:tblGrid>
        <w:gridCol w:w="124"/>
        <w:gridCol w:w="271"/>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 xml:space="preserve">Revenue from the Company’s foreign operations was not material for the three and six months ended July 4, 2025 and June 28, 2024.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Geographical Information</w:t>
      </w:r>
    </w:p>
    <w:p>
      <w:pPr>
        <w:pStyle w:val="TextBody"/>
        <w:bidi w:val="0"/>
        <w:spacing w:before="0" w:after="0"/>
        <w:ind w:left="0" w:right="0" w:firstLine="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Substantially all of the Company’s consolidated revenue was derived from its operations in the U.S. The Company operates through a network of offices spread across 22 U.S. states, the District of Columbia, the Commonwealth of Puerto Rico, and Canada. Revenues from the Company’s Puerto Rican and Canadian operations were not material for the three and six months ended July 4, 2025, nor for the three and six months ended June 28,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Customer Concentration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six months ended July 4, 2025, the Company’s top 10 customers accounted for 52.5%, and 52.6%, respectively, of the Company’s consolidated contract revenue. For the three and six months ended June 28, 2024, the Company’s top 10 customers accounted for 52.4%, and 49.8%, respectively, of the Company’s consolidated contract revenue.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July 4, 2025, the Company had individual customers that accounted for more than 10% of its consolidated contract revenue. For the three months ended July 4, 2025, the Company derived 26.3% of its consolidated contract revenue from two customers, Southern California Edison and Clark County School District. For the six months ended July 4, 2025, the Company derived 25.3% of its consolidated contract revenue from two customers, Southern California Edison and Clark County School District. For the three and six months ended June 28, 2024, the Company had no individual customers that accounted for more than 10% of its consolidated contract 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 segment basis, the Company reports customers that accounted for more than 10% of its segment contract revenues. For the three months ended July 4, 2025, the Company derived 31.1% of its Energy segment revenues from two customers, Southern California Edison and Clark County School District, and no single customer accounted for 10% or more of the Company’s Engineering and Consulting segment revenues. For the six months ended July 4, 2025, the Company derived 30.2% of its Energy segment revenues from two customers, Southern California Edison and Clark County School District, and no single customer accounted for 10% or more of the Company’s Engineering and Consulting segment revenues. For the three and six months ended June 28, 2024, no single customer accounted for 10% or more of its Energy segment revenues. </w:t>
      </w:r>
      <w:r>
        <w:rPr>
          <w:rFonts w:ascii="Times New Roman;Times;serif" w:hAnsi="Times New Roman;Times;serif"/>
          <w:sz w:val="20"/>
          <w:shd w:fill="FFFFFF" w:val="clear"/>
        </w:rPr>
        <w:t>For the three and six months ended June 28, 2024, no single customer accounted for 10% or more of its Engineering and Consulting segment revenues.</w:t>
      </w:r>
    </w:p>
    <w:p>
      <w:pPr>
        <w:pStyle w:val="TextBody"/>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 geographical basis, through the six months ended July 4, 2025, the Company’s largest clients are based in California, New York, and Nevada. For the three and six months ended July 4, 2025, services provided to clients in California accounted for 44.6% and 42.4%, respectively, of the Company’s consolidated contract revenue, services provided to clients in New York accounted for 18.4% and 20.0%, respectively, of the Company’s consolidated contract revenue, and services provided to clients in Nevada accounted for 11.1% and 12.4%, respectively, of the Company’s consolidated contract revenue. Through the six months ended June 28, 2024, the Company’s largest clients are based in California and New York. For the three and six</w:t>
      </w:r>
      <w:r>
        <w:rPr>
          <w:rFonts w:ascii="Times New Roman;Times;serif" w:hAnsi="Times New Roman;Times;serif"/>
          <w:color w:val="212529"/>
          <w:sz w:val="20"/>
        </w:rPr>
        <w:t xml:space="preserve"> </w:t>
      </w:r>
      <w:r>
        <w:rPr>
          <w:rFonts w:ascii="Times New Roman;Times;serif" w:hAnsi="Times New Roman;Times;serif"/>
          <w:sz w:val="20"/>
        </w:rPr>
        <w:t>months ended June 28, 2024, services provided to clients in California accounted for 44.3% and 43.9%, respectively, of the Company’s consolidated contract revenue, and services provided to clients in New York accounted for 23.7% and 25.3%, respectively, of the Company’s consolidated contract revenue.</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10. INCOME TAXES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the Company’s consideration of future taxable income which is driven by verifiable signed contracts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the end of fiscal year 2024, the Company’s total valuation allowance was $1.1 million, reflecting a $0.1 million release of the valuation allowance balance of $1.2 million from the end of fiscal year 2023 as a result of expected future utilization of deferred tax assets. As of July 4, 2025, the Company assessed all available positive and negative evidence available to determine whether, based on the weight of that evidence, there was a change in judgment related to the utilization of deferred tax assets in future years. The Company concluded that as of July 4, 2025, the valuation allowance for the Company’s deferred tax assets was appropriate in accordance with ASC 740. Consequently, there was no change to the valuation allowance during the three and six months ended July 4,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During the three and six months ended July 4, 2025, and the three and six months ended June 28, 2024, the Company did not record a liability for uncertain tax 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Based on the Company’s estimates and determination of an effective tax rate for the year, the Company recorded an income tax benefit of $5.3 million and $4.7 million for the three and six months ended July 4, 2025, respectively, compared to an income tax expense of $0.7 million and $1.7 million for the three and six months ended June 28, 2024, respectively. During the three and six months ended July 4, 2025, the difference between the effective tax rate and the federal statutory rate was primarily attributable to state taxes, nondeductible executive compensation, deductions related to stock option exercises, research and development tax credits, and the commercial energy-efficiency building deduction. During the three and six months ended June 28, 2024, the difference between the effective tax rate and the federal statutory rate was primarily attributable to state taxes, non-deductible stock compensation, nondeductible executive compensation, research and development tax credits, and the commercial energy-efficiency building deduction.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4, 2025, the One Big Beautiful Bill Act ("OBBBA") was signed into law. The OBBBA makes permanent some key tax provisions for tax year 2025, including 100% bonus depreciation, immediate expensing of domestic research costs, and increased limitations for deducting business interest expense. In addition, the OBBBA includes key tax provisions that will take effect in future tax years, such as reduced deductions available for foreign derived income and the repeal of the energy-efficiency building deduction under Section 179D for property for which construction begins after June 30, 2026. ASC 740 requires the effects of changes in tax rates and laws on deferred tax balances to be recognized in the period in which the legislation is enacted. Accordingly, the effects of the OBBBA have been incorporated into the income tax provision computation for this period ended July 4, 2025 and the impact was not material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495" w:name="Tc_RB7cTq7QxUmB8WtNo9pUjQ_11_11"/>
      <w:bookmarkStart w:id="1496" w:name="Tc_zn65F2Hr3EejG52TmKbjVw_11_8"/>
      <w:bookmarkStart w:id="1497" w:name="Tc_au7FOfvQ1kOlRbc5ZpIqPw_11_5"/>
      <w:bookmarkStart w:id="1498" w:name="Tc_Ocw354LwkUSD7Z8EZGajyg_11_2"/>
      <w:bookmarkStart w:id="1499" w:name="Tc_6Fz0GgpqM0eCByz7b5T_1g_11_0"/>
      <w:bookmarkStart w:id="1500" w:name="Tc_hYlNvxyDDkmq5HhFtzl0lg_10_11"/>
      <w:bookmarkStart w:id="1501" w:name="Tc_uCDPjwKsfUuBx0x3MMUV1g_10_8"/>
      <w:bookmarkStart w:id="1502" w:name="Tc_HNn-32Kbb0qAQqjwSv83gQ_10_5"/>
      <w:bookmarkStart w:id="1503" w:name="Tc_CcKvy8cil0mGYk6H_B-9BQ_10_2"/>
      <w:bookmarkStart w:id="1504" w:name="Tc_17PoOHdzF0ulKM1hMBsl7g_10_0"/>
      <w:bookmarkStart w:id="1505" w:name="Tc_hbHwPkOSc0S5iLiHqc-XTg_9_0"/>
      <w:bookmarkStart w:id="1506" w:name="Tc_1epsZVlvcEKcxa-9miyTQw_8_0"/>
      <w:bookmarkStart w:id="1507" w:name="Tc_JH4QUdI1ak2lwyceDJI5Qg_7_0"/>
      <w:bookmarkStart w:id="1508" w:name="Tc_xq6xHQ78jEGsfclgLz5pFw_6_0"/>
      <w:bookmarkStart w:id="1509" w:name="Tc_jFEZZPrN9kK4xZSp-eUXhA_5_11"/>
      <w:bookmarkStart w:id="1510" w:name="Tc_mojP7riuCEiMtrTiNPekYA_5_8"/>
      <w:bookmarkStart w:id="1511" w:name="Tc_yFEWFpdpo0W9xdv41ZH3ww_5_5"/>
      <w:bookmarkStart w:id="1512" w:name="Tc_yOSiGSEjvUqgqgEQ2isWow_5_2"/>
      <w:bookmarkStart w:id="1513" w:name="Tc_ul-BXPf_t0-KttOLrqjrSA_5_0"/>
      <w:bookmarkStart w:id="1514" w:name="Tc_vHsaHhXS3U6PFswV_VcUAw_4_2"/>
      <w:bookmarkStart w:id="1515" w:name="Tc_w1WDT-RZJUqSAFMskgcpmw_3_11"/>
      <w:bookmarkStart w:id="1516" w:name="Tc_M4fNPXZ9gEiivYPE7eBo_g_3_8"/>
      <w:bookmarkStart w:id="1517" w:name="Tc_zvpPCkX8SUaOnvMXwQJHZA_3_5"/>
      <w:bookmarkStart w:id="1518" w:name="Tc__QXGUxU7-kqtR7ADrbrzgg_3_2"/>
      <w:bookmarkStart w:id="1519" w:name="Tc_VXnBGbC1dUynznLT7PAo1g_2_11"/>
      <w:bookmarkStart w:id="1520" w:name="Tc_DeUB6qHiokyd36hmrRafAQ_2_8"/>
      <w:bookmarkStart w:id="1521" w:name="Tc_BAwV8bFPpUuCaJSqG7rkJg_2_5"/>
      <w:bookmarkStart w:id="1522" w:name="Tc_3PE4dWFCDE2-lu0-g-lfTQ_2_2"/>
      <w:bookmarkStart w:id="1523" w:name="Tc_8lWrTFY7_kSNkQ9Y4vrBJA_1_8"/>
      <w:bookmarkStart w:id="1524" w:name="Tc_fgyJTLOsBEiMMKgBj0gs2g_1_2"/>
      <w:bookmarkStart w:id="1525" w:name="_d6162344_f958_4411_9488_f538b1cbcc31"/>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r>
        <w:rPr>
          <w:rFonts w:ascii="Times New Roman;Times;serif" w:hAnsi="Times New Roman;Times;serif"/>
          <w:b/>
          <w:sz w:val="20"/>
        </w:rPr>
        <w:t>11. EARNINGS PER SHARE (“EPS”)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weighted-average common shares outstanding used to compute basic and diluted EPS:</w:t>
      </w:r>
    </w:p>
    <w:p>
      <w:pPr>
        <w:pStyle w:val="TextBody"/>
        <w:bidi w:val="0"/>
        <w:spacing w:before="0" w:after="0"/>
        <w:ind w:left="0" w:right="0" w:hanging="0"/>
        <w:jc w:val="left"/>
        <w:rPr/>
      </w:pPr>
      <w:r>
        <w:rPr/>
        <w:t>​</w:t>
      </w:r>
    </w:p>
    <w:tbl>
      <w:tblPr>
        <w:tblW w:w="9758" w:type="dxa"/>
        <w:jc w:val="left"/>
        <w:tblInd w:w="0" w:type="dxa"/>
        <w:tblLayout w:type="fixed"/>
        <w:tblCellMar>
          <w:top w:w="0" w:type="dxa"/>
          <w:left w:w="0" w:type="dxa"/>
          <w:bottom w:w="0" w:type="dxa"/>
          <w:right w:w="0" w:type="dxa"/>
        </w:tblCellMar>
      </w:tblPr>
      <w:tblGrid>
        <w:gridCol w:w="4861"/>
        <w:gridCol w:w="326"/>
        <w:gridCol w:w="211"/>
        <w:gridCol w:w="676"/>
        <w:gridCol w:w="326"/>
        <w:gridCol w:w="211"/>
        <w:gridCol w:w="676"/>
        <w:gridCol w:w="326"/>
        <w:gridCol w:w="211"/>
        <w:gridCol w:w="676"/>
        <w:gridCol w:w="326"/>
        <w:gridCol w:w="211"/>
        <w:gridCol w:w="721"/>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086735" cy="175260"/>
                      <wp:effectExtent l="0" t="0" r="0" b="0"/>
                      <wp:wrapNone/>
                      <wp:docPr id="211" name="Frame211"/>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4" name="Frame2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7" name="Frame2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29260" cy="175260"/>
                      <wp:effectExtent l="0" t="0" r="0" b="0"/>
                      <wp:wrapNone/>
                      <wp:docPr id="220" name="Frame2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57835" cy="175260"/>
                      <wp:effectExtent l="0" t="0" r="0" b="0"/>
                      <wp:wrapNone/>
                      <wp:docPr id="223" name="Frame22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7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7,536</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13,665</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 awards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14,001</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July 4, 2025, the Company excluded 3,000 and 1,000 common shares subject to outstanding equity awards, respectively, from the calculation of diluted shares because their impact would have been anti-dilutive. For the three and six months ended June 28, 2024, the Company excluded 273,000 and 409,000 common shares subject to outstanding equity awards, respectively, from the calculation of diluted shares because their impact would have been anti-dilutive.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12. BUSINESS COMBINATIONS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Acquisition of Alternative Power Generation, Inc.</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March 3, 2025</w:t>
      </w:r>
      <w:r>
        <w:rPr>
          <w:rFonts w:ascii="Times New Roman;Times;serif" w:hAnsi="Times New Roman;Times;serif"/>
          <w:sz w:val="24"/>
        </w:rPr>
        <w:t> </w:t>
      </w:r>
      <w:r>
        <w:rPr>
          <w:rFonts w:ascii="Times New Roman;Times;serif" w:hAnsi="Times New Roman;Times;serif"/>
          <w:sz w:val="20"/>
        </w:rPr>
        <w:t>(the “APG Closing Date”), the Company, through its wholly owned subsidiary, WES, acquired all of the capital stock of Alternative Power Generation, Inc.</w:t>
      </w:r>
      <w:r>
        <w:rPr>
          <w:rFonts w:ascii="Times New Roman;Times;serif" w:hAnsi="Times New Roman;Times;serif"/>
          <w:sz w:val="24"/>
        </w:rPr>
        <w:t> </w:t>
      </w:r>
      <w:r>
        <w:rPr>
          <w:rFonts w:ascii="Times New Roman;Times;serif" w:hAnsi="Times New Roman;Times;serif"/>
          <w:sz w:val="20"/>
        </w:rPr>
        <w:t>(“APG”), pursuant to the terms of the Stock Purchase Agreement, dated as of March 3, 2025</w:t>
      </w:r>
      <w:r>
        <w:rPr>
          <w:rFonts w:ascii="Times New Roman;Times;serif" w:hAnsi="Times New Roman;Times;serif"/>
          <w:sz w:val="24"/>
        </w:rPr>
        <w:t xml:space="preserve"> </w:t>
      </w:r>
      <w:r>
        <w:rPr>
          <w:rFonts w:ascii="Times New Roman;Times;serif" w:hAnsi="Times New Roman;Times;serif"/>
          <w:sz w:val="20"/>
        </w:rPr>
        <w:t xml:space="preserve">(the “APG Stock Purchase Agreement”), by and among the Company, WES, and each of the stockholders of APG (the “APG Stockholders”).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APG provides innovative, progressive, and customized electric power solutions for EV charging, solar, AI data centers, microgrids, battery energy storage systems (BESS), and substations. APG offers consulting, design, engineering, procurement, and construction management. APG’s financial information is included within the Energy segment beginning in the first quarter of fiscal year 2025. The Company expects to finalize the purchase price allocation related to this transaction by the end of the fourth quarter of fiscal year 2025.</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Pursuant to the terms of the APG Stock Purchase Agreement, the Company agreed to pay up to $43.5</w:t>
      </w:r>
      <w:r>
        <w:rPr>
          <w:rFonts w:ascii="Times New Roman;Times;serif" w:hAnsi="Times New Roman;Times;serif"/>
          <w:sz w:val="24"/>
        </w:rPr>
        <w:t> </w:t>
      </w:r>
      <w:r>
        <w:rPr>
          <w:rFonts w:ascii="Times New Roman;Times;serif" w:hAnsi="Times New Roman;Times;serif"/>
          <w:sz w:val="20"/>
        </w:rPr>
        <w:t>million for the purchase of all the capital stock of APG, which purchase price consists of (i) $19.5</w:t>
      </w:r>
      <w:r>
        <w:rPr>
          <w:rFonts w:ascii="Times New Roman;Times;serif" w:hAnsi="Times New Roman;Times;serif"/>
          <w:sz w:val="24"/>
        </w:rPr>
        <w:t> </w:t>
      </w:r>
      <w:r>
        <w:rPr>
          <w:rFonts w:ascii="Times New Roman;Times;serif" w:hAnsi="Times New Roman;Times;serif"/>
          <w:sz w:val="20"/>
        </w:rPr>
        <w:t>million in cash paid on the APG Closing Date (subject to holdbacks and adjustments), (ii) $6.0</w:t>
      </w:r>
      <w:r>
        <w:rPr>
          <w:rFonts w:ascii="Times New Roman;Times;serif" w:hAnsi="Times New Roman;Times;serif"/>
          <w:sz w:val="24"/>
        </w:rPr>
        <w:t> </w:t>
      </w:r>
      <w:r>
        <w:rPr>
          <w:rFonts w:ascii="Times New Roman;Times;serif" w:hAnsi="Times New Roman;Times;serif"/>
          <w:sz w:val="20"/>
        </w:rPr>
        <w:t>million in shares of the Company’s common stock, based on the closing average price per share of the Company’s common stock for the twenty</w:t>
      </w:r>
      <w:r>
        <w:rPr>
          <w:rFonts w:ascii="Times New Roman;Times;serif" w:hAnsi="Times New Roman;Times;serif"/>
          <w:sz w:val="24"/>
        </w:rPr>
        <w:t> </w:t>
      </w:r>
      <w:r>
        <w:rPr>
          <w:rFonts w:ascii="Times New Roman;Times;serif" w:hAnsi="Times New Roman;Times;serif"/>
          <w:sz w:val="20"/>
        </w:rPr>
        <w:t>trading days preceding the APG Closing Date, and (iii) up to $18.0</w:t>
      </w:r>
      <w:r>
        <w:rPr>
          <w:rFonts w:ascii="Times New Roman;Times;serif" w:hAnsi="Times New Roman;Times;serif"/>
          <w:sz w:val="24"/>
        </w:rPr>
        <w:t> </w:t>
      </w:r>
      <w:r>
        <w:rPr>
          <w:rFonts w:ascii="Times New Roman;Times;serif" w:hAnsi="Times New Roman;Times;serif"/>
          <w:sz w:val="20"/>
        </w:rPr>
        <w:t>million in cash if APG exceeds certain financial targets during the three years</w:t>
      </w:r>
      <w:r>
        <w:rPr>
          <w:rFonts w:ascii="Times New Roman;Times;serif" w:hAnsi="Times New Roman;Times;serif"/>
          <w:sz w:val="24"/>
        </w:rPr>
        <w:t> </w:t>
      </w:r>
      <w:r>
        <w:rPr>
          <w:rFonts w:ascii="Times New Roman;Times;serif" w:hAnsi="Times New Roman;Times;serif"/>
          <w:sz w:val="20"/>
        </w:rPr>
        <w:t>after the APG Closing Date, as more fully described below (such potential payments of up to $18.0</w:t>
      </w:r>
      <w:r>
        <w:rPr>
          <w:rFonts w:ascii="Times New Roman;Times;serif" w:hAnsi="Times New Roman;Times;serif"/>
          <w:sz w:val="24"/>
        </w:rPr>
        <w:t> </w:t>
      </w:r>
      <w:r>
        <w:rPr>
          <w:rFonts w:ascii="Times New Roman;Times;serif" w:hAnsi="Times New Roman;Times;serif"/>
          <w:sz w:val="20"/>
        </w:rPr>
        <w:t>million being referred to as “APG Earnout Payments” and $18.0</w:t>
      </w:r>
      <w:r>
        <w:rPr>
          <w:rFonts w:ascii="Times New Roman;Times;serif" w:hAnsi="Times New Roman;Times;serif"/>
          <w:sz w:val="24"/>
        </w:rPr>
        <w:t> </w:t>
      </w:r>
      <w:r>
        <w:rPr>
          <w:rFonts w:ascii="Times New Roman;Times;serif" w:hAnsi="Times New Roman;Times;serif"/>
          <w:sz w:val="20"/>
        </w:rPr>
        <w:t>million in respect thereof, being referred to as the “APG Maximum Payout”).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amount of the APG Earnout Payments to be paid will be determined based on APG’s earnings before interest, taxes, depreciation and amortization (“APG EBITDA”). The APG Stockholders will receive APG Earnout Payments in each of the three years</w:t>
      </w:r>
      <w:r>
        <w:rPr>
          <w:rFonts w:ascii="Times New Roman;Times;serif" w:hAnsi="Times New Roman;Times;serif"/>
          <w:sz w:val="24"/>
        </w:rPr>
        <w:t> </w:t>
      </w:r>
      <w:r>
        <w:rPr>
          <w:rFonts w:ascii="Times New Roman;Times;serif" w:hAnsi="Times New Roman;Times;serif"/>
          <w:sz w:val="20"/>
        </w:rPr>
        <w:t>after the APG Closing Date (the “APG Earnout Period”) based on the amount by which APG EBITDA exceeds certain targets. The amounts due to the APG Stockholders as APG Earnout Payments will in no event, individually or in the aggregate, exceed the APG Maximum Payout. APG Earnout Payments will be made in annual installments for each of the three years</w:t>
      </w:r>
      <w:r>
        <w:rPr>
          <w:rFonts w:ascii="Times New Roman;Times;serif" w:hAnsi="Times New Roman;Times;serif"/>
          <w:sz w:val="24"/>
        </w:rPr>
        <w:t> </w:t>
      </w:r>
      <w:r>
        <w:rPr>
          <w:rFonts w:ascii="Times New Roman;Times;serif" w:hAnsi="Times New Roman;Times;serif"/>
          <w:sz w:val="20"/>
        </w:rPr>
        <w:t>of the APG Earnout Period. In addition, the APG Earnout Payments will be subject to certain subordination provisions in favor of the lenders under the Company’s 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APG Stock Purchase Agreement contains customary representations and warranties regarding the Company, WES, APG, and the APG Stockholders, indemnification provisions, and other provisions customary for transactions of this 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used cash on hand and restricted common stock to fund the initial purchase price on the APG Closing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APG’s assembled workforce. The Company estimates that the entire $33.5 million of goodwill resulting from the acquisition of APG will be tax deductible.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July 4, 2025, the purchase price allocation is preliminary and subject to change within the measurement period (not to exceed twelve months following the APG Closing Date). The areas of the purchase price allocation that are not yet finalized relate primarily to contingent consideration valuation, intangible assets, and goodwill. </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526" w:name="Tc_CauSPqQBBkuAMLXRoPN6jA_11_2"/>
      <w:bookmarkStart w:id="1527" w:name="Tc_ayu-5yVXY0CaXJDSnSjX_A_11_0"/>
      <w:bookmarkStart w:id="1528" w:name="Tc_qgJpxapq5Eeh1IUukvNdOw_10_0"/>
      <w:bookmarkStart w:id="1529" w:name="Tc_OQvpckj4gUySNWAiVPWzUg_9_0"/>
      <w:bookmarkStart w:id="1530" w:name="Tc_aO2W5DrW_E6tkKi93rj6wg_8_0"/>
      <w:bookmarkStart w:id="1531" w:name="Tc_bBZfU6fLUEClfwOMCh7U_g_7_0"/>
      <w:bookmarkStart w:id="1532" w:name="Tc_dBJzQ1SPyUiS8651Rd6upA_6_0"/>
      <w:bookmarkStart w:id="1533" w:name="Tc_M21J1lQTFU-fW6v02d2coA_5_0"/>
      <w:bookmarkStart w:id="1534" w:name="Tc_RwhI_RJVF0SM9gwh4rzbCQ_4_0"/>
      <w:bookmarkStart w:id="1535" w:name="Tc_SCwm-N6DyEGV_y-2MLovDQ_3_2"/>
      <w:bookmarkStart w:id="1536" w:name="Tc_SS5o76C3okmIjZHTcCHGog_3_0"/>
      <w:bookmarkStart w:id="1537" w:name="Tc_PaXYDVdXAUm39Hqn1nC90w_2_2"/>
      <w:bookmarkStart w:id="1538" w:name="Tc_MdgAdGe3cU6UtCEJCque7g_1_2"/>
      <w:bookmarkStart w:id="1539" w:name="_8443c062_b209_4610_a2b6_d3441f9521e0"/>
      <w:bookmarkStart w:id="1540" w:name="Tc_84cbFhUqn02MXVX1jXPLrg_7_2"/>
      <w:bookmarkStart w:id="1541" w:name="Tc_g-xY7aRu5UuXD7f_F3T2ew_7_0"/>
      <w:bookmarkStart w:id="1542" w:name="Tc_k2a80NWS-06aUUlRTNeorA_6_0"/>
      <w:bookmarkStart w:id="1543" w:name="Tc_aSxE6ifLI0qt3OIYtf1J9g_5_0"/>
      <w:bookmarkStart w:id="1544" w:name="Tc_yzd4QfcXkEun6zmumqdAPg_4_3"/>
      <w:bookmarkStart w:id="1545" w:name="Tc_py_FNWuCFEqfflvEq_5dCQ_4_0"/>
      <w:bookmarkStart w:id="1546" w:name="Tc_01DEqU0aDEeqPfKs26xMvA_3_2"/>
      <w:bookmarkStart w:id="1547" w:name="Tc_OFIeE4_mzE-MNO2R7xj9-A_3_0"/>
      <w:bookmarkStart w:id="1548" w:name="Tc_YB23qdIT3EGJEeKKGhMOGA_2_2"/>
      <w:bookmarkStart w:id="1549" w:name="Tc_H23OEq6LiE-rO9devuo8uA_1_2"/>
      <w:bookmarkStart w:id="1550" w:name="_454502d9_028a_4083_a6c4_14ce7030f95f"/>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r>
        <w:rPr>
          <w:rFonts w:ascii="Times New Roman;Times;serif" w:hAnsi="Times New Roman;Times;serif"/>
          <w:sz w:val="20"/>
        </w:rPr>
        <w:t xml:space="preserve">The Company expects to continue to obtain information for the purpose of determining the fair value of the assets acquired on the APG Closing Date throughout the remainder of the measurement period. Accordingly, adjustments may be made as additional information is obtained about the facts and circumstances that existed as of the valuation date. Any adjustments will be recorded in the period in which they are identified. In addition, the Company engaged a third-party independent valuation specialist to assist in management’s determination of fair values of tangible and intangible assets acquired and liabilities assumed, including the determination of the fair value of the contingent consideration liability. The Company’s third-party independent valuation specialist determined the initial fair value of the contingent consideration liability utilizing a Monte Carlo valuation model, which involves a simulation of future revenues during the earn out-period using management’s best estimates, or a probability-weighted discounted cash flow analysis.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Preliminary consideration for the acquisition of APG includes the following:</w:t>
      </w:r>
    </w:p>
    <w:p>
      <w:pPr>
        <w:pStyle w:val="TextBody"/>
        <w:bidi w:val="0"/>
        <w:spacing w:before="0" w:after="0"/>
        <w:ind w:left="0" w:right="0" w:hanging="0"/>
        <w:jc w:val="left"/>
        <w:rPr/>
      </w:pPr>
      <w:r>
        <w:rPr/>
        <w:t>​</w:t>
      </w:r>
    </w:p>
    <w:tbl>
      <w:tblPr>
        <w:tblW w:w="5622" w:type="dxa"/>
        <w:jc w:val="left"/>
        <w:tblInd w:w="0" w:type="dxa"/>
        <w:tblLayout w:type="fixed"/>
        <w:tblCellMar>
          <w:top w:w="0" w:type="dxa"/>
          <w:left w:w="0" w:type="dxa"/>
          <w:bottom w:w="0" w:type="dxa"/>
          <w:right w:w="0" w:type="dxa"/>
        </w:tblCellMar>
      </w:tblPr>
      <w:tblGrid>
        <w:gridCol w:w="4141"/>
        <w:gridCol w:w="326"/>
        <w:gridCol w:w="243"/>
        <w:gridCol w:w="912"/>
      </w:tblGrid>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54305" cy="175260"/>
                      <wp:effectExtent l="0" t="0" r="0" b="0"/>
                      <wp:wrapNone/>
                      <wp:docPr id="225" name="Frame22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79120" cy="175260"/>
                      <wp:effectExtent l="0" t="0" r="0" b="0"/>
                      <wp:wrapNone/>
                      <wp:docPr id="226" name="Frame226"/>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APG</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20,830</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working capital adjustments and holdbacks</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12,040</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38,427</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amounts for the acquired assets recorded at their estimated fair value as of the acquisition date:</w:t>
      </w:r>
    </w:p>
    <w:p>
      <w:pPr>
        <w:pStyle w:val="TextBody"/>
        <w:bidi w:val="0"/>
        <w:spacing w:before="0" w:after="0"/>
        <w:ind w:left="0" w:right="0" w:hanging="0"/>
        <w:jc w:val="left"/>
        <w:rPr/>
      </w:pPr>
      <w:r>
        <w:rPr/>
        <w:t>​</w:t>
      </w:r>
    </w:p>
    <w:tbl>
      <w:tblPr>
        <w:tblW w:w="3732" w:type="dxa"/>
        <w:jc w:val="left"/>
        <w:tblInd w:w="0" w:type="dxa"/>
        <w:tblLayout w:type="fixed"/>
        <w:tblCellMar>
          <w:top w:w="0" w:type="dxa"/>
          <w:left w:w="0" w:type="dxa"/>
          <w:bottom w:w="0" w:type="dxa"/>
          <w:right w:w="0" w:type="dxa"/>
        </w:tblCellMar>
      </w:tblPr>
      <w:tblGrid>
        <w:gridCol w:w="2251"/>
        <w:gridCol w:w="326"/>
        <w:gridCol w:w="231"/>
        <w:gridCol w:w="924"/>
      </w:tblGrid>
      <w:tr>
        <w:trPr/>
        <w:tc>
          <w:tcPr>
            <w:tcW w:w="225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895"/>
                      <wp:effectExtent l="0" t="0" r="0" b="0"/>
                      <wp:wrapNone/>
                      <wp:docPr id="227" name="Frame227"/>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46685" cy="175895"/>
                      <wp:effectExtent l="0" t="0" r="0" b="0"/>
                      <wp:wrapNone/>
                      <wp:docPr id="228" name="Frame228"/>
                      <a:graphic xmlns:a="http://schemas.openxmlformats.org/drawingml/2006/main">
                        <a:graphicData uri="http://schemas.microsoft.com/office/word/2010/wordprocessingShape">
                          <wps:wsp>
                            <wps:cNvSpPr txBox="1"/>
                            <wps:spPr>
                              <a:xfrm>
                                <a:off x="0" y="0"/>
                                <a:ext cx="146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86740" cy="175895"/>
                      <wp:effectExtent l="0" t="0" r="0" b="0"/>
                      <wp:wrapNone/>
                      <wp:docPr id="229" name="Frame229"/>
                      <a:graphic xmlns:a="http://schemas.openxmlformats.org/drawingml/2006/main">
                        <a:graphicData uri="http://schemas.microsoft.com/office/word/2010/wordprocessingShape">
                          <wps:wsp>
                            <wps:cNvSpPr txBox="1"/>
                            <wps:spPr>
                              <a:xfrm>
                                <a:off x="0" y="0"/>
                                <a:ext cx="5867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APG</w:t>
            </w:r>
          </w:p>
        </w:tc>
      </w:tr>
      <w:tr>
        <w:trPr/>
        <w:tc>
          <w:tcPr>
            <w:tcW w:w="225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155" w:type="dxa"/>
            <w:gridSpan w:val="2"/>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1" w:after="1"/>
              <w:ind w:left="0" w:right="0" w:hanging="0"/>
              <w:jc w:val="left"/>
              <w:rPr/>
            </w:pPr>
            <w:r>
              <w:rPr/>
              <w:t>​</w:t>
            </w:r>
          </w:p>
        </w:tc>
        <w:tc>
          <w:tcPr>
            <w:tcW w:w="2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10,606</w:t>
            </w:r>
          </w:p>
        </w:tc>
      </w:tr>
      <w:tr>
        <w:trPr/>
        <w:tc>
          <w:tcPr>
            <w:tcW w:w="2251"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Non-current assets </w:t>
            </w:r>
            <w:r>
              <w:rPr>
                <w:rFonts w:ascii="Times New Roman;Times;serif" w:hAnsi="Times New Roman;Times;serif"/>
                <w:sz w:val="15"/>
              </w:rPr>
              <w:t>(1)</w:t>
            </w:r>
          </w:p>
        </w:tc>
        <w:tc>
          <w:tcPr>
            <w:tcW w:w="326" w:type="dxa"/>
            <w:tcBorders/>
            <w:vAlign w:val="center"/>
          </w:tcPr>
          <w:p>
            <w:pPr>
              <w:pStyle w:val="TableContents"/>
              <w:bidi w:val="0"/>
              <w:spacing w:before="1" w:after="1"/>
              <w:ind w:left="0" w:right="0" w:hanging="0"/>
              <w:jc w:val="left"/>
              <w:rPr/>
            </w:pPr>
            <w:r>
              <w:rPr/>
              <w:t>​</w:t>
            </w:r>
          </w:p>
        </w:tc>
        <w:tc>
          <w:tcPr>
            <w:tcW w:w="231" w:type="dxa"/>
            <w:tcBorders/>
            <w:vAlign w:val="center"/>
          </w:tcPr>
          <w:p>
            <w:pPr>
              <w:pStyle w:val="TableContents"/>
              <w:bidi w:val="0"/>
              <w:spacing w:before="1" w:after="1"/>
              <w:ind w:left="0" w:right="0" w:hanging="0"/>
              <w:jc w:val="left"/>
              <w:rPr/>
            </w:pPr>
            <w:r>
              <w:rPr/>
              <w:t>​</w:t>
            </w:r>
          </w:p>
        </w:tc>
        <w:tc>
          <w:tcPr>
            <w:tcW w:w="924"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2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1" w:after="1"/>
              <w:ind w:left="0" w:right="0" w:hanging="0"/>
              <w:jc w:val="left"/>
              <w:rPr/>
            </w:pPr>
            <w:r>
              <w:rPr/>
              <w:t>​</w:t>
            </w:r>
          </w:p>
        </w:tc>
        <w:tc>
          <w:tcPr>
            <w:tcW w:w="231" w:type="dxa"/>
            <w:tcBorders/>
            <w:shd w:fill="CCEEFF" w:val="clear"/>
            <w:vAlign w:val="center"/>
          </w:tcPr>
          <w:p>
            <w:pPr>
              <w:pStyle w:val="TableContents"/>
              <w:bidi w:val="0"/>
              <w:spacing w:before="1" w:after="1"/>
              <w:ind w:left="0" w:right="0" w:hanging="0"/>
              <w:jc w:val="left"/>
              <w:rPr/>
            </w:pPr>
            <w:r>
              <w:rPr/>
              <w:t>​</w:t>
            </w:r>
          </w:p>
        </w:tc>
        <w:tc>
          <w:tcPr>
            <w:tcW w:w="92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(12,549)</w:t>
            </w:r>
          </w:p>
        </w:tc>
      </w:tr>
      <w:tr>
        <w:trPr/>
        <w:tc>
          <w:tcPr>
            <w:tcW w:w="22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liability</w:t>
            </w:r>
          </w:p>
        </w:tc>
        <w:tc>
          <w:tcPr>
            <w:tcW w:w="326" w:type="dxa"/>
            <w:tcBorders/>
            <w:vAlign w:val="center"/>
          </w:tcPr>
          <w:p>
            <w:pPr>
              <w:pStyle w:val="TableContents"/>
              <w:bidi w:val="0"/>
              <w:spacing w:before="1" w:after="1"/>
              <w:ind w:left="0" w:right="0" w:hanging="0"/>
              <w:jc w:val="left"/>
              <w:rPr/>
            </w:pPr>
            <w:r>
              <w:rPr/>
              <w:t>​</w:t>
            </w:r>
          </w:p>
        </w:tc>
        <w:tc>
          <w:tcPr>
            <w:tcW w:w="231" w:type="dxa"/>
            <w:tcBorders/>
            <w:vAlign w:val="center"/>
          </w:tcPr>
          <w:p>
            <w:pPr>
              <w:pStyle w:val="TableContents"/>
              <w:bidi w:val="0"/>
              <w:spacing w:before="1" w:after="1"/>
              <w:ind w:left="0" w:right="0" w:hanging="0"/>
              <w:jc w:val="left"/>
              <w:rPr/>
            </w:pPr>
            <w:r>
              <w:rPr/>
              <w:t>​</w:t>
            </w:r>
          </w:p>
        </w:tc>
        <w:tc>
          <w:tcPr>
            <w:tcW w:w="924"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22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shd w:fill="CCEEFF" w:val="clear"/>
            <w:vAlign w:val="center"/>
          </w:tcPr>
          <w:p>
            <w:pPr>
              <w:pStyle w:val="TableContents"/>
              <w:bidi w:val="0"/>
              <w:spacing w:before="1" w:after="1"/>
              <w:ind w:left="0" w:right="0" w:hanging="0"/>
              <w:jc w:val="left"/>
              <w:rPr/>
            </w:pPr>
            <w:r>
              <w:rPr/>
              <w:t>​</w:t>
            </w:r>
          </w:p>
        </w:tc>
        <w:tc>
          <w:tcPr>
            <w:tcW w:w="231" w:type="dxa"/>
            <w:tcBorders/>
            <w:shd w:fill="CCEEFF" w:val="clear"/>
            <w:vAlign w:val="center"/>
          </w:tcPr>
          <w:p>
            <w:pPr>
              <w:pStyle w:val="TableContents"/>
              <w:bidi w:val="0"/>
              <w:spacing w:before="1" w:after="1"/>
              <w:ind w:left="0" w:right="0" w:hanging="0"/>
              <w:jc w:val="left"/>
              <w:rPr/>
            </w:pPr>
            <w:r>
              <w:rPr/>
              <w:t>​</w:t>
            </w:r>
          </w:p>
        </w:tc>
        <w:tc>
          <w:tcPr>
            <w:tcW w:w="92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2,372</w:t>
            </w:r>
          </w:p>
        </w:tc>
      </w:tr>
      <w:tr>
        <w:trPr/>
        <w:tc>
          <w:tcPr>
            <w:tcW w:w="22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1" w:after="1"/>
              <w:ind w:left="0" w:right="0" w:hanging="0"/>
              <w:jc w:val="left"/>
              <w:rPr/>
            </w:pPr>
            <w:r>
              <w:rPr/>
              <w:t>​</w:t>
            </w:r>
          </w:p>
        </w:tc>
        <w:tc>
          <w:tcPr>
            <w:tcW w:w="231" w:type="dxa"/>
            <w:tcBorders/>
            <w:vAlign w:val="center"/>
          </w:tcPr>
          <w:p>
            <w:pPr>
              <w:pStyle w:val="TableContents"/>
              <w:bidi w:val="0"/>
              <w:spacing w:before="1" w:after="1"/>
              <w:ind w:left="0" w:right="0" w:hanging="0"/>
              <w:jc w:val="left"/>
              <w:rPr/>
            </w:pPr>
            <w:r>
              <w:rPr/>
              <w:t>​</w:t>
            </w:r>
          </w:p>
        </w:tc>
        <w:tc>
          <w:tcPr>
            <w:tcW w:w="924"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3,313</w:t>
            </w:r>
          </w:p>
        </w:tc>
      </w:tr>
      <w:tr>
        <w:trPr/>
        <w:tc>
          <w:tcPr>
            <w:tcW w:w="22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shd w:fill="CCEEFF" w:val="clear"/>
            <w:vAlign w:val="center"/>
          </w:tcPr>
          <w:p>
            <w:pPr>
              <w:pStyle w:val="TableContents"/>
              <w:bidi w:val="0"/>
              <w:spacing w:before="1" w:after="1"/>
              <w:ind w:left="0" w:right="0" w:hanging="0"/>
              <w:jc w:val="left"/>
              <w:rPr/>
            </w:pPr>
            <w:r>
              <w:rPr/>
              <w:t>​</w:t>
            </w:r>
          </w:p>
        </w:tc>
        <w:tc>
          <w:tcPr>
            <w:tcW w:w="231" w:type="dxa"/>
            <w:tcBorders/>
            <w:shd w:fill="CCEEFF" w:val="clear"/>
            <w:vAlign w:val="center"/>
          </w:tcPr>
          <w:p>
            <w:pPr>
              <w:pStyle w:val="TableContents"/>
              <w:bidi w:val="0"/>
              <w:spacing w:before="1" w:after="1"/>
              <w:ind w:left="0" w:right="0" w:hanging="0"/>
              <w:jc w:val="left"/>
              <w:rPr/>
            </w:pPr>
            <w:r>
              <w:rPr/>
              <w:t>​</w:t>
            </w:r>
          </w:p>
        </w:tc>
        <w:tc>
          <w:tcPr>
            <w:tcW w:w="92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1,407</w:t>
            </w:r>
          </w:p>
        </w:tc>
      </w:tr>
      <w:tr>
        <w:trPr/>
        <w:tc>
          <w:tcPr>
            <w:tcW w:w="22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1"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33,506</w:t>
            </w:r>
          </w:p>
        </w:tc>
      </w:tr>
      <w:tr>
        <w:trPr/>
        <w:tc>
          <w:tcPr>
            <w:tcW w:w="22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326" w:type="dxa"/>
            <w:tcBorders/>
            <w:shd w:fill="CCEEFF" w:val="clear"/>
            <w:vAlign w:val="center"/>
          </w:tcPr>
          <w:p>
            <w:pPr>
              <w:pStyle w:val="TableContents"/>
              <w:bidi w:val="0"/>
              <w:spacing w:before="1"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38,427</w:t>
            </w:r>
          </w:p>
        </w:tc>
      </w:tr>
    </w:tbl>
    <w:p>
      <w:pPr>
        <w:pStyle w:val="TextBody"/>
        <w:bidi w:val="0"/>
        <w:spacing w:before="100" w:after="100"/>
        <w:ind w:left="0" w:right="0" w:firstLine="720"/>
        <w:jc w:val="left"/>
        <w:rPr/>
      </w:pPr>
      <w:r>
        <w:rPr/>
        <w:t>​</w:t>
      </w:r>
    </w:p>
    <w:tbl>
      <w:tblPr>
        <w:tblW w:w="7341" w:type="dxa"/>
        <w:jc w:val="left"/>
        <w:tblInd w:w="0" w:type="dxa"/>
        <w:tblLayout w:type="fixed"/>
        <w:tblCellMar>
          <w:top w:w="28" w:type="dxa"/>
          <w:left w:w="28" w:type="dxa"/>
          <w:bottom w:w="28" w:type="dxa"/>
          <w:right w:w="28" w:type="dxa"/>
        </w:tblCellMar>
      </w:tblPr>
      <w:tblGrid>
        <w:gridCol w:w="124"/>
        <w:gridCol w:w="271"/>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Excluded from non-current assets are backlog, customer relationships, tradename, and goodwill.</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July 4, 2025, the Company made adjustments, primarily related to other working capital adjustments and holdbacks, to the consideration paid for APG which resulted in an adjustment to the preliminary purchase price allocation of APG. The adjustments resulted in an aggregate increase of $8.6 million in the net carrying value of backlog and goodwill, and an aggregate decrease of $5.4 million in the net carrying value of customer relationships and tradename. The increase in the fair value of intangible assets resulted in no change in the amortization expense for the three and six months ended July 4,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July 4, 2025, there were no acquisition related costs associated with APG included in other general and administrative expenses in the condensed consolidated statements of comprehensive income. For the six months ended July 4, 2025, there were $0.2 million in acquisition related costs associated with APG included in other general and administrative expenses in the condensed consolidated statements of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July 4, 2025, the acquisition of APG contributed $7.3 million and $9.9 million in revenue and contributed $0.8 million and $0.9 million in income from operations.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Acquisition of Alpha Inspections, Inc.</w:t>
      </w:r>
    </w:p>
    <w:p>
      <w:pPr>
        <w:pStyle w:val="TextBody"/>
        <w:bidi w:val="0"/>
        <w:spacing w:before="0" w:after="0"/>
        <w:ind w:left="0" w:right="0" w:firstLine="720"/>
        <w:jc w:val="left"/>
        <w:rPr>
          <w:shd w:fill="FFFF00" w:val="clear"/>
        </w:rPr>
      </w:pPr>
      <w:r>
        <w:rPr>
          <w:shd w:fill="FFFF00" w:val="clear"/>
        </w:rPr>
        <w:t>​</w:t>
      </w:r>
    </w:p>
    <w:p>
      <w:pPr>
        <w:pStyle w:val="TextBody"/>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On January 31, 2025</w:t>
      </w:r>
      <w:r>
        <w:rPr>
          <w:rFonts w:ascii="Times New Roman;Times;serif" w:hAnsi="Times New Roman;Times;serif"/>
          <w:sz w:val="24"/>
        </w:rPr>
        <w:t> </w:t>
      </w:r>
      <w:r>
        <w:rPr>
          <w:rFonts w:ascii="Times New Roman;Times;serif" w:hAnsi="Times New Roman;Times;serif"/>
          <w:sz w:val="20"/>
        </w:rPr>
        <w:t>(the “Alpha Closing Date”), the Company, through its wholly owned subsidiary, Willdan Engineering, Inc., acquired all of the capital stock of Alpha Inspections, Inc.</w:t>
      </w:r>
      <w:r>
        <w:rPr>
          <w:rFonts w:ascii="Times New Roman;Times;serif" w:hAnsi="Times New Roman;Times;serif"/>
          <w:sz w:val="24"/>
        </w:rPr>
        <w:t> </w:t>
      </w:r>
      <w:r>
        <w:rPr>
          <w:rFonts w:ascii="Times New Roman;Times;serif" w:hAnsi="Times New Roman;Times;serif"/>
          <w:sz w:val="20"/>
        </w:rPr>
        <w:t>(“Alpha”), pursuant to the terms of the Stock Purchase Agreement, dated as of January 31, 2025</w:t>
      </w:r>
      <w:r>
        <w:rPr>
          <w:rFonts w:ascii="Times New Roman;Times;serif" w:hAnsi="Times New Roman;Times;serif"/>
          <w:sz w:val="24"/>
        </w:rPr>
        <w:t> </w:t>
      </w:r>
      <w:r>
        <w:rPr>
          <w:rFonts w:ascii="Times New Roman;Times;serif" w:hAnsi="Times New Roman;Times;serif"/>
          <w:sz w:val="20"/>
        </w:rPr>
        <w:t>(the “Alpha Stock Purchase Agreement”), by and among the Company, Willdan Engineering, Inc., and the sole shareholder of Alpha Inspections, Inc. (the “Alpha Member”). </w:t>
      </w:r>
    </w:p>
    <w:p>
      <w:pPr>
        <w:pStyle w:val="TextBody"/>
        <w:shd w:fill="FFFFFF" w:val="clear"/>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Alpha is a company that provides an array of municipal services including building inspections, and plan reviews. Alpha’s financial information is included within the Engineering and Consulting segment beginning in the first quarter of fiscal year 2025 and the Company expects to finalize the purchase price allocation related to this transaction by the end of the fourth quarter of fiscal year 2025.</w:t>
      </w:r>
    </w:p>
    <w:p>
      <w:pPr>
        <w:pStyle w:val="TextBody"/>
        <w:shd w:fill="FFFFFF" w:val="clear"/>
        <w:bidi w:val="0"/>
        <w:spacing w:before="100" w:after="10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Alpha Stock Purchase Agreement, the purchase price consisted of $12.0 million to be paid in cash on the Alpha Closing Date (subject to holdbacks and adjustments). The Alpha Stock Purchase Agreement contains customary representations and warranties regarding the Company, Willdan Engineering, Alpha, and the Alpha Member, indemnification provisions and other provisions customary for transactions of this nature. Pursuant to the terms of the Alpha Stock Purchase Agreement, the Company, and Willdan Engineering, provided guarantees to the Alpha Member which guarantee certain of Alpha’s obligations under the Alpha Stock Purchase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used cash on hand to fund the purchase price on the Alpha Closing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Alpha’s assembled workforce. The Company estimates that the entire $7.9 million of goodwill resulting from the acquisition of Alpha will be tax deductible.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July 4, 2025, the purchase price allocation is preliminary and subject to change. The preliminary purchase price allocation was based upon the Company’s estimates and assumptions are subject to change within the measurement period (not to exceed twelve months following the Alpha Closing Date). The areas of the purchase price allocation that are not yet finalized relate primarily to intangible assets and goodwill.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preliminary estimate of the fair values for intangible assets were calculated utilizing a weighted average allocation derived from previous valuation studies performed by a third-party valuation firm for the Company’s historical acquisitions with similar characteristics. The Company expects to continue to obtain information for the purpose of determining the fair value of the assets acquired on the Alpha Closing Date throughout the remainder of the measurement period. Accordingly, adjustments may be made as additional information is obtained about the facts and circumstances that existed as of the valuation date. In addition, the Company expects to engage a third-party independent valuation specialist to assist in management’s determination of fair values of intangible assets acquired. Any adjustments will be recorded in the period in which they are identified.</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1551" w:name="Tc_IO-7AaUQlkuH5kH9jp2-CA_10_2"/>
      <w:bookmarkStart w:id="1552" w:name="Tc_RyCq-i_tfEiNMltccOA-tQ_10_0"/>
      <w:bookmarkStart w:id="1553" w:name="Tc_U9TGXKMDe0iiDTg8bEIJZg_9_0"/>
      <w:bookmarkStart w:id="1554" w:name="Tc_FGbRrGbgYkqKHdonNQ3rJw_8_0"/>
      <w:bookmarkStart w:id="1555" w:name="Tc_MTVJJBJgsk69Iuen18APlg_7_0"/>
      <w:bookmarkStart w:id="1556" w:name="Tc_Ue4heSP4xUSPVx8YEV_K0g_6_0"/>
      <w:bookmarkStart w:id="1557" w:name="Tc_BnDlWhEj6EiOBls7igJgQA_5_0"/>
      <w:bookmarkStart w:id="1558" w:name="Tc_erU4S3XO0U-kpf3cn_B1WQ_4_0"/>
      <w:bookmarkStart w:id="1559" w:name="Tc_Qb-7NFNnrkCoeZsdtGjrbg_3_2"/>
      <w:bookmarkStart w:id="1560" w:name="Tc_NCVAEj--F0q3YT5uJFFkmw_3_0"/>
      <w:bookmarkStart w:id="1561" w:name="Tc_7D_yF6AUlU6ukhguvHm2AQ_2_2"/>
      <w:bookmarkStart w:id="1562" w:name="Tc_WmZKJfoIgES1eYg1dvtW3g_1_2"/>
      <w:bookmarkStart w:id="1563" w:name="_20320d06_ad6c_4823_92e5_653ace0a7b67"/>
      <w:bookmarkStart w:id="1564" w:name="Tc_1vSZvyF2oUyPCueKBQfwFg_5_2"/>
      <w:bookmarkStart w:id="1565" w:name="Tc_2vj2LLwqQE2UsZf0j1r0_A_5_0"/>
      <w:bookmarkStart w:id="1566" w:name="Tc_pu_S-wQ2FkWWhCJnBxCQcg_4_3"/>
      <w:bookmarkStart w:id="1567" w:name="Tc_RaFxoJjiFUiAJEs_Nl0k2w_4_0"/>
      <w:bookmarkStart w:id="1568" w:name="Tc_6qRWrOPLNUuoD_nlW0Ztlg_3_2"/>
      <w:bookmarkStart w:id="1569" w:name="Tc_Xh6obn9_U0ahWiV7Hn1pOw_3_0"/>
      <w:bookmarkStart w:id="1570" w:name="Tc_MQzj6yy26EqtkAsZMjJ0Gw_2_2"/>
      <w:bookmarkStart w:id="1571" w:name="Tc_vW6_fS4t-0em0Nf9yC8jLA_1_2"/>
      <w:bookmarkStart w:id="1572" w:name="_bed7f975_f791_4819_81a8_c20593200c58"/>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r>
        <w:rPr>
          <w:rFonts w:ascii="Times New Roman;Times;serif" w:hAnsi="Times New Roman;Times;serif"/>
          <w:sz w:val="20"/>
        </w:rPr>
        <w:t>Preliminary consideration for the acquisition of Alpha includes the following:</w:t>
      </w:r>
    </w:p>
    <w:p>
      <w:pPr>
        <w:pStyle w:val="TextBody"/>
        <w:bidi w:val="0"/>
        <w:spacing w:before="0" w:after="0"/>
        <w:ind w:left="0" w:right="0" w:hanging="0"/>
        <w:jc w:val="left"/>
        <w:rPr/>
      </w:pPr>
      <w:r>
        <w:rPr/>
        <w:t>​</w:t>
      </w:r>
    </w:p>
    <w:tbl>
      <w:tblPr>
        <w:tblW w:w="5622" w:type="dxa"/>
        <w:jc w:val="left"/>
        <w:tblInd w:w="0" w:type="dxa"/>
        <w:tblLayout w:type="fixed"/>
        <w:tblCellMar>
          <w:top w:w="0" w:type="dxa"/>
          <w:left w:w="0" w:type="dxa"/>
          <w:bottom w:w="0" w:type="dxa"/>
          <w:right w:w="0" w:type="dxa"/>
        </w:tblCellMar>
      </w:tblPr>
      <w:tblGrid>
        <w:gridCol w:w="4141"/>
        <w:gridCol w:w="326"/>
        <w:gridCol w:w="243"/>
        <w:gridCol w:w="912"/>
      </w:tblGrid>
      <w:tr>
        <w:trPr/>
        <w:tc>
          <w:tcPr>
            <w:tcW w:w="41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895"/>
                      <wp:effectExtent l="0" t="0" r="0" b="0"/>
                      <wp:wrapNone/>
                      <wp:docPr id="230" name="Frame23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54305" cy="175895"/>
                      <wp:effectExtent l="0" t="0" r="0" b="0"/>
                      <wp:wrapNone/>
                      <wp:docPr id="231" name="Frame231"/>
                      <a:graphic xmlns:a="http://schemas.openxmlformats.org/drawingml/2006/main">
                        <a:graphicData uri="http://schemas.microsoft.com/office/word/2010/wordprocessingShape">
                          <wps:wsp>
                            <wps:cNvSpPr txBox="1"/>
                            <wps:spPr>
                              <a:xfrm>
                                <a:off x="0" y="0"/>
                                <a:ext cx="1543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79120" cy="175895"/>
                      <wp:effectExtent l="0" t="0" r="0" b="0"/>
                      <wp:wrapNone/>
                      <wp:docPr id="232" name="Frame232"/>
                      <a:graphic xmlns:a="http://schemas.openxmlformats.org/drawingml/2006/main">
                        <a:graphicData uri="http://schemas.microsoft.com/office/word/2010/wordprocessingShape">
                          <wps:wsp>
                            <wps:cNvSpPr txBox="1"/>
                            <wps:spPr>
                              <a:xfrm>
                                <a:off x="0" y="0"/>
                                <a:ext cx="5791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Alpha</w:t>
            </w:r>
          </w:p>
        </w:tc>
      </w:tr>
      <w:tr>
        <w:trPr/>
        <w:tc>
          <w:tcPr>
            <w:tcW w:w="41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155" w:type="dxa"/>
            <w:gridSpan w:val="2"/>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1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26" w:type="dxa"/>
            <w:tcBorders/>
            <w:shd w:fill="CCEEFF" w:val="clear"/>
            <w:vAlign w:val="center"/>
          </w:tcPr>
          <w:p>
            <w:pPr>
              <w:pStyle w:val="TableContents"/>
              <w:bidi w:val="0"/>
              <w:spacing w:before="1" w:after="1"/>
              <w:ind w:left="0" w:right="0" w:hanging="0"/>
              <w:jc w:val="left"/>
              <w:rPr/>
            </w:pPr>
            <w:r>
              <w:rPr/>
              <w:t>​</w:t>
            </w:r>
          </w:p>
        </w:tc>
        <w:tc>
          <w:tcPr>
            <w:tcW w:w="24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12,086</w:t>
            </w:r>
          </w:p>
        </w:tc>
      </w:tr>
      <w:tr>
        <w:trPr/>
        <w:tc>
          <w:tcPr>
            <w:tcW w:w="41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working capital adjustments and holdbacks</w:t>
            </w:r>
          </w:p>
        </w:tc>
        <w:tc>
          <w:tcPr>
            <w:tcW w:w="326" w:type="dxa"/>
            <w:tcBorders/>
            <w:vAlign w:val="center"/>
          </w:tcPr>
          <w:p>
            <w:pPr>
              <w:pStyle w:val="TableContents"/>
              <w:bidi w:val="0"/>
              <w:spacing w:before="1"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26" w:type="dxa"/>
            <w:tcBorders/>
            <w:shd w:fill="CCEEFF" w:val="clear"/>
            <w:vAlign w:val="center"/>
          </w:tcPr>
          <w:p>
            <w:pPr>
              <w:pStyle w:val="TableContents"/>
              <w:bidi w:val="0"/>
              <w:spacing w:before="1"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12,086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caps w:val="false"/>
          <w:smallCaps w:val="false"/>
        </w:rPr>
        <w:t> </w:t>
      </w:r>
      <w:r>
        <w:rPr>
          <w:rFonts w:ascii="Times New Roman;Times;serif" w:hAnsi="Times New Roman;Times;serif"/>
          <w:sz w:val="20"/>
        </w:rPr>
        <w:t>The following table summarizes the amounts for the acquired assets recorded at their estimated fair value as of the acquisition date:</w:t>
      </w:r>
    </w:p>
    <w:p>
      <w:pPr>
        <w:pStyle w:val="TextBody"/>
        <w:bidi w:val="0"/>
        <w:spacing w:before="0" w:after="0"/>
        <w:ind w:left="0" w:right="0" w:hanging="0"/>
        <w:jc w:val="left"/>
        <w:rPr/>
      </w:pPr>
      <w:r>
        <w:rPr/>
        <w:t>​</w:t>
      </w:r>
    </w:p>
    <w:tbl>
      <w:tblPr>
        <w:tblW w:w="3477" w:type="dxa"/>
        <w:jc w:val="left"/>
        <w:tblInd w:w="0" w:type="dxa"/>
        <w:tblLayout w:type="fixed"/>
        <w:tblCellMar>
          <w:top w:w="0" w:type="dxa"/>
          <w:left w:w="0" w:type="dxa"/>
          <w:bottom w:w="0" w:type="dxa"/>
          <w:right w:w="0" w:type="dxa"/>
        </w:tblCellMar>
      </w:tblPr>
      <w:tblGrid>
        <w:gridCol w:w="1996"/>
        <w:gridCol w:w="326"/>
        <w:gridCol w:w="243"/>
        <w:gridCol w:w="912"/>
      </w:tblGrid>
      <w:tr>
        <w:trPr/>
        <w:tc>
          <w:tcPr>
            <w:tcW w:w="199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895"/>
                      <wp:effectExtent l="0" t="0" r="0" b="0"/>
                      <wp:wrapNone/>
                      <wp:docPr id="233" name="Frame23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4305" cy="175895"/>
                      <wp:effectExtent l="0" t="0" r="0" b="0"/>
                      <wp:wrapNone/>
                      <wp:docPr id="234" name="Frame234"/>
                      <a:graphic xmlns:a="http://schemas.openxmlformats.org/drawingml/2006/main">
                        <a:graphicData uri="http://schemas.microsoft.com/office/word/2010/wordprocessingShape">
                          <wps:wsp>
                            <wps:cNvSpPr txBox="1"/>
                            <wps:spPr>
                              <a:xfrm>
                                <a:off x="0" y="0"/>
                                <a:ext cx="1543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79120" cy="175895"/>
                      <wp:effectExtent l="0" t="0" r="0" b="0"/>
                      <wp:wrapNone/>
                      <wp:docPr id="235" name="Frame235"/>
                      <a:graphic xmlns:a="http://schemas.openxmlformats.org/drawingml/2006/main">
                        <a:graphicData uri="http://schemas.microsoft.com/office/word/2010/wordprocessingShape">
                          <wps:wsp>
                            <wps:cNvSpPr txBox="1"/>
                            <wps:spPr>
                              <a:xfrm>
                                <a:off x="0" y="0"/>
                                <a:ext cx="5791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Alpha</w:t>
            </w:r>
          </w:p>
        </w:tc>
      </w:tr>
      <w:tr>
        <w:trPr/>
        <w:tc>
          <w:tcPr>
            <w:tcW w:w="199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155" w:type="dxa"/>
            <w:gridSpan w:val="2"/>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99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1" w:after="1"/>
              <w:ind w:left="0" w:right="0" w:hanging="0"/>
              <w:jc w:val="left"/>
              <w:rPr/>
            </w:pPr>
            <w:r>
              <w:rPr/>
              <w:t>​</w:t>
            </w:r>
          </w:p>
        </w:tc>
        <w:tc>
          <w:tcPr>
            <w:tcW w:w="24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1,135</w:t>
            </w:r>
          </w:p>
        </w:tc>
      </w:tr>
      <w:tr>
        <w:trPr/>
        <w:tc>
          <w:tcPr>
            <w:tcW w:w="1996"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Non-current assets </w:t>
            </w:r>
            <w:r>
              <w:rPr>
                <w:rFonts w:ascii="Times New Roman;Times;serif" w:hAnsi="Times New Roman;Times;serif"/>
                <w:sz w:val="15"/>
              </w:rPr>
              <w:t>(1)</w:t>
            </w:r>
          </w:p>
        </w:tc>
        <w:tc>
          <w:tcPr>
            <w:tcW w:w="326" w:type="dxa"/>
            <w:tcBorders/>
            <w:vAlign w:val="center"/>
          </w:tcPr>
          <w:p>
            <w:pPr>
              <w:pStyle w:val="TableContents"/>
              <w:bidi w:val="0"/>
              <w:spacing w:before="1" w:after="1"/>
              <w:ind w:left="0" w:right="0" w:hanging="0"/>
              <w:jc w:val="left"/>
              <w:rPr/>
            </w:pPr>
            <w:r>
              <w:rPr/>
              <w:t>​</w:t>
            </w:r>
          </w:p>
        </w:tc>
        <w:tc>
          <w:tcPr>
            <w:tcW w:w="243" w:type="dxa"/>
            <w:tcBorders/>
            <w:vAlign w:val="center"/>
          </w:tcPr>
          <w:p>
            <w:pPr>
              <w:pStyle w:val="TableContents"/>
              <w:bidi w:val="0"/>
              <w:spacing w:before="1" w:after="1"/>
              <w:ind w:left="0" w:right="0" w:hanging="0"/>
              <w:jc w:val="left"/>
              <w:rPr/>
            </w:pPr>
            <w:r>
              <w:rPr/>
              <w:t>​</w:t>
            </w:r>
          </w:p>
        </w:tc>
        <w:tc>
          <w:tcPr>
            <w:tcW w:w="9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99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1" w:after="1"/>
              <w:ind w:left="0" w:right="0" w:hanging="0"/>
              <w:jc w:val="left"/>
              <w:rPr/>
            </w:pPr>
            <w:r>
              <w:rPr/>
              <w:t>​</w:t>
            </w:r>
          </w:p>
        </w:tc>
        <w:tc>
          <w:tcPr>
            <w:tcW w:w="243" w:type="dxa"/>
            <w:tcBorders/>
            <w:shd w:fill="CCEEFF" w:val="clear"/>
            <w:vAlign w:val="center"/>
          </w:tcPr>
          <w:p>
            <w:pPr>
              <w:pStyle w:val="TableContents"/>
              <w:bidi w:val="0"/>
              <w:spacing w:before="1" w:after="1"/>
              <w:ind w:left="0" w:right="0" w:hanging="0"/>
              <w:jc w:val="left"/>
              <w:rPr/>
            </w:pPr>
            <w:r>
              <w:rPr/>
              <w:t>​</w:t>
            </w:r>
          </w:p>
        </w:tc>
        <w:tc>
          <w:tcPr>
            <w:tcW w:w="9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199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vAlign w:val="center"/>
          </w:tcPr>
          <w:p>
            <w:pPr>
              <w:pStyle w:val="TableContents"/>
              <w:bidi w:val="0"/>
              <w:spacing w:before="1" w:after="1"/>
              <w:ind w:left="0" w:right="0" w:hanging="0"/>
              <w:jc w:val="left"/>
              <w:rPr/>
            </w:pPr>
            <w:r>
              <w:rPr/>
              <w:t>​</w:t>
            </w:r>
          </w:p>
        </w:tc>
        <w:tc>
          <w:tcPr>
            <w:tcW w:w="243" w:type="dxa"/>
            <w:tcBorders/>
            <w:vAlign w:val="center"/>
          </w:tcPr>
          <w:p>
            <w:pPr>
              <w:pStyle w:val="TableContents"/>
              <w:bidi w:val="0"/>
              <w:spacing w:before="1" w:after="1"/>
              <w:ind w:left="0" w:right="0" w:hanging="0"/>
              <w:jc w:val="left"/>
              <w:rPr/>
            </w:pPr>
            <w:r>
              <w:rPr/>
              <w:t>​</w:t>
            </w:r>
          </w:p>
        </w:tc>
        <w:tc>
          <w:tcPr>
            <w:tcW w:w="9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199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1" w:after="1"/>
              <w:ind w:left="0" w:right="0" w:hanging="0"/>
              <w:jc w:val="left"/>
              <w:rPr/>
            </w:pPr>
            <w:r>
              <w:rPr/>
              <w:t>​</w:t>
            </w:r>
          </w:p>
        </w:tc>
        <w:tc>
          <w:tcPr>
            <w:tcW w:w="243" w:type="dxa"/>
            <w:tcBorders/>
            <w:shd w:fill="CCEEFF" w:val="clear"/>
            <w:vAlign w:val="center"/>
          </w:tcPr>
          <w:p>
            <w:pPr>
              <w:pStyle w:val="TableContents"/>
              <w:bidi w:val="0"/>
              <w:spacing w:before="1" w:after="1"/>
              <w:ind w:left="0" w:right="0" w:hanging="0"/>
              <w:jc w:val="left"/>
              <w:rPr/>
            </w:pPr>
            <w:r>
              <w:rPr/>
              <w:t>​</w:t>
            </w:r>
          </w:p>
        </w:tc>
        <w:tc>
          <w:tcPr>
            <w:tcW w:w="9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2,413</w:t>
            </w:r>
          </w:p>
        </w:tc>
      </w:tr>
      <w:tr>
        <w:trPr/>
        <w:tc>
          <w:tcPr>
            <w:tcW w:w="199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vAlign w:val="center"/>
          </w:tcPr>
          <w:p>
            <w:pPr>
              <w:pStyle w:val="TableContents"/>
              <w:bidi w:val="0"/>
              <w:spacing w:before="1" w:after="1"/>
              <w:ind w:left="0" w:right="0" w:hanging="0"/>
              <w:jc w:val="left"/>
              <w:rPr/>
            </w:pPr>
            <w:r>
              <w:rPr/>
              <w:t>​</w:t>
            </w:r>
          </w:p>
        </w:tc>
        <w:tc>
          <w:tcPr>
            <w:tcW w:w="243" w:type="dxa"/>
            <w:tcBorders/>
            <w:vAlign w:val="center"/>
          </w:tcPr>
          <w:p>
            <w:pPr>
              <w:pStyle w:val="TableContents"/>
              <w:bidi w:val="0"/>
              <w:spacing w:before="1" w:after="1"/>
              <w:ind w:left="0" w:right="0" w:hanging="0"/>
              <w:jc w:val="left"/>
              <w:rPr/>
            </w:pPr>
            <w:r>
              <w:rPr/>
              <w:t>​</w:t>
            </w:r>
          </w:p>
        </w:tc>
        <w:tc>
          <w:tcPr>
            <w:tcW w:w="9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199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1"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7,879</w:t>
            </w:r>
          </w:p>
        </w:tc>
      </w:tr>
      <w:tr>
        <w:trPr/>
        <w:tc>
          <w:tcPr>
            <w:tcW w:w="199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326" w:type="dxa"/>
            <w:tcBorders/>
            <w:vAlign w:val="center"/>
          </w:tcPr>
          <w:p>
            <w:pPr>
              <w:pStyle w:val="TableContents"/>
              <w:bidi w:val="0"/>
              <w:spacing w:before="1"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12,086</w:t>
            </w:r>
          </w:p>
        </w:tc>
      </w:tr>
    </w:tbl>
    <w:p>
      <w:pPr>
        <w:pStyle w:val="TextBody"/>
        <w:bidi w:val="0"/>
        <w:spacing w:before="100" w:after="100"/>
        <w:ind w:left="0" w:right="0" w:firstLine="720"/>
        <w:jc w:val="left"/>
        <w:rPr/>
      </w:pPr>
      <w:r>
        <w:rPr/>
        <w:t>​</w:t>
      </w:r>
    </w:p>
    <w:tbl>
      <w:tblPr>
        <w:tblW w:w="7341" w:type="dxa"/>
        <w:jc w:val="left"/>
        <w:tblInd w:w="0" w:type="dxa"/>
        <w:tblLayout w:type="fixed"/>
        <w:tblCellMar>
          <w:top w:w="28" w:type="dxa"/>
          <w:left w:w="28" w:type="dxa"/>
          <w:bottom w:w="28" w:type="dxa"/>
          <w:right w:w="28" w:type="dxa"/>
        </w:tblCellMar>
      </w:tblPr>
      <w:tblGrid>
        <w:gridCol w:w="124"/>
        <w:gridCol w:w="271"/>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Excluded from non-current assets are backlog, customer relationships, tradename, and goodwill.</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July 4, 2025, the Company made adjustments, primarily related to other working capital adjustments and holdbacks, to the consideration paid for Alpha, which resulted in an adjustment to the preliminary purchase price allocation of Alpha. The adjustments resulted in an aggregate increase of $0.3 million in the net carrying value of liabilities and goodwill. The increase in the fair value of intangible assets resulted in no change in the amortization expense for the three and six months ended July 4,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July 4, 2025, there were no acquisition related costs associated with Alpha included in other general and administrative expenses in the condensed consolidated statements of comprehensive income. For the six months ended July 4, 2025, the acquisition related costs associated with Alpha included in other general and administrative expenses in the condensed consolidated statements of comprehensive income were not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July 4, 2025, the acquisition of Alpha contributed $0.9 million and $1.5 million in revenue, and contributed $0.5 million and $0.7 million in income from operations.</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Acquisition of Enica Engineering, PLLC.</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October 23, 2024, (the “Enica Closing Date”), the Company, through its wholly owned subsidiary, WES, acquired substantially all of the assets of Enica Engineering, PLLC. (“Enica”), pursuant to the terms of the Asset Purchase Agreement, dated as of October 23, 2024</w:t>
      </w:r>
      <w:r>
        <w:rPr>
          <w:rFonts w:ascii="Times New Roman;Times;serif" w:hAnsi="Times New Roman;Times;serif"/>
          <w:sz w:val="24"/>
        </w:rPr>
        <w:t> </w:t>
      </w:r>
      <w:r>
        <w:rPr>
          <w:rFonts w:ascii="Times New Roman;Times;serif" w:hAnsi="Times New Roman;Times;serif"/>
          <w:sz w:val="20"/>
        </w:rPr>
        <w:t xml:space="preserve">(the “Enica Agreement”), by and among the Company, WES, Genesys, Enica, and Reed Berinato (“Berinato”) and Mark Prewett (“Prewett” and, together with Berinato, the “Enica Members”). Enica is an energy efficiency company that provides an array of services around energy projects, metering, and consulting services to help its customers drive energy efficiency, decarbonization, and energy reduction. Enica’s financial information is included within the Company’s Energy segment beginning in the fourth quarter of fiscal year 2024. </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The Company agreed to pay (i) $12.0</w:t>
      </w:r>
      <w:r>
        <w:rPr>
          <w:rFonts w:ascii="Times New Roman;Times;serif" w:hAnsi="Times New Roman;Times;serif"/>
          <w:sz w:val="24"/>
        </w:rPr>
        <w:t> </w:t>
      </w:r>
      <w:r>
        <w:rPr>
          <w:rFonts w:ascii="Times New Roman;Times;serif" w:hAnsi="Times New Roman;Times;serif"/>
          <w:sz w:val="20"/>
        </w:rPr>
        <w:t>million in cash on the Enica Closing Date (subject to holdbacks and adjustments) and (ii) up to $6.0</w:t>
      </w:r>
      <w:r>
        <w:rPr>
          <w:rFonts w:ascii="Times New Roman;Times;serif" w:hAnsi="Times New Roman;Times;serif"/>
          <w:sz w:val="24"/>
        </w:rPr>
        <w:t> </w:t>
      </w:r>
      <w:r>
        <w:rPr>
          <w:rFonts w:ascii="Times New Roman;Times;serif" w:hAnsi="Times New Roman;Times;serif"/>
          <w:sz w:val="20"/>
        </w:rPr>
        <w:t>million in cash if Enica exceeds certain financial targets during the two years</w:t>
      </w:r>
      <w:r>
        <w:rPr>
          <w:rFonts w:ascii="Times New Roman;Times;serif" w:hAnsi="Times New Roman;Times;serif"/>
          <w:sz w:val="24"/>
        </w:rPr>
        <w:t> </w:t>
      </w:r>
      <w:r>
        <w:rPr>
          <w:rFonts w:ascii="Times New Roman;Times;serif" w:hAnsi="Times New Roman;Times;serif"/>
          <w:sz w:val="20"/>
        </w:rPr>
        <w:t>after the Enica Closing Date, as further described below (such potential payments of up to $6.0</w:t>
      </w:r>
      <w:r>
        <w:rPr>
          <w:rFonts w:ascii="Times New Roman;Times;serif" w:hAnsi="Times New Roman;Times;serif"/>
          <w:sz w:val="24"/>
        </w:rPr>
        <w:t xml:space="preserve"> </w:t>
      </w:r>
      <w:r>
        <w:rPr>
          <w:rFonts w:ascii="Times New Roman;Times;serif" w:hAnsi="Times New Roman;Times;serif"/>
          <w:sz w:val="20"/>
        </w:rPr>
        <w:t xml:space="preserve">million, being referred to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pPr>
      <w:bookmarkStart w:id="1573" w:name="Tc_2IVFwxGdvkmYvDkCU239Xg_6_2"/>
      <w:bookmarkStart w:id="1574" w:name="Tc_Bf4XjJFzlU2VL78gXmIhfw_6_0"/>
      <w:bookmarkStart w:id="1575" w:name="Tc_1AsI0BuvBEO4DiqPOhCqbQ_5_0"/>
      <w:bookmarkStart w:id="1576" w:name="Tc_AkRIs6SC70adLEwlTyVcCg_4_3"/>
      <w:bookmarkStart w:id="1577" w:name="Tc_zNimF8IpdUavCuJed6zF1g_4_0"/>
      <w:bookmarkStart w:id="1578" w:name="Tc_-xeQOjM7JUK7SSEwgz2ZZA_3_2"/>
      <w:bookmarkStart w:id="1579" w:name="Tc_CaYs_e4wLka53WDqrLRoMQ_3_0"/>
      <w:bookmarkStart w:id="1580" w:name="Tc_og2JUnu9IU29h6fgKsR5TQ_2_2"/>
      <w:bookmarkStart w:id="1581" w:name="Tc_O7Gp8318X0y49BO2XTYl6A_1_2"/>
      <w:bookmarkStart w:id="1582" w:name="_3054ee14_ebc5_45e7_880b_0ced86041b3d"/>
      <w:bookmarkEnd w:id="1573"/>
      <w:bookmarkEnd w:id="1574"/>
      <w:bookmarkEnd w:id="1575"/>
      <w:bookmarkEnd w:id="1576"/>
      <w:bookmarkEnd w:id="1577"/>
      <w:bookmarkEnd w:id="1578"/>
      <w:bookmarkEnd w:id="1579"/>
      <w:bookmarkEnd w:id="1580"/>
      <w:bookmarkEnd w:id="1581"/>
      <w:bookmarkEnd w:id="1582"/>
      <w:r>
        <w:rPr/>
        <w:t>“</w:t>
      </w:r>
      <w:r>
        <w:rPr>
          <w:rFonts w:ascii="Times New Roman;Times;serif" w:hAnsi="Times New Roman;Times;serif"/>
          <w:sz w:val="20"/>
        </w:rPr>
        <w:t>Enica Earnout Payments” and $6.0</w:t>
      </w:r>
      <w:r>
        <w:rPr>
          <w:rFonts w:ascii="Times New Roman;Times;serif" w:hAnsi="Times New Roman;Times;serif"/>
          <w:sz w:val="24"/>
        </w:rPr>
        <w:t xml:space="preserve"> </w:t>
      </w:r>
      <w:r>
        <w:rPr>
          <w:rFonts w:ascii="Times New Roman;Times;serif" w:hAnsi="Times New Roman;Times;serif"/>
          <w:sz w:val="20"/>
        </w:rPr>
        <w:t>million in respect thereof, being referred to as the “Enica Maximum Earnout”); for a potential maximum purchase price of $18.0</w:t>
      </w:r>
      <w:r>
        <w:rPr>
          <w:rFonts w:ascii="Times New Roman;Times;serif" w:hAnsi="Times New Roman;Times;serif"/>
          <w:sz w:val="24"/>
        </w:rPr>
        <w:t> </w:t>
      </w:r>
      <w:r>
        <w:rPr>
          <w:rFonts w:ascii="Times New Roman;Times;serif" w:hAnsi="Times New Roman;Times;serif"/>
          <w:sz w:val="20"/>
        </w:rPr>
        <w:t xml:space="preserve">million. </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amount of the Enica Earnout Payments to be paid will be determined based on Enica’s earnings before interest, taxes, depreciation and amortization (“Enica’s EBITDA”). The Enica Members will receive Enica Earnout Payments in each of the two years</w:t>
      </w:r>
      <w:r>
        <w:rPr>
          <w:rFonts w:ascii="Times New Roman;Times;serif" w:hAnsi="Times New Roman;Times;serif"/>
          <w:sz w:val="24"/>
        </w:rPr>
        <w:t xml:space="preserve"> </w:t>
      </w:r>
      <w:r>
        <w:rPr>
          <w:rFonts w:ascii="Times New Roman;Times;serif" w:hAnsi="Times New Roman;Times;serif"/>
          <w:sz w:val="20"/>
        </w:rPr>
        <w:t>after the Enica Closing Date (the “Earnout Period”) based on the amount by which Enica’s EBITDA exceeds certain targets. The amounts due to the Enica Members as Enica Earnout Payments will in no event, individually or in the aggregate, exceed the Enica Maximum Earnout. Enica Earnout Payments will be made in annual installments for each of the two years</w:t>
      </w:r>
      <w:r>
        <w:rPr>
          <w:rFonts w:ascii="Times New Roman;Times;serif" w:hAnsi="Times New Roman;Times;serif"/>
          <w:sz w:val="24"/>
        </w:rPr>
        <w:t xml:space="preserve"> </w:t>
      </w:r>
      <w:r>
        <w:rPr>
          <w:rFonts w:ascii="Times New Roman;Times;serif" w:hAnsi="Times New Roman;Times;serif"/>
          <w:sz w:val="20"/>
        </w:rPr>
        <w:t>of the Enica Earnout Period. In addition, the Enica Earnout Payments will be subject to certain subordination provisions in favor of the lenders under the Company’s Credit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Enica Agreement contains customary representations and warranties regarding the Company, WES, Genesys, Enica, and the Enica Members, indemnification provisions and other provisions customary for transactions of this nature.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used cash on hand to fund the initial purchase price on the Enica Closing Date.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Enica’s assembled workforce. The Company estimates that the entire $9.8 million of goodwill resulting from the acquisition will be tax deductible.</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Consideration for the acquisition of Enica includes the following:</w:t>
      </w:r>
    </w:p>
    <w:p>
      <w:pPr>
        <w:pStyle w:val="TextBody"/>
        <w:bidi w:val="0"/>
        <w:spacing w:before="0" w:after="0"/>
        <w:ind w:left="0" w:right="0" w:hanging="0"/>
        <w:jc w:val="left"/>
        <w:rPr/>
      </w:pPr>
      <w:r>
        <w:rPr/>
        <w:t>​</w:t>
      </w:r>
    </w:p>
    <w:tbl>
      <w:tblPr>
        <w:tblW w:w="5622" w:type="dxa"/>
        <w:jc w:val="left"/>
        <w:tblInd w:w="0" w:type="dxa"/>
        <w:tblLayout w:type="fixed"/>
        <w:tblCellMar>
          <w:top w:w="0" w:type="dxa"/>
          <w:left w:w="0" w:type="dxa"/>
          <w:bottom w:w="0" w:type="dxa"/>
          <w:right w:w="0" w:type="dxa"/>
        </w:tblCellMar>
      </w:tblPr>
      <w:tblGrid>
        <w:gridCol w:w="4141"/>
        <w:gridCol w:w="326"/>
        <w:gridCol w:w="243"/>
        <w:gridCol w:w="912"/>
      </w:tblGrid>
      <w:tr>
        <w:trPr/>
        <w:tc>
          <w:tcPr>
            <w:tcW w:w="41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895"/>
                      <wp:effectExtent l="0" t="0" r="0" b="0"/>
                      <wp:wrapNone/>
                      <wp:docPr id="236" name="Frame23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54305" cy="175895"/>
                      <wp:effectExtent l="0" t="0" r="0" b="0"/>
                      <wp:wrapNone/>
                      <wp:docPr id="237" name="Frame237"/>
                      <a:graphic xmlns:a="http://schemas.openxmlformats.org/drawingml/2006/main">
                        <a:graphicData uri="http://schemas.microsoft.com/office/word/2010/wordprocessingShape">
                          <wps:wsp>
                            <wps:cNvSpPr txBox="1"/>
                            <wps:spPr>
                              <a:xfrm>
                                <a:off x="0" y="0"/>
                                <a:ext cx="1543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79120" cy="175895"/>
                      <wp:effectExtent l="0" t="0" r="0" b="0"/>
                      <wp:wrapNone/>
                      <wp:docPr id="238" name="Frame238"/>
                      <a:graphic xmlns:a="http://schemas.openxmlformats.org/drawingml/2006/main">
                        <a:graphicData uri="http://schemas.microsoft.com/office/word/2010/wordprocessingShape">
                          <wps:wsp>
                            <wps:cNvSpPr txBox="1"/>
                            <wps:spPr>
                              <a:xfrm>
                                <a:off x="0" y="0"/>
                                <a:ext cx="5791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Enica</w:t>
            </w:r>
          </w:p>
        </w:tc>
      </w:tr>
      <w:tr>
        <w:trPr/>
        <w:tc>
          <w:tcPr>
            <w:tcW w:w="41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155" w:type="dxa"/>
            <w:gridSpan w:val="2"/>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1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26" w:type="dxa"/>
            <w:tcBorders/>
            <w:shd w:fill="CCEEFF" w:val="clear"/>
            <w:vAlign w:val="center"/>
          </w:tcPr>
          <w:p>
            <w:pPr>
              <w:pStyle w:val="TableContents"/>
              <w:bidi w:val="0"/>
              <w:spacing w:before="1" w:after="1"/>
              <w:ind w:left="0" w:right="0" w:hanging="0"/>
              <w:jc w:val="left"/>
              <w:rPr/>
            </w:pPr>
            <w:r>
              <w:rPr/>
              <w:t>​</w:t>
            </w:r>
          </w:p>
        </w:tc>
        <w:tc>
          <w:tcPr>
            <w:tcW w:w="24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12,211</w:t>
            </w:r>
          </w:p>
        </w:tc>
      </w:tr>
      <w:tr>
        <w:trPr/>
        <w:tc>
          <w:tcPr>
            <w:tcW w:w="41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working capital adjustments and holdbacks</w:t>
            </w:r>
          </w:p>
        </w:tc>
        <w:tc>
          <w:tcPr>
            <w:tcW w:w="326" w:type="dxa"/>
            <w:tcBorders/>
            <w:vAlign w:val="center"/>
          </w:tcPr>
          <w:p>
            <w:pPr>
              <w:pStyle w:val="TableContents"/>
              <w:bidi w:val="0"/>
              <w:spacing w:before="1" w:after="1"/>
              <w:ind w:left="0" w:right="0" w:hanging="0"/>
              <w:jc w:val="left"/>
              <w:rPr/>
            </w:pPr>
            <w:r>
              <w:rPr/>
              <w:t>​</w:t>
            </w:r>
          </w:p>
        </w:tc>
        <w:tc>
          <w:tcPr>
            <w:tcW w:w="243" w:type="dxa"/>
            <w:tcBorders/>
            <w:vAlign w:val="center"/>
          </w:tcPr>
          <w:p>
            <w:pPr>
              <w:pStyle w:val="TableContents"/>
              <w:bidi w:val="0"/>
              <w:spacing w:before="1" w:after="1"/>
              <w:ind w:left="0" w:right="0" w:hanging="0"/>
              <w:jc w:val="left"/>
              <w:rPr/>
            </w:pPr>
            <w:r>
              <w:rPr/>
              <w:t>​</w:t>
            </w:r>
          </w:p>
        </w:tc>
        <w:tc>
          <w:tcPr>
            <w:tcW w:w="912" w:type="dxa"/>
            <w:tcBorders/>
            <w:vAlign w:val="center"/>
          </w:tcPr>
          <w:p>
            <w:pPr>
              <w:pStyle w:val="TableContents"/>
              <w:bidi w:val="0"/>
              <w:spacing w:before="1" w:after="1"/>
              <w:ind w:left="0" w:right="0" w:hanging="0"/>
              <w:jc w:val="right"/>
              <w:rPr/>
            </w:pPr>
            <w:r>
              <w:rPr/>
              <w:t>—</w:t>
            </w:r>
          </w:p>
        </w:tc>
      </w:tr>
      <w:tr>
        <w:trPr/>
        <w:tc>
          <w:tcPr>
            <w:tcW w:w="41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26" w:type="dxa"/>
            <w:tcBorders/>
            <w:shd w:fill="CCEEFF" w:val="clear"/>
            <w:vAlign w:val="center"/>
          </w:tcPr>
          <w:p>
            <w:pPr>
              <w:pStyle w:val="TableContents"/>
              <w:bidi w:val="0"/>
              <w:spacing w:before="1"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4,060</w:t>
            </w:r>
          </w:p>
        </w:tc>
      </w:tr>
      <w:tr>
        <w:trPr/>
        <w:tc>
          <w:tcPr>
            <w:tcW w:w="41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26" w:type="dxa"/>
            <w:tcBorders/>
            <w:vAlign w:val="center"/>
          </w:tcPr>
          <w:p>
            <w:pPr>
              <w:pStyle w:val="TableContents"/>
              <w:bidi w:val="0"/>
              <w:spacing w:before="1"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16,271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160"/>
        <w:ind w:left="0" w:right="0" w:firstLine="720"/>
        <w:jc w:val="left"/>
        <w:rPr>
          <w:rFonts w:ascii="Times New Roman;Times;serif" w:hAnsi="Times New Roman;Times;serif"/>
          <w:sz w:val="20"/>
        </w:rPr>
      </w:pPr>
      <w:bookmarkStart w:id="1583" w:name="Tc_Vf3kjtlf3E6Pq3H_ufJBog_12_2"/>
      <w:bookmarkStart w:id="1584" w:name="Tc_UMV2ja4f8UuZVYfHkFZXcQ_12_0"/>
      <w:bookmarkStart w:id="1585" w:name="Tc_wNETR8Nx6UW7ZsMUP2CC2w_11_0"/>
      <w:bookmarkStart w:id="1586" w:name="Tc_huLzNNmuGU6KHx1sgavavQ_10_0"/>
      <w:bookmarkStart w:id="1587" w:name="Tc_KiOc38EXlUK1Z40l1z5fPw_9_0"/>
      <w:bookmarkStart w:id="1588" w:name="Tc_ePwwvHnHLU22afzi6MUkKA_8_0"/>
      <w:bookmarkStart w:id="1589" w:name="Tc_5qo1Ny5nIES4ZlYdrdlJ1Q_7_0"/>
      <w:bookmarkStart w:id="1590" w:name="Tc_--qOdNR0X0Oh7w4mltmJGQ_6_0"/>
      <w:bookmarkStart w:id="1591" w:name="Tc_RqXSV75iNEyNIWbrt1jLfw_5_0"/>
      <w:bookmarkStart w:id="1592" w:name="Tc_nFKB46bnckq2lJDhEL40OA_4_0"/>
      <w:bookmarkStart w:id="1593" w:name="Tc_31ml0g6HB0i5mA8yJuycbg_3_2"/>
      <w:bookmarkStart w:id="1594" w:name="Tc_NMhDRTSNPkuEbrWw1Lq8-Q_3_0"/>
      <w:bookmarkStart w:id="1595" w:name="Tc_cBLswoZEgkes2Jk5kbNj3A_2_2"/>
      <w:bookmarkStart w:id="1596" w:name="Tc_yzBOZKaMv0WYc5CP9ZGNWg_1_2"/>
      <w:bookmarkStart w:id="1597" w:name="_04ce618a_b07d_4424_8590_cf09f12abc2d"/>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r>
        <w:rPr>
          <w:rFonts w:ascii="Times New Roman;Times;serif" w:hAnsi="Times New Roman;Times;serif"/>
          <w:sz w:val="20"/>
        </w:rPr>
        <w:t>The following table summarizes the amounts for the acquired assets recorded at their estimated fair value as of the acquisition date:</w:t>
      </w:r>
    </w:p>
    <w:p>
      <w:pPr>
        <w:pStyle w:val="TextBody"/>
        <w:bidi w:val="0"/>
        <w:spacing w:before="0" w:after="0"/>
        <w:ind w:left="0" w:right="0" w:hanging="0"/>
        <w:jc w:val="left"/>
        <w:rPr/>
      </w:pPr>
      <w:r>
        <w:rPr/>
        <w:t>​</w:t>
      </w:r>
    </w:p>
    <w:tbl>
      <w:tblPr>
        <w:tblW w:w="3477" w:type="dxa"/>
        <w:jc w:val="left"/>
        <w:tblInd w:w="0" w:type="dxa"/>
        <w:tblLayout w:type="fixed"/>
        <w:tblCellMar>
          <w:top w:w="0" w:type="dxa"/>
          <w:left w:w="0" w:type="dxa"/>
          <w:bottom w:w="0" w:type="dxa"/>
          <w:right w:w="0" w:type="dxa"/>
        </w:tblCellMar>
      </w:tblPr>
      <w:tblGrid>
        <w:gridCol w:w="1996"/>
        <w:gridCol w:w="326"/>
        <w:gridCol w:w="243"/>
        <w:gridCol w:w="912"/>
      </w:tblGrid>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54305" cy="175260"/>
                      <wp:effectExtent l="0" t="0" r="0" b="0"/>
                      <wp:wrapNone/>
                      <wp:docPr id="240" name="Frame24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79120" cy="175260"/>
                      <wp:effectExtent l="0" t="0" r="0" b="0"/>
                      <wp:wrapNone/>
                      <wp:docPr id="241" name="Frame241"/>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Enica</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r>
      <w:tr>
        <w:trPr/>
        <w:tc>
          <w:tcPr>
            <w:tcW w:w="19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assets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3,892</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16,271</w:t>
            </w:r>
          </w:p>
        </w:tc>
      </w:tr>
    </w:tbl>
    <w:p>
      <w:pPr>
        <w:pStyle w:val="TextBody"/>
        <w:bidi w:val="0"/>
        <w:spacing w:before="0" w:after="0"/>
        <w:ind w:left="0" w:right="0" w:firstLine="720"/>
        <w:jc w:val="left"/>
        <w:rPr/>
      </w:pPr>
      <w:r>
        <w:rPr/>
        <w:t>​</w:t>
      </w:r>
    </w:p>
    <w:tbl>
      <w:tblPr>
        <w:tblW w:w="8736" w:type="dxa"/>
        <w:jc w:val="left"/>
        <w:tblInd w:w="0" w:type="dxa"/>
        <w:tblLayout w:type="fixed"/>
        <w:tblCellMar>
          <w:top w:w="28" w:type="dxa"/>
          <w:left w:w="28" w:type="dxa"/>
          <w:bottom w:w="28" w:type="dxa"/>
          <w:right w:w="28" w:type="dxa"/>
        </w:tblCellMar>
      </w:tblPr>
      <w:tblGrid>
        <w:gridCol w:w="124"/>
        <w:gridCol w:w="271"/>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Excluded from non-current assets are right-of-use assets, backlog, customer relationships, tradename, and goodwill.</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July 4, 2025, the Company did not make any adjustments to the consideration paid for Enica, and as a result, there were no adjustments to the purchase price allocation for the six months ended July 4,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July 4, 2025, there were no acquisition related costs associated with Enica included in other general and administrative expenses in the condensed consolidated statements of comprehensive income. For the six months ended July 4, 2025, there were $0.1 million in acquisition related costs associated with Enica included in other general and administrative expenses in the condensed consolidated statements of comprehensive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July 4, 2025, the acquisition of Enica contributed $2.9 million and $5.8 million in revenue, and contributed $0.7 million and $1.4 million in income from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1598" w:name="Tc_7g2I48JFRUKLiECF_mtcGQ_17_0"/>
      <w:bookmarkStart w:id="1599" w:name="Tc_3yNtWeSA9kGf2b1VeM5r3A_16_0"/>
      <w:bookmarkStart w:id="1600" w:name="Tc_WzZKd2DEpUKPPsxJZ2Keqw_15_0"/>
      <w:bookmarkStart w:id="1601" w:name="Tc_71IBDm6TaEi1B-InaCIsDg_13_11"/>
      <w:bookmarkStart w:id="1602" w:name="Tc_m_q3B6qNPkOW_iLEXbcoDw_13_8"/>
      <w:bookmarkStart w:id="1603" w:name="Tc_D3NQtPe1OUG_x77BuuaCCw_13_5"/>
      <w:bookmarkStart w:id="1604" w:name="Tc_zP0IeCwv0kGm0BD5Wr91Fg_13_2"/>
      <w:bookmarkStart w:id="1605" w:name="Tc_997Ezg92dkCFGShKoHwl6g_13_0"/>
      <w:bookmarkStart w:id="1606" w:name="Tc_z88q9h-6RUKC2Sx1SWplzw_12_11"/>
      <w:bookmarkStart w:id="1607" w:name="Tc_C-Lh9gz4rEa8Mw_Ci_sTPw_12_8"/>
      <w:bookmarkStart w:id="1608" w:name="Tc_hamknl2zhUCWZ7wbZf1bQA_12_5"/>
      <w:bookmarkStart w:id="1609" w:name="Tc_xJ-N01V-8Ui_O1ppRL8G3w_12_2"/>
      <w:bookmarkStart w:id="1610" w:name="Tc_kCyVpiQ8qUacPvSsWJkKrg_12_0"/>
      <w:bookmarkStart w:id="1611" w:name="Tc_1Z-_tXlu9US50rp6QL4ONQ_11_0"/>
      <w:bookmarkStart w:id="1612" w:name="Tc_6ZPYjPR9zk2L1El0jA_zlg_9_11"/>
      <w:bookmarkStart w:id="1613" w:name="Tc_yYj0j7DMxkq1Hc_fShVtcQ_9_8"/>
      <w:bookmarkStart w:id="1614" w:name="Tc_EZjEluCpFEKtt6ATPo0Gxg_9_5"/>
      <w:bookmarkStart w:id="1615" w:name="Tc_kKAfPiOk9ECszB-hVV_aOg_9_2"/>
      <w:bookmarkStart w:id="1616" w:name="Tc_NvxISf0dEkyrQClajwPfHg_9_0"/>
      <w:bookmarkStart w:id="1617" w:name="Tc_3GKZCCfacU6f8yHQ2J6bFQ_8_11"/>
      <w:bookmarkStart w:id="1618" w:name="Tc_MuomM2P9s0eItuBWXiuAsQ_8_8"/>
      <w:bookmarkStart w:id="1619" w:name="Tc_dG-iQBZxJUm9PMXWhuJhig_8_5"/>
      <w:bookmarkStart w:id="1620" w:name="Tc_wkmqVlDiV06kWAQou9X6MQ_8_2"/>
      <w:bookmarkStart w:id="1621" w:name="Tc_H27cpnJ8mki_pNsUWgc6FA_8_0"/>
      <w:bookmarkStart w:id="1622" w:name="Tc_5929-XpVdUCQ5jTgE-5YzA_6_11"/>
      <w:bookmarkStart w:id="1623" w:name="Tc_vZ0mSO_qqEq85jPDUwH6Ug_6_8"/>
      <w:bookmarkStart w:id="1624" w:name="Tc_UP7JHah5EE-M-X3Epho1Tg_6_5"/>
      <w:bookmarkStart w:id="1625" w:name="Tc_u7c_7tQrp0OHMW3lWUE5kw_6_2"/>
      <w:bookmarkStart w:id="1626" w:name="Tc_rBXT1TlE6U2YxmGf3ZAtag_6_0"/>
      <w:bookmarkStart w:id="1627" w:name="Tc_FAcR5uHcZEiIpjvZclOR2A_5_2"/>
      <w:bookmarkStart w:id="1628" w:name="Tc_QX9NJTyZWkOUfhPgksJLxA_4_2"/>
      <w:bookmarkStart w:id="1629" w:name="Tc_soR5PvGKB0yw1a7yQJ6ZNA_3_11"/>
      <w:bookmarkStart w:id="1630" w:name="Tc_xcJcTjR2DkWgK8Af5pcqAw_3_8"/>
      <w:bookmarkStart w:id="1631" w:name="Tc_c941wCEjN0CnDABt0e5BKg_3_5"/>
      <w:bookmarkStart w:id="1632" w:name="Tc_AWMbW8mIV0CSuS1M8V7Z9w_3_2"/>
      <w:bookmarkStart w:id="1633" w:name="Tc_KV4L88ggLUS5ka6fW6BJwA_2_11"/>
      <w:bookmarkStart w:id="1634" w:name="Tc_SaXCIzD4nEiFQFM-o7iRQg_2_8"/>
      <w:bookmarkStart w:id="1635" w:name="Tc_LXGKz9GNFk-10aZVWeL8_Q_2_5"/>
      <w:bookmarkStart w:id="1636" w:name="Tc_h-p9aHYvTUe-raPAbpgyxg_2_2"/>
      <w:bookmarkStart w:id="1637" w:name="Tc_t0i1rr0kPEC21kfEvgyixg_1_8"/>
      <w:bookmarkStart w:id="1638" w:name="Tc_i-hyf8aCOkWTw4YJ-drIXg_1_2"/>
      <w:bookmarkStart w:id="1639" w:name="_5abaf2e5_b8f2_41d2_bf55_2961c9aeab58"/>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r>
        <w:rPr>
          <w:rFonts w:ascii="Times New Roman;Times;serif" w:hAnsi="Times New Roman;Times;serif"/>
          <w:sz w:val="20"/>
        </w:rPr>
        <w:t>The following unaudited pro forma financial information for the three and six months ended July 4, 2025 and June 28, 2024 assumes that the acquisitions of all the outstanding shares of APG and Alpha, and the acquisition of substantially all of the assets of Enica, occurred on the first day of the year prior to the year of acquisition:</w:t>
      </w:r>
    </w:p>
    <w:p>
      <w:pPr>
        <w:pStyle w:val="TextBody"/>
        <w:bidi w:val="0"/>
        <w:spacing w:before="0" w:after="0"/>
        <w:ind w:left="0" w:right="0" w:hanging="0"/>
        <w:jc w:val="left"/>
        <w:rPr/>
      </w:pPr>
      <w:r>
        <w:rPr/>
        <w:t>​</w:t>
      </w:r>
    </w:p>
    <w:tbl>
      <w:tblPr>
        <w:tblW w:w="8708" w:type="dxa"/>
        <w:jc w:val="left"/>
        <w:tblInd w:w="0" w:type="dxa"/>
        <w:tblLayout w:type="fixed"/>
        <w:tblCellMar>
          <w:top w:w="0" w:type="dxa"/>
          <w:left w:w="0" w:type="dxa"/>
          <w:bottom w:w="0" w:type="dxa"/>
          <w:right w:w="0" w:type="dxa"/>
        </w:tblCellMar>
      </w:tblPr>
      <w:tblGrid>
        <w:gridCol w:w="3391"/>
        <w:gridCol w:w="326"/>
        <w:gridCol w:w="211"/>
        <w:gridCol w:w="781"/>
        <w:gridCol w:w="326"/>
        <w:gridCol w:w="211"/>
        <w:gridCol w:w="781"/>
        <w:gridCol w:w="326"/>
        <w:gridCol w:w="211"/>
        <w:gridCol w:w="781"/>
        <w:gridCol w:w="326"/>
        <w:gridCol w:w="211"/>
        <w:gridCol w:w="82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53285" cy="175260"/>
                      <wp:effectExtent l="0" t="0" r="0" b="0"/>
                      <wp:wrapNone/>
                      <wp:docPr id="242" name="Frame242"/>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5935" cy="175260"/>
                      <wp:effectExtent l="0" t="0" r="0" b="0"/>
                      <wp:wrapNone/>
                      <wp:docPr id="245" name="Frame2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95935" cy="175260"/>
                      <wp:effectExtent l="0" t="0" r="0" b="0"/>
                      <wp:wrapNone/>
                      <wp:docPr id="248"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95935" cy="175260"/>
                      <wp:effectExtent l="0" t="0" r="0" b="0"/>
                      <wp:wrapNone/>
                      <wp:docPr id="251" name="Frame2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24510" cy="175260"/>
                      <wp:effectExtent l="0" t="0" r="0" b="0"/>
                      <wp:wrapNone/>
                      <wp:docPr id="254" name="Frame25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data)</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9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(Unaudited)</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 forma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289,138</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income (loss) from operations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16,700</w:t>
            </w:r>
          </w:p>
        </w:tc>
      </w:tr>
      <w:tr>
        <w:trPr/>
        <w:tc>
          <w:tcPr>
            <w:tcW w:w="33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net income (loss)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11,550</w:t>
            </w:r>
          </w:p>
        </w:tc>
      </w:tr>
      <w:tr>
        <w:trPr/>
        <w:tc>
          <w:tcPr>
            <w:tcW w:w="33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0.85</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33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13,665</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14,001</w:t>
            </w:r>
          </w:p>
        </w:tc>
      </w:tr>
    </w:tbl>
    <w:tbl>
      <w:tblPr>
        <w:tblW w:w="8016" w:type="dxa"/>
        <w:jc w:val="left"/>
        <w:tblInd w:w="0" w:type="dxa"/>
        <w:tblLayout w:type="fixed"/>
        <w:tblCellMar>
          <w:top w:w="28" w:type="dxa"/>
          <w:left w:w="28" w:type="dxa"/>
          <w:bottom w:w="28" w:type="dxa"/>
          <w:right w:w="28" w:type="dxa"/>
        </w:tblCellMar>
      </w:tblPr>
      <w:tblGrid>
        <w:gridCol w:w="124"/>
        <w:gridCol w:w="271"/>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Adjustments to pro forma net income include income from operations, amortization and interest expenses.</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pro forma supplemental information does not purport to be indicative of what the Company’s operating results would have been had these acquisitions occurred on the first day of the year prior to the year of acquisition and may not be indicative of future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July 4, 2025, the acquisitions of APG, Alpha and Enica contributed $11.1 million and $17.2 million in revenue, and contributed $2.0 million and $3.0 million in income from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13. CONTINGENCIES</w:t>
      </w:r>
    </w:p>
    <w:p>
      <w:pPr>
        <w:pStyle w:val="TextBody"/>
        <w:pBdr/>
        <w:bidi w:val="0"/>
        <w:spacing w:lineRule="atLeast" w:line="220" w:before="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14. SUBSEQUENT EVENTS</w:t>
      </w:r>
    </w:p>
    <w:p>
      <w:pPr>
        <w:pStyle w:val="TextBody"/>
        <w:bidi w:val="0"/>
        <w:spacing w:lineRule="atLeast" w:line="220"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accordance with ASC Topic 855, Subsequent Events, the Company evaluates subsequent events up until the date the Condensed Consolidated Financial Statements are issued. As of August 7, 2025, there were no subsequent events required to be reported.</w:t>
      </w:r>
    </w:p>
    <w:p>
      <w:pPr>
        <w:pStyle w:val="TextBody"/>
        <w:shd w:fill="FFFFFF" w:val="clear"/>
        <w:bidi w:val="0"/>
        <w:spacing w:before="100" w:after="100"/>
        <w:ind w:left="0" w:right="0" w:firstLine="720"/>
        <w:jc w:val="left"/>
        <w:rPr/>
      </w:pPr>
      <w:r>
        <w:rPr/>
        <w:t>​</w:t>
      </w:r>
    </w:p>
    <w:p>
      <w:pPr>
        <w:pStyle w:val="TextBody"/>
        <w:shd w:fill="FFFFFF" w:val="clear"/>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shd w:fill="FFFFFF" w:val="clear"/>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60"/>
        <w:ind w:left="72" w:right="0" w:hanging="828"/>
        <w:jc w:val="left"/>
        <w:rPr>
          <w:rFonts w:ascii="Times New Roman;Times;serif" w:hAnsi="Times New Roman;Times;serif"/>
          <w:sz w:val="20"/>
        </w:rPr>
      </w:pPr>
      <w:bookmarkStart w:id="1640" w:name="ITEM7MANAGEMENTSDISCUSSION_533905"/>
      <w:bookmarkStart w:id="1641" w:name="_6a9dca37_eee3_4e34_b17e_19347f20cd14"/>
      <w:bookmarkEnd w:id="1640"/>
      <w:bookmarkEnd w:id="1641"/>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Energy segment provides specialized, innovative, comprehensive energy solutions to businesses, utilities, state agencies, municipalities, and non-profit organizations in the U.S. Our experienced engineers, consultants, and staff help our clients realize cost and energy savings by tailoring efficient and cost-effective solutions to assist in optimizing energy spend. Our energy efficiency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long-term planning.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mining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firstLine="180"/>
        <w:jc w:val="left"/>
        <w:rPr>
          <w:rFonts w:ascii="Times New Roman;Times;serif" w:hAnsi="Times New Roman;Times;serif"/>
          <w:i/>
          <w:sz w:val="20"/>
        </w:rPr>
      </w:pPr>
      <w:r>
        <w:rPr>
          <w:rFonts w:ascii="Times New Roman;Times;serif" w:hAnsi="Times New Roman;Times;serif"/>
          <w:i/>
          <w:sz w:val="20"/>
        </w:rPr>
        <w:t>Second Quarter and First Half Overview</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certain information derived from our condensed consolidated statements of comprehensive income</w:t>
      </w:r>
      <w:r>
        <w:rPr>
          <w:rFonts w:ascii="Times New Roman;Times;serif" w:hAnsi="Times New Roman;Times;serif"/>
          <w:sz w:val="15"/>
        </w:rPr>
        <w:t>(1)</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2420"/>
        <w:gridCol w:w="386"/>
        <w:gridCol w:w="196"/>
        <w:gridCol w:w="691"/>
        <w:gridCol w:w="386"/>
        <w:gridCol w:w="531"/>
        <w:gridCol w:w="241"/>
        <w:gridCol w:w="386"/>
        <w:gridCol w:w="196"/>
        <w:gridCol w:w="691"/>
        <w:gridCol w:w="386"/>
        <w:gridCol w:w="531"/>
        <w:gridCol w:w="241"/>
        <w:gridCol w:w="386"/>
        <w:gridCol w:w="196"/>
        <w:gridCol w:w="796"/>
        <w:gridCol w:w="386"/>
        <w:gridCol w:w="871"/>
        <w:gridCol w:w="288"/>
      </w:tblGrid>
      <w:tr>
        <w:trPr/>
        <w:tc>
          <w:tcPr>
            <w:tcW w:w="2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536700" cy="175260"/>
                      <wp:effectExtent l="0" t="0" r="0" b="0"/>
                      <wp:wrapNone/>
                      <wp:docPr id="255" name="Frame255"/>
                      <a:graphic xmlns:a="http://schemas.openxmlformats.org/drawingml/2006/main">
                        <a:graphicData uri="http://schemas.microsoft.com/office/word/2010/wordprocessingShape">
                          <wps:wsp>
                            <wps:cNvSpPr txBox="1"/>
                            <wps:spPr>
                              <a:xfrm>
                                <a:off x="0" y="0"/>
                                <a:ext cx="153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45110" cy="175260"/>
                      <wp:effectExtent l="0" t="0" r="0" b="0"/>
                      <wp:wrapNone/>
                      <wp:docPr id="256" name="Frame25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4460" cy="175260"/>
                      <wp:effectExtent l="0" t="0" r="0" b="0"/>
                      <wp:wrapNone/>
                      <wp:docPr id="257" name="Frame2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38785" cy="175260"/>
                      <wp:effectExtent l="0" t="0" r="0" b="0"/>
                      <wp:wrapNone/>
                      <wp:docPr id="258" name="Frame2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45110" cy="175260"/>
                      <wp:effectExtent l="0" t="0" r="0" b="0"/>
                      <wp:wrapNone/>
                      <wp:docPr id="259" name="Frame25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37185" cy="175260"/>
                      <wp:effectExtent l="0" t="0" r="0" b="0"/>
                      <wp:wrapNone/>
                      <wp:docPr id="260" name="Frame260"/>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53035" cy="175260"/>
                      <wp:effectExtent l="0" t="0" r="0" b="0"/>
                      <wp:wrapNone/>
                      <wp:docPr id="261" name="Frame26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45110" cy="175260"/>
                      <wp:effectExtent l="0" t="0" r="0" b="0"/>
                      <wp:wrapNone/>
                      <wp:docPr id="262" name="Frame26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24460" cy="175260"/>
                      <wp:effectExtent l="0" t="0" r="0" b="0"/>
                      <wp:wrapNone/>
                      <wp:docPr id="263" name="Frame2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38785" cy="175260"/>
                      <wp:effectExtent l="0" t="0" r="0" b="0"/>
                      <wp:wrapNone/>
                      <wp:docPr id="264" name="Frame2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45110" cy="175260"/>
                      <wp:effectExtent l="0" t="0" r="0" b="0"/>
                      <wp:wrapNone/>
                      <wp:docPr id="265" name="Frame26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37185" cy="175260"/>
                      <wp:effectExtent l="0" t="0" r="0" b="0"/>
                      <wp:wrapNone/>
                      <wp:docPr id="266" name="Frame266"/>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53035" cy="175260"/>
                      <wp:effectExtent l="0" t="0" r="0" b="0"/>
                      <wp:wrapNone/>
                      <wp:docPr id="267" name="Frame26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45110" cy="175260"/>
                      <wp:effectExtent l="0" t="0" r="0" b="0"/>
                      <wp:wrapNone/>
                      <wp:docPr id="268" name="Frame26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4460" cy="175260"/>
                      <wp:effectExtent l="0" t="0" r="0" b="0"/>
                      <wp:wrapNone/>
                      <wp:docPr id="269" name="Frame2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05460" cy="175260"/>
                      <wp:effectExtent l="0" t="0" r="0" b="0"/>
                      <wp:wrapNone/>
                      <wp:docPr id="270" name="Frame2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45110" cy="175260"/>
                      <wp:effectExtent l="0" t="0" r="0" b="0"/>
                      <wp:wrapNone/>
                      <wp:docPr id="271" name="Frame27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53085" cy="175260"/>
                      <wp:effectExtent l="0" t="0" r="0" b="0"/>
                      <wp:wrapNone/>
                      <wp:docPr id="272" name="Frame27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82880" cy="175260"/>
                      <wp:effectExtent l="0" t="0" r="0" b="0"/>
                      <wp:wrapNone/>
                      <wp:docPr id="273" name="Frame27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11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86" w:type="dxa"/>
            <w:tcBorders/>
            <w:vAlign w:val="center"/>
          </w:tcPr>
          <w:p>
            <w:pPr>
              <w:pStyle w:val="TableContents"/>
              <w:bidi w:val="0"/>
              <w:spacing w:before="0" w:after="0"/>
              <w:ind w:left="0" w:right="0" w:hanging="0"/>
              <w:jc w:val="center"/>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6" w:type="dxa"/>
            <w:tcBorders/>
            <w:vAlign w:val="center"/>
          </w:tcPr>
          <w:p>
            <w:pPr>
              <w:pStyle w:val="TableContents"/>
              <w:bidi w:val="0"/>
              <w:spacing w:before="0" w:after="0"/>
              <w:ind w:left="0" w:right="0" w:hanging="0"/>
              <w:jc w:val="center"/>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8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8"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111"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c>
          <w:tcPr>
            <w:tcW w:w="386" w:type="dxa"/>
            <w:tcBorders/>
            <w:shd w:fill="CCEEFF" w:val="clear"/>
            <w:vAlign w:val="center"/>
          </w:tcPr>
          <w:p>
            <w:pPr>
              <w:pStyle w:val="TableContents"/>
              <w:bidi w:val="0"/>
              <w:spacing w:before="0" w:after="0"/>
              <w:ind w:left="0" w:right="0" w:hanging="0"/>
              <w:jc w:val="righ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c>
          <w:tcPr>
            <w:tcW w:w="386" w:type="dxa"/>
            <w:tcBorders/>
            <w:shd w:fill="CCEEFF" w:val="clear"/>
            <w:vAlign w:val="center"/>
          </w:tcPr>
          <w:p>
            <w:pPr>
              <w:pStyle w:val="TableContents"/>
              <w:bidi w:val="0"/>
              <w:spacing w:before="0" w:after="0"/>
              <w:ind w:left="0" w:right="0" w:hanging="0"/>
              <w:jc w:val="righ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32,477</w:t>
            </w:r>
          </w:p>
        </w:tc>
        <w:tc>
          <w:tcPr>
            <w:tcW w:w="386" w:type="dxa"/>
            <w:tcBorders/>
            <w:shd w:fill="CCEEFF" w:val="clear"/>
            <w:vAlign w:val="center"/>
          </w:tcPr>
          <w:p>
            <w:pPr>
              <w:pStyle w:val="TableContents"/>
              <w:bidi w:val="0"/>
              <w:spacing w:before="0" w:after="0"/>
              <w:ind w:left="0" w:right="0" w:hanging="0"/>
              <w:jc w:val="righ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23.0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26,643</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15.4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23,647</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16.8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12.7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78,505</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45.3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68,545</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48.6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9,960</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14.5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105,148</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92,192</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65.4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14.1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68,325</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39.4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48,804</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19,521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40.0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32,576</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26,064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18.5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6,512</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25.0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2,405</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3,182</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1,945</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63.6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5,504</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3,629</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1,875</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51.7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12,878</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8,313</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4,565</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54.9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56,509</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42,356</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30.0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14,153</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33.4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11,816</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6.8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6,448</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5,368</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11.5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0.3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44.2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10,181</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4,867</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(5,255)</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(5,975)</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N/M</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15,436</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8.9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4,594</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10,842</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236.0</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tbl>
      <w:tblPr>
        <w:tblW w:w="2027" w:type="dxa"/>
        <w:jc w:val="left"/>
        <w:tblInd w:w="0" w:type="dxa"/>
        <w:tblLayout w:type="fixed"/>
        <w:tblCellMar>
          <w:top w:w="0" w:type="dxa"/>
          <w:left w:w="0" w:type="dxa"/>
          <w:bottom w:w="0" w:type="dxa"/>
          <w:right w:w="0" w:type="dxa"/>
        </w:tblCellMar>
      </w:tblPr>
      <w:tblGrid>
        <w:gridCol w:w="286"/>
        <w:gridCol w:w="174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1741" w:type="dxa"/>
            <w:tcBorders/>
            <w:vAlign w:val="center"/>
          </w:tcPr>
          <w:p>
            <w:pPr>
              <w:pStyle w:val="TableContents"/>
              <w:bidi w:val="0"/>
              <w:spacing w:before="0" w:after="283"/>
              <w:jc w:val="left"/>
              <w:rPr/>
            </w:pPr>
            <w:r>
              <w:rPr>
                <w:rFonts w:ascii="Times New Roman;Times;serif" w:hAnsi="Times New Roman;Times;serif"/>
                <w:b w:val="false"/>
                <w:i/>
                <w:color w:val="212529"/>
                <w:sz w:val="16"/>
                <w:shd w:fill="FFFFFF" w:val="clear"/>
              </w:rPr>
              <w:t>N/M = Not meaningful</w:t>
            </w:r>
            <w:r>
              <w:rPr>
                <w:rFonts w:ascii="Times New Roman;Times;serif" w:hAnsi="Times New Roman;Times;serif"/>
                <w:b w:val="false"/>
                <w:i w:val="false"/>
                <w:caps w:val="false"/>
                <w:smallCaps w:val="false"/>
                <w:color w:val="212529"/>
                <w:sz w:val="16"/>
                <w:shd w:fill="FFFFFF" w:val="clear"/>
              </w:rPr>
              <w:t>.</w:t>
            </w:r>
          </w:p>
        </w:tc>
      </w:tr>
    </w:tbl>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53"/>
        <w:gridCol w:w="326"/>
        <w:gridCol w:w="196"/>
        <w:gridCol w:w="691"/>
        <w:gridCol w:w="326"/>
        <w:gridCol w:w="535"/>
        <w:gridCol w:w="241"/>
        <w:gridCol w:w="326"/>
        <w:gridCol w:w="196"/>
        <w:gridCol w:w="691"/>
        <w:gridCol w:w="386"/>
        <w:gridCol w:w="535"/>
        <w:gridCol w:w="241"/>
        <w:gridCol w:w="326"/>
        <w:gridCol w:w="196"/>
        <w:gridCol w:w="796"/>
        <w:gridCol w:w="386"/>
        <w:gridCol w:w="871"/>
        <w:gridCol w:w="287"/>
      </w:tblGrid>
      <w:tr>
        <w:trPr/>
        <w:tc>
          <w:tcPr>
            <w:tcW w:w="2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684655" cy="175260"/>
                      <wp:effectExtent l="0" t="0" r="0" b="0"/>
                      <wp:wrapNone/>
                      <wp:docPr id="274" name="Frame274"/>
                      <a:graphic xmlns:a="http://schemas.openxmlformats.org/drawingml/2006/main">
                        <a:graphicData uri="http://schemas.microsoft.com/office/word/2010/wordprocessingShape">
                          <wps:wsp>
                            <wps:cNvSpPr txBox="1"/>
                            <wps:spPr>
                              <a:xfrm>
                                <a:off x="0" y="0"/>
                                <a:ext cx="168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38785" cy="175260"/>
                      <wp:effectExtent l="0" t="0" r="0" b="0"/>
                      <wp:wrapNone/>
                      <wp:docPr id="277" name="Frame2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39725" cy="175260"/>
                      <wp:effectExtent l="0" t="0" r="0" b="0"/>
                      <wp:wrapNone/>
                      <wp:docPr id="279" name="Frame279"/>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53035" cy="175260"/>
                      <wp:effectExtent l="0" t="0" r="0" b="0"/>
                      <wp:wrapNone/>
                      <wp:docPr id="280" name="Frame28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24460" cy="175260"/>
                      <wp:effectExtent l="0" t="0" r="0" b="0"/>
                      <wp:wrapNone/>
                      <wp:docPr id="282" name="Frame2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38785" cy="175260"/>
                      <wp:effectExtent l="0" t="0" r="0" b="0"/>
                      <wp:wrapNone/>
                      <wp:docPr id="283" name="Frame2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5110" cy="175260"/>
                      <wp:effectExtent l="0" t="0" r="0" b="0"/>
                      <wp:wrapNone/>
                      <wp:docPr id="284" name="Frame28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39725" cy="175260"/>
                      <wp:effectExtent l="0" t="0" r="0" b="0"/>
                      <wp:wrapNone/>
                      <wp:docPr id="285" name="Frame285"/>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53035" cy="175260"/>
                      <wp:effectExtent l="0" t="0" r="0" b="0"/>
                      <wp:wrapNone/>
                      <wp:docPr id="286" name="Frame28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24460" cy="175260"/>
                      <wp:effectExtent l="0" t="0" r="0" b="0"/>
                      <wp:wrapNone/>
                      <wp:docPr id="288" name="Frame2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05460" cy="175260"/>
                      <wp:effectExtent l="0" t="0" r="0" b="0"/>
                      <wp:wrapNone/>
                      <wp:docPr id="289" name="Frame28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45110" cy="175260"/>
                      <wp:effectExtent l="0" t="0" r="0" b="0"/>
                      <wp:wrapNone/>
                      <wp:docPr id="290" name="Frame29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53085" cy="175260"/>
                      <wp:effectExtent l="0" t="0" r="0" b="0"/>
                      <wp:wrapNone/>
                      <wp:docPr id="291" name="Frame29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82245" cy="175260"/>
                      <wp:effectExtent l="0" t="0" r="0" b="0"/>
                      <wp:wrapNone/>
                      <wp:docPr id="292" name="Frame292"/>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39"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20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20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8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7"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39"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35"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5"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c>
          <w:tcPr>
            <w:tcW w:w="326" w:type="dxa"/>
            <w:tcBorders/>
            <w:shd w:fill="CCEEFF" w:val="clear"/>
            <w:vAlign w:val="center"/>
          </w:tcPr>
          <w:p>
            <w:pPr>
              <w:pStyle w:val="TableContents"/>
              <w:bidi w:val="0"/>
              <w:spacing w:before="0" w:after="0"/>
              <w:ind w:left="0" w:right="0" w:hanging="0"/>
              <w:jc w:val="right"/>
              <w:rPr/>
            </w:pPr>
            <w:r>
              <w:rPr/>
              <w:t>    </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c>
          <w:tcPr>
            <w:tcW w:w="386" w:type="dxa"/>
            <w:tcBorders/>
            <w:shd w:fill="CCEEFF" w:val="clear"/>
            <w:vAlign w:val="center"/>
          </w:tcPr>
          <w:p>
            <w:pPr>
              <w:pStyle w:val="TableContents"/>
              <w:bidi w:val="0"/>
              <w:spacing w:before="0" w:after="0"/>
              <w:ind w:left="0" w:right="0" w:hanging="0"/>
              <w:jc w:val="left"/>
              <w:rPr/>
            </w:pPr>
            <w:r>
              <w:rPr/>
              <w:t>     </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62,374</w:t>
            </w:r>
          </w:p>
        </w:tc>
        <w:tc>
          <w:tcPr>
            <w:tcW w:w="38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23.7 </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54,320</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16.7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45,159</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17.1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20.3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145,553</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44.7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122,104</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46.3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23,449</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19.2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199,873</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61.3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167,263</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32,610</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19.5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125,986</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38.7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96,222</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29,764</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30.9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63,684</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19.5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52,573</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20.0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11,111</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4,993</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4,850</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5,608</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3,335</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68.2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9,944</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7,221</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2,723</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37.7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22,905</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16,434</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6,471</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39.4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107,134</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32.9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84,413</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32.0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22,721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26.9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18,852</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11,809</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7,043</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59.6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(3,988)</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(4,097)</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1,530</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(1,020)</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(3,478)</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(2,567)</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(911)</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35.5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15,374</w:t>
            </w:r>
          </w:p>
        </w:tc>
        <w:tc>
          <w:tcPr>
            <w:tcW w:w="326"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9,242</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6,132</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66.3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(4,749)</w:t>
            </w:r>
          </w:p>
        </w:tc>
        <w:tc>
          <w:tcPr>
            <w:tcW w:w="326" w:type="dxa"/>
            <w:tcBorders/>
            <w:shd w:fill="CCEEFF" w:val="clear"/>
            <w:vAlign w:val="center"/>
          </w:tcPr>
          <w:p>
            <w:pPr>
              <w:pStyle w:val="TableContents"/>
              <w:bidi w:val="0"/>
              <w:spacing w:before="0" w:after="0"/>
              <w:ind w:left="0" w:right="0" w:hanging="0"/>
              <w:jc w:val="righ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1,706</w:t>
            </w:r>
          </w:p>
        </w:tc>
        <w:tc>
          <w:tcPr>
            <w:tcW w:w="386" w:type="dxa"/>
            <w:tcBorders/>
            <w:shd w:fill="CCEEFF" w:val="cle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(6,455)</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N/M</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20,123</w:t>
            </w:r>
          </w:p>
        </w:tc>
        <w:tc>
          <w:tcPr>
            <w:tcW w:w="326" w:type="dxa"/>
            <w:tcBorders/>
            <w:vAlign w:val="center"/>
          </w:tcPr>
          <w:p>
            <w:pPr>
              <w:pStyle w:val="TableContents"/>
              <w:bidi w:val="0"/>
              <w:spacing w:before="0" w:after="0"/>
              <w:ind w:left="0" w:right="0" w:hanging="0"/>
              <w:jc w:val="right"/>
              <w:rPr/>
            </w:pPr>
            <w:r>
              <w:rPr/>
              <w:t>​</w:t>
            </w:r>
          </w:p>
        </w:tc>
        <w:tc>
          <w:tcPr>
            <w:tcW w:w="5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7,536</w:t>
            </w:r>
          </w:p>
        </w:tc>
        <w:tc>
          <w:tcPr>
            <w:tcW w:w="386" w:type="dxa"/>
            <w:tcBorders/>
            <w:vAlign w:val="center"/>
          </w:tcPr>
          <w:p>
            <w:pPr>
              <w:pStyle w:val="TableContents"/>
              <w:bidi w:val="0"/>
              <w:spacing w:before="0" w:after="0"/>
              <w:ind w:left="0" w:right="0" w:hanging="0"/>
              <w:jc w:val="left"/>
              <w:rPr/>
            </w:pPr>
            <w:r>
              <w:rPr/>
              <w:t>​</w:t>
            </w:r>
          </w:p>
        </w:tc>
        <w:tc>
          <w:tcPr>
            <w:tcW w:w="5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12,587</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167.0 </w:t>
            </w:r>
          </w:p>
        </w:tc>
        <w:tc>
          <w:tcPr>
            <w:tcW w:w="287" w:type="dxa"/>
            <w:tcBorders/>
            <w:vAlign w:val="center"/>
          </w:tcPr>
          <w:p>
            <w:pPr>
              <w:pStyle w:val="TableContents"/>
              <w:bidi w:val="0"/>
              <w:spacing w:before="0" w:after="0"/>
              <w:ind w:left="0" w:right="0" w:hanging="0"/>
              <w:jc w:val="left"/>
              <w:rPr/>
            </w:pPr>
            <w:r>
              <w:rPr/>
              <w:t>​</w:t>
            </w:r>
          </w:p>
        </w:tc>
      </w:tr>
      <w:tr>
        <w:trPr/>
        <w:tc>
          <w:tcPr>
            <w:tcW w:w="2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r>
    </w:tbl>
    <w:tbl>
      <w:tblPr>
        <w:tblW w:w="7247" w:type="dxa"/>
        <w:jc w:val="left"/>
        <w:tblInd w:w="0" w:type="dxa"/>
        <w:tblLayout w:type="fixed"/>
        <w:tblCellMar>
          <w:top w:w="0" w:type="dxa"/>
          <w:left w:w="0" w:type="dxa"/>
          <w:bottom w:w="0" w:type="dxa"/>
          <w:right w:w="0" w:type="dxa"/>
        </w:tblCellMar>
      </w:tblPr>
      <w:tblGrid>
        <w:gridCol w:w="271"/>
        <w:gridCol w:w="6976"/>
      </w:tblGrid>
      <w:tr>
        <w:trPr/>
        <w:tc>
          <w:tcPr>
            <w:tcW w:w="271" w:type="dxa"/>
            <w:tcBorders/>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tbl>
      <w:tblPr>
        <w:tblW w:w="2012" w:type="dxa"/>
        <w:jc w:val="left"/>
        <w:tblInd w:w="0" w:type="dxa"/>
        <w:tblLayout w:type="fixed"/>
        <w:tblCellMar>
          <w:top w:w="0" w:type="dxa"/>
          <w:left w:w="0" w:type="dxa"/>
          <w:bottom w:w="0" w:type="dxa"/>
          <w:right w:w="0" w:type="dxa"/>
        </w:tblCellMar>
      </w:tblPr>
      <w:tblGrid>
        <w:gridCol w:w="271"/>
        <w:gridCol w:w="1741"/>
      </w:tblGrid>
      <w:tr>
        <w:trPr/>
        <w:tc>
          <w:tcPr>
            <w:tcW w:w="271" w:type="dxa"/>
            <w:tcBorders/>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(2)</w:t>
            </w:r>
          </w:p>
        </w:tc>
        <w:tc>
          <w:tcPr>
            <w:tcW w:w="1741" w:type="dxa"/>
            <w:tcBorders/>
            <w:vAlign w:val="center"/>
          </w:tcPr>
          <w:p>
            <w:pPr>
              <w:pStyle w:val="TableContents"/>
              <w:bidi w:val="0"/>
              <w:spacing w:before="0" w:after="283"/>
              <w:jc w:val="left"/>
              <w:rPr/>
            </w:pPr>
            <w:r>
              <w:rPr>
                <w:rFonts w:ascii="Times New Roman;Times;serif" w:hAnsi="Times New Roman;Times;serif"/>
                <w:b w:val="false"/>
                <w:i/>
                <w:color w:val="212529"/>
                <w:sz w:val="16"/>
                <w:shd w:fill="FFFFFF" w:val="clear"/>
              </w:rPr>
              <w:t>N/M = Not meaningful</w:t>
            </w:r>
            <w:r>
              <w:rPr>
                <w:rFonts w:ascii="Times New Roman;Times;serif" w:hAnsi="Times New Roman;Times;serif"/>
                <w:b w:val="false"/>
                <w:i w:val="false"/>
                <w:caps w:val="false"/>
                <w:smallCaps w:val="false"/>
                <w:color w:val="212529"/>
                <w:sz w:val="16"/>
                <w:shd w:fill="FFFFFF" w:val="clear"/>
              </w:rPr>
              <w:t>.</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provide information about disaggregated revenue of our two segments, Energy and Engineering and Consulting, by contract type, client type and geographical region:</w:t>
      </w:r>
    </w:p>
    <w:tbl>
      <w:tblPr>
        <w:tblW w:w="560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934085" cy="175260"/>
                      <wp:effectExtent l="0" t="0" r="0" b="0"/>
                      <wp:wrapNone/>
                      <wp:docPr id="293" name="Frame29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4460" cy="175260"/>
                      <wp:effectExtent l="0" t="0" r="0" b="0"/>
                      <wp:wrapNone/>
                      <wp:docPr id="295" name="Frame2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38785" cy="175260"/>
                      <wp:effectExtent l="0" t="0" r="0" b="0"/>
                      <wp:wrapNone/>
                      <wp:docPr id="296" name="Frame2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1295" cy="175260"/>
                      <wp:effectExtent l="0" t="0" r="0" b="0"/>
                      <wp:wrapNone/>
                      <wp:docPr id="298" name="Frame298"/>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18490" cy="175260"/>
                      <wp:effectExtent l="0" t="0" r="0" b="0"/>
                      <wp:wrapNone/>
                      <wp:docPr id="299" name="Frame299"/>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301" name="Frame3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99110" cy="175260"/>
                      <wp:effectExtent l="0" t="0" r="0" b="0"/>
                      <wp:wrapNone/>
                      <wp:docPr id="302" name="Frame302"/>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4, 2025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11,733</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30,632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58,250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64,737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76,766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78,104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18,093</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19,848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55,839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80,763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72,817</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72,862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4, 2025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23,335</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60,294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105,957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118,699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143,705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146,866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31,608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35,174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104,163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153,359</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137,226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137,326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325,859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0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934085" cy="175260"/>
                      <wp:effectExtent l="0" t="0" r="0" b="0"/>
                      <wp:wrapNone/>
                      <wp:docPr id="303" name="Frame30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4460" cy="175260"/>
                      <wp:effectExtent l="0" t="0" r="0" b="0"/>
                      <wp:wrapNone/>
                      <wp:docPr id="305"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38785" cy="175260"/>
                      <wp:effectExtent l="0" t="0" r="0" b="0"/>
                      <wp:wrapNone/>
                      <wp:docPr id="306" name="Frame3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1295" cy="175260"/>
                      <wp:effectExtent l="0" t="0" r="0" b="0"/>
                      <wp:wrapNone/>
                      <wp:docPr id="308" name="Frame308"/>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18490" cy="175260"/>
                      <wp:effectExtent l="0" t="0" r="0" b="0"/>
                      <wp:wrapNone/>
                      <wp:docPr id="309" name="Frame309"/>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4460" cy="175260"/>
                      <wp:effectExtent l="0" t="0" r="0" b="0"/>
                      <wp:wrapNone/>
                      <wp:docPr id="311"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99110" cy="175260"/>
                      <wp:effectExtent l="0" t="0" r="0" b="0"/>
                      <wp:wrapNone/>
                      <wp:docPr id="312" name="Frame312"/>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28,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47,578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52,449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61,574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62,820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8,691</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10,424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51,468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72,829</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57,693</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140,996</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28, 2024</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17,237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50,663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94,535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103,917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106,826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108,905</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15,894</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19,207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87,288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128,747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115,416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115,531</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263,485</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218,598</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263,485</w:t>
            </w:r>
          </w:p>
        </w:tc>
      </w:tr>
    </w:tbl>
    <w:p>
      <w:pPr>
        <w:pStyle w:val="TextBody"/>
        <w:bidi w:val="0"/>
        <w:spacing w:before="0" w:after="0"/>
        <w:ind w:left="36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286"/>
        <w:gridCol w:w="373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187" w:type="dxa"/>
        <w:jc w:val="left"/>
        <w:tblInd w:w="0" w:type="dxa"/>
        <w:tblLayout w:type="fixed"/>
        <w:tblCellMar>
          <w:top w:w="0" w:type="dxa"/>
          <w:left w:w="0" w:type="dxa"/>
          <w:bottom w:w="0" w:type="dxa"/>
          <w:right w:w="0" w:type="dxa"/>
        </w:tblCellMar>
      </w:tblPr>
      <w:tblGrid>
        <w:gridCol w:w="286"/>
        <w:gridCol w:w="690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8972" w:type="dxa"/>
        <w:jc w:val="left"/>
        <w:tblInd w:w="0" w:type="dxa"/>
        <w:tblLayout w:type="fixed"/>
        <w:tblCellMar>
          <w:top w:w="0" w:type="dxa"/>
          <w:left w:w="0" w:type="dxa"/>
          <w:bottom w:w="0" w:type="dxa"/>
          <w:right w:w="0" w:type="dxa"/>
        </w:tblCellMar>
      </w:tblPr>
      <w:tblGrid>
        <w:gridCol w:w="286"/>
        <w:gridCol w:w="868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8686" w:type="dxa"/>
            <w:tcBorders/>
            <w:vAlign w:val="center"/>
          </w:tcPr>
          <w:p>
            <w:pPr>
              <w:pStyle w:val="TableContents"/>
              <w:bidi w:val="0"/>
              <w:spacing w:before="0" w:after="283"/>
              <w:jc w:val="left"/>
              <w:rPr/>
            </w:pPr>
            <w:r>
              <w:rPr>
                <w:rFonts w:ascii="Times New Roman;Times;serif" w:hAnsi="Times New Roman;Times;serif"/>
                <w:b w:val="false"/>
                <w:i/>
                <w:sz w:val="16"/>
              </w:rPr>
              <w:t>Revenue from our foreign operations was not material for the three and six months ended July 4, 2025 and June 28, 2024</w:t>
            </w:r>
            <w:r>
              <w:rPr>
                <w:rFonts w:ascii="Times New Roman;Times;serif" w:hAnsi="Times New Roman;Times;serif"/>
                <w:b w:val="false"/>
                <w:i w:val="false"/>
                <w:caps w:val="false"/>
                <w:smallCaps w:val="false"/>
                <w:sz w:val="18"/>
              </w:rPr>
              <w:t xml:space="preserve">. </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Three Months Ended July 4, 2025 Compared to Three Months Ended June 28,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$32.5 million, or 23.0%, in the three months ended July 4, 2025, compared to the three months ended June 28, 2024, reflecting increased demand for our services in both our Energy segment and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$28.9 million, or 24.5%, in the three months ended July 4, 2025, compared to the three months ended June 28, 2024, primarily as a result of increased demand for energy efficiency and electrification services under utility programs, higher construction management revenues, higher planning and advisory consulting revenues, and the incremental revenues from our acquisitions of Enica Engineering, PLCC. (“Enica”) and Alternative Power Generation, Inc. (“APG”).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$3.6 million, or 15.5%, in the three months ended July 4, 2025, compared to the three months ended June 28, 2024, primarily due to increased demand for services provided to our clients, combined with the incremental revenues from our acquisition of Alpha Inspections, Inc. (“Alpha”).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 xml:space="preserve">Direct costs of consolidated contract revenue increased $13.0 million, or 14.1%, for the three months ended July 4, 2025, compared to the three months </w:t>
      </w:r>
      <w:r>
        <w:rPr>
          <w:rFonts w:ascii="Times New Roman;Times;serif" w:hAnsi="Times New Roman;Times;serif"/>
          <w:sz w:val="20"/>
        </w:rPr>
        <w:t>ended June 28, 2024, primarily as a result of the increase and change of mix in contract revenues as described above. As a percentage of contract revenue, subcontractor services and other direct costs decreased to 45.3% in the three months ended July 4, 2025 from 48.6% in the three months ended June 28, 2024, while direct salaries and wages decreased to 15.4% in the three months ended July 4, 2025 from 16.8% in the three months ended June 28,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in our Energy segment </w:t>
      </w:r>
      <w:r>
        <w:rPr>
          <w:rFonts w:ascii="Times New Roman;Times;serif" w:hAnsi="Times New Roman;Times;serif"/>
          <w:sz w:val="20"/>
          <w:shd w:fill="FFFFFF" w:val="clear"/>
        </w:rPr>
        <w:t xml:space="preserve">increased $11.6 million, or 14.2%, for the three months ended July 4, 2025, compared to the three months ended June 28, 2024. </w:t>
      </w:r>
      <w:r>
        <w:rPr>
          <w:rFonts w:ascii="Times New Roman;Times;serif" w:hAnsi="Times New Roman;Times;serif"/>
          <w:sz w:val="20"/>
        </w:rPr>
        <w:t>Direct costs of contract revenue for the Engineering and Consulting segment increased $1.4 million, or 13.3%, in the three months ended July 4, 2025, compared to the three months ended June 28,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Subcontractor services and other direct costs increased by $10.0 million, or 14.5%, in the three months ended July 4, 2025</w:t>
      </w:r>
      <w:r>
        <w:rPr>
          <w:rFonts w:ascii="Times New Roman;Times;serif" w:hAnsi="Times New Roman;Times;serif"/>
          <w:sz w:val="20"/>
        </w:rPr>
        <w:t>, compared to the three months ended June 28, 2024, primarily due to the increase in utility program revenues and construction management revenues, which utilize a higher percentage of material cost and installation subcontracting. S</w:t>
      </w:r>
      <w:r>
        <w:rPr>
          <w:rFonts w:ascii="Times New Roman;Times;serif" w:hAnsi="Times New Roman;Times;serif"/>
          <w:sz w:val="20"/>
          <w:shd w:fill="FFFFFF" w:val="clear"/>
        </w:rPr>
        <w:t xml:space="preserve">alaries and wages increased by $3.0 million, or 12.7%, in the three months ended July 4, 2025, compared to the three months ended June 28, 2024, </w:t>
      </w:r>
      <w:r>
        <w:rPr>
          <w:rFonts w:ascii="Times New Roman;Times;serif" w:hAnsi="Times New Roman;Times;serif"/>
          <w:sz w:val="20"/>
        </w:rPr>
        <w:t xml:space="preserve">primarily as a </w:t>
      </w:r>
      <w:r>
        <w:rPr>
          <w:rFonts w:ascii="Times New Roman;Times;serif" w:hAnsi="Times New Roman;Times;serif"/>
          <w:sz w:val="20"/>
          <w:shd w:fill="FFFFFF" w:val="clear"/>
        </w:rPr>
        <w:t>result of the increases in contract revenue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40.0% to $68.3 million, or 39.4% gross margin, for the three months ended July 4, 2025, compared to gross profit of $48.8 million, or 34.6% gross margin, for the three months ended June 28, 2024. The increase in our gross margin was primarily driven by changes in the mix of revenues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$14.2 million, or 33.4%, to $56.5 million in the three months ended July 4, 2025, compared to $42.4 million for the three months ended June 28, 2024. G&amp;A expenses consisted of an increase of $9.6 million, or 30.7%, in the Energy segment </w:t>
      </w:r>
      <w:r>
        <w:rPr>
          <w:rFonts w:ascii="Times New Roman;Times;serif" w:hAnsi="Times New Roman;Times;serif"/>
          <w:sz w:val="20"/>
          <w:shd w:fill="FFFFFF" w:val="clear"/>
        </w:rPr>
        <w:t>combined with an increase of</w:t>
      </w:r>
      <w:r>
        <w:rPr>
          <w:rFonts w:ascii="Times New Roman;Times;serif" w:hAnsi="Times New Roman;Times;serif"/>
          <w:sz w:val="20"/>
        </w:rPr>
        <w:t xml:space="preserve"> $0.5 million, or 5.4%, in the Engineering and Consulting segment, and an increase of $4.1 million, or 235.4%, in unallocated corporate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overall increase in G&amp;A expenses consisted of an increase of $6.5 million in salaries and wages, payroll taxes and employee benefits, an increase of $4.6 million in other general and administrative expenses, an increase of $1.9 million in depreciation and amortization, and an increase of $1.2 million in stock-based compensation. The increase in salaries and wages, payroll taxes and employee benefits was primarily due to increased staffing from acquisitions, an increase in incentive compensation to support revenue growth, consistent with the improvement in operating profit, and higher fringe benefit costs consistent with the growth in direct and indirect labor costs. The increase in other general and administrative expenses was primarily due to increased professional service fees and computer-related expenses. The increase in depreciation and amortization was primarily related to higher amortization of intangible assets from recent acquisitions. </w:t>
      </w:r>
      <w:r>
        <w:rPr>
          <w:rFonts w:ascii="Times New Roman;Times;serif" w:hAnsi="Times New Roman;Times;serif"/>
          <w:sz w:val="20"/>
          <w:shd w:fill="FFFFFF" w:val="clear"/>
        </w:rPr>
        <w:t>The increase in stock-based compensation expenses was primarily related to new stock grants to current employees, executives, and Board of directors at a higher stock price.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83.3% to $11.8 million for the three months ended July 4, 2025, compared to an operating income of $6.4 million </w:t>
      </w:r>
      <w:r>
        <w:rPr>
          <w:rFonts w:ascii="Times New Roman;Times;serif" w:hAnsi="Times New Roman;Times;serif"/>
          <w:sz w:val="20"/>
          <w:shd w:fill="FFFFFF" w:val="clear"/>
        </w:rPr>
        <w:t>for the three months ended June 28, 2024</w:t>
      </w:r>
      <w:r>
        <w:rPr>
          <w:rFonts w:ascii="Times New Roman;Times;serif" w:hAnsi="Times New Roman;Times;serif"/>
          <w:sz w:val="20"/>
        </w:rPr>
        <w:t>,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increased $0.5 million, or 44.2%, for the three months ended July 4, 2025, compared to the three months ended June 28, 2024, primarily due to a one-time charge for unamortized debt issuance costs related to our prior credit facilities, partially offset by the lower interest expense resulting from the reduced interest rate spread derived from lower debt leverage levels under our credit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benefit of $5.3 million for the three months ended July 4, 2025, an effective tax benefit rate of 51.6% on income before income tax expense, compared to an income tax expense of $0.7 million for the three months ended June 28, 2024, an effective tax expense rate of 13.5% on income before tax expense. The reduction in the effective tax rate resulted from increases in discrete items related to stock compensation deductions and additional energy-efficiency building deductions.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$15.4 million for the three months ended July 4, 2025, as compared to a net income of $4.6 million for the three months ended June 28, 2024. The increase in net income was primarily attributable to the increase in income from operations combined with the tax benefit.</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Six Months Ended July 4, 2025 Compared to Six Months Ended June 28,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$62.4 million, or 23.7%, in the six months ended July 4, 2025, compared to the six months ended June 28, 2024, reflecting increased demand for our services in both our Energy segment and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$54.4 million, or 24.9%, in the six months ended July 4, 2025, compared to the six months ended June 28, 2024, primarily as a result of increased demand for energy efficiency and electrification services under utility programs, higher construction management revenues, higher planning and advisory consulting revenues, and the incremental revenues from our acquisitions of Enica and APG.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$8.0 million, or 17.8%, in the six months ended July 4, 2025, compared to the six months ended June 28, 2024, primarily due to increased demand for services provided to our clients, combined with the incremental revenues from our acquisition of Alpha.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 xml:space="preserve">Direct costs of consolidated contract revenue increased $32.6 million, or 19.5%, for the six months ended July 4, 2025, compared to the six months </w:t>
      </w:r>
      <w:r>
        <w:rPr>
          <w:rFonts w:ascii="Times New Roman;Times;serif" w:hAnsi="Times New Roman;Times;serif"/>
          <w:sz w:val="20"/>
        </w:rPr>
        <w:t>ended June 28, 2024, primarily as a result of the increase and change of mix in contract revenues as described above. As a percentage of contract revenue, subcontractor services and other direct costs decreased to 44.7% in the six months ended July 4, 2025 from 46.3% in the six months ended June 28, 2024, while direct salaries and wages decreased to 16.7% in the six months ended July 4, 2025 from 17.1% in the six months ended June 28,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in our Energy segment </w:t>
      </w:r>
      <w:r>
        <w:rPr>
          <w:rFonts w:ascii="Times New Roman;Times;serif" w:hAnsi="Times New Roman;Times;serif"/>
          <w:sz w:val="20"/>
          <w:shd w:fill="FFFFFF" w:val="clear"/>
        </w:rPr>
        <w:t xml:space="preserve">increased $29.2 million, or 19.9%, for the six months ended July 4, 2025, compared to the six months ended June 28, 2024. </w:t>
      </w:r>
      <w:r>
        <w:rPr>
          <w:rFonts w:ascii="Times New Roman;Times;serif" w:hAnsi="Times New Roman;Times;serif"/>
          <w:sz w:val="20"/>
        </w:rPr>
        <w:t>Direct costs of contract revenue for the Engineering and Consulting segment increased $3.4 million, or 16.5%, in the six months ended July 4, 2025, compared to the six months ended June 28,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Subcontractor services and other direct costs increased by $23.4 million, or 19.2%, in the six months ended July 4, 2025</w:t>
      </w:r>
      <w:r>
        <w:rPr>
          <w:rFonts w:ascii="Times New Roman;Times;serif" w:hAnsi="Times New Roman;Times;serif"/>
          <w:sz w:val="20"/>
        </w:rPr>
        <w:t>, compared to the six months ended June 28, 2024, primarily due to the increase in utility program revenues and construction management revenues, which utilize a higher percentage of material cost and installation subcontracting. S</w:t>
      </w:r>
      <w:r>
        <w:rPr>
          <w:rFonts w:ascii="Times New Roman;Times;serif" w:hAnsi="Times New Roman;Times;serif"/>
          <w:sz w:val="20"/>
          <w:shd w:fill="FFFFFF" w:val="clear"/>
        </w:rPr>
        <w:t xml:space="preserve">alaries and wages increased by $9.2 million, or 20.3%, in the six months ended July 4, 2025, compared to the six months ended June 28, 2024, </w:t>
      </w:r>
      <w:r>
        <w:rPr>
          <w:rFonts w:ascii="Times New Roman;Times;serif" w:hAnsi="Times New Roman;Times;serif"/>
          <w:sz w:val="20"/>
        </w:rPr>
        <w:t xml:space="preserve">primarily as a </w:t>
      </w:r>
      <w:r>
        <w:rPr>
          <w:rFonts w:ascii="Times New Roman;Times;serif" w:hAnsi="Times New Roman;Times;serif"/>
          <w:sz w:val="20"/>
          <w:shd w:fill="FFFFFF" w:val="clear"/>
        </w:rPr>
        <w:t>result of the increases in contract revenue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30.9% to $126.0 million, or 38.7% gross margin, for the six months ended July 4, 2025, compared to gross profit of $96.2 million, or 36.5% gross margin, for the six months ended June 28, 2024. The increase in our gross margin was primarily driven by changes in the mix of revenues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$22.7 million, or 26.9%, to $107.1 million in the six months ended July 4, 2025, compared to $84.4 million for the six months ended June 28, 2024. G&amp;A expenses consisted of an increase of $16.5 million, or 26.3%, in the Energy segment </w:t>
      </w:r>
      <w:r>
        <w:rPr>
          <w:rFonts w:ascii="Times New Roman;Times;serif" w:hAnsi="Times New Roman;Times;serif"/>
          <w:sz w:val="20"/>
          <w:shd w:fill="FFFFFF" w:val="clear"/>
        </w:rPr>
        <w:t>combined with an increase of</w:t>
      </w:r>
      <w:r>
        <w:rPr>
          <w:rFonts w:ascii="Times New Roman;Times;serif" w:hAnsi="Times New Roman;Times;serif"/>
          <w:sz w:val="20"/>
        </w:rPr>
        <w:t xml:space="preserve"> $2.0 million, or 10.5%, in the Engineering and Consulting segment, and an increase of $4.2 million, or 146.9%, in unallocated corporate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overall increase in G&amp;A expenses consisted of an increase of $11.1 million in salaries and wages, payroll taxes and employee benefits, an increase of $6.5 million in other general and administrative expenses, an increase of $2.7 million in depreciation and amortization, and an increase of $2.3 million in stock-based compensation. The increase in salaries and wages, payroll taxes and employee benefits was primarily due to increased staffing from acquisitions, an increase in incentive compensation to support revenue growth, consistent with the improvement in operating profit, and higher fringe benefit costs consistent with the growth in direct and indirect labor costs. The increase in other general and administrative expenses was primarily due to increased professional service fees and computer-related expenses.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increase in depreciation and amortization was primarily related to higher amortization of intangible assets from recent acquisitions. </w:t>
      </w:r>
      <w:r>
        <w:rPr>
          <w:rFonts w:ascii="Times New Roman;Times;serif" w:hAnsi="Times New Roman;Times;serif"/>
          <w:sz w:val="20"/>
          <w:shd w:fill="FFFFFF" w:val="clear"/>
        </w:rPr>
        <w:t>The increase in stock-based compensation expenses was primarily related to new stock grants to current employees, executives and Board of directors at a higher stock price.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59.6% to $18.9 million for the six months ended July 4, 2025, compared to an operating income of $11.8 million </w:t>
      </w:r>
      <w:r>
        <w:rPr>
          <w:rFonts w:ascii="Times New Roman;Times;serif" w:hAnsi="Times New Roman;Times;serif"/>
          <w:sz w:val="20"/>
          <w:shd w:fill="FFFFFF" w:val="clear"/>
        </w:rPr>
        <w:t>for the six months ended June 28, 2024</w:t>
      </w:r>
      <w:r>
        <w:rPr>
          <w:rFonts w:ascii="Times New Roman;Times;serif" w:hAnsi="Times New Roman;Times;serif"/>
          <w:sz w:val="20"/>
        </w:rPr>
        <w:t>,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increased $0.9 million, or 35.5%, for the six months ended July 4, 2025, compared to the six months ended June 28, 2024, primarily due to a one-time charge for unamortized debt issuance costs related to our prior credit facilities combined with a one-time charge related to a facility lease modification, partially offset by lower interest expense resulting from the reduced interest rate spread derived from lower debt leverage levels under our credit facilities.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benefit of $4.7 million for the six months ended July 4, 2025, an effective tax benefit rate of 30.9% on income before income tax expense, compared to an income tax expense of $1.7 million for the six months ended June 28, 2024, an effective tax rate of 18.5% on income before tax expense. The reduction in the effective tax rate resulted from increases in discrete items related to stock compensation deductions and additional energy-efficiency building deductions.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$20.1 million for the six months ended July 4, 2025, as compared to a net income of $7.5 million for the six months ended June 28, 2024. The increase in net income was primarily attributable to the increase in income from operations combined with the tax benefit.</w:t>
      </w:r>
    </w:p>
    <w:p>
      <w:pPr>
        <w:pStyle w:val="TextBody"/>
        <w:bidi w:val="0"/>
        <w:spacing w:before="100" w:after="10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6982" w:type="dxa"/>
        <w:jc w:val="left"/>
        <w:tblInd w:w="0" w:type="dxa"/>
        <w:tblLayout w:type="fixed"/>
        <w:tblCellMar>
          <w:top w:w="0" w:type="dxa"/>
          <w:left w:w="0" w:type="dxa"/>
          <w:bottom w:w="0" w:type="dxa"/>
          <w:right w:w="0" w:type="dxa"/>
        </w:tblCellMar>
      </w:tblPr>
      <w:tblGrid>
        <w:gridCol w:w="4321"/>
        <w:gridCol w:w="326"/>
        <w:gridCol w:w="211"/>
        <w:gridCol w:w="796"/>
        <w:gridCol w:w="326"/>
        <w:gridCol w:w="211"/>
        <w:gridCol w:w="791"/>
      </w:tblGrid>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05460" cy="175260"/>
                      <wp:effectExtent l="0" t="0" r="0" b="0"/>
                      <wp:wrapNone/>
                      <wp:docPr id="314" name="Frame3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02285" cy="175260"/>
                      <wp:effectExtent l="0" t="0" r="0" b="0"/>
                      <wp:wrapNone/>
                      <wp:docPr id="317" name="Frame31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26" w:type="dxa"/>
            <w:tcBorders/>
            <w:vAlign w:val="center"/>
          </w:tcPr>
          <w:p>
            <w:pPr>
              <w:pStyle w:val="TableContents"/>
              <w:bidi w:val="0"/>
              <w:spacing w:before="0" w:after="0"/>
              <w:ind w:left="0" w:right="0" w:hanging="0"/>
              <w:jc w:val="center"/>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28,724</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27,838</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20,870</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sources of liquidity for the next 12 months and beyond are cash generated from operations, cash and cash equivalents, and </w:t>
      </w:r>
      <w:r>
        <w:rPr>
          <w:rFonts w:ascii="Times New Roman;Times;serif" w:hAnsi="Times New Roman;Times;serif"/>
          <w:sz w:val="20"/>
          <w:shd w:fill="FFFFFF" w:val="clear"/>
        </w:rPr>
        <w:t xml:space="preserve">available borrowings under our Revolving Credit Facility and Delayed Draw Term Loan under the Credit Agreement (the “Revolving Credit Facility”). We believe these sources will be sufficient to finance our operating activities for at least the next 12 months.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As of July 4, 2025</w:t>
      </w:r>
      <w:r>
        <w:rPr>
          <w:rFonts w:ascii="Times New Roman;Times;serif" w:hAnsi="Times New Roman;Times;serif"/>
          <w:sz w:val="20"/>
        </w:rPr>
        <w:t xml:space="preserve">, </w:t>
      </w:r>
      <w:r>
        <w:rPr>
          <w:rFonts w:ascii="Times New Roman;Times;serif" w:hAnsi="Times New Roman;Times;serif"/>
          <w:sz w:val="20"/>
          <w:shd w:fill="FFFFFF" w:val="clear"/>
        </w:rPr>
        <w:t xml:space="preserve">we had a fully drawn $50.0 million term loan with $50.0 million outstanding, a $100.0 million Revolving Credit Facility with $10.0 million outstanding and $1.6 million in letters of credit issued, and a $50.0 million Delayed Draw Term Loan with no borrowed amounts, each scheduled to mature on May 5, 2030. In addition, as of July 4, 2025, we had $32.3 million of unrestricted cash and cash equivalents. As of July 4, 2025, unhedged borrowings under our Credit Facilities, exclusive of the effects of upfront fees, undrawn fees and issuance cost amortization, bore interest at an annual rate of 6.2%. </w:t>
      </w:r>
      <w:r>
        <w:rPr>
          <w:rFonts w:ascii="Times New Roman;Times;serif" w:hAnsi="Times New Roman;Times;serif"/>
          <w:sz w:val="20"/>
        </w:rPr>
        <w:t xml:space="preserve">Subsequent to July 4, 2025, we repaid $10.0 million of borrowings under our Revolving Credit Facility, reducing the outstanding balance to zero, and thereby increasing available borrowing capacity under the Revolving Credit Facility to its full $100.0 million. </w:t>
      </w:r>
      <w:r>
        <w:rPr>
          <w:rFonts w:ascii="Times New Roman;Times;serif" w:hAnsi="Times New Roman;Times;serif"/>
          <w:sz w:val="20"/>
          <w:shd w:fill="FFFFFF" w:val="clear"/>
        </w:rPr>
        <w:t xml:space="preserve">See Part I, Item 1, Note 6, “Debt Obligations”, of the Notes to Condensed Consolidated Financial Statements included in this Quarterly Report on Form 10-Q for information regarding our indebtedness, including information about Amended and Restated Credit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“Amended and Restated Credit Agreement”) and repayments, principal repayment terms, interest rates, covenants, and other key terms of our outstanding indebtedness.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Cash flows provided by operating activities were $28.7 million for the six months ended July 4, 2025, as compared to cash flows provided by operating activities of $27.8 million for the six months ended June 28, 2024.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the six months ended July 4, 2025, resulted primarily from the increase in earnings combined with lower working capital requirements. Cash flows provided by operating activities for the six months ended June 28, 2024, resulted primarily from the increase in earnings and lower working capital requirements.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w:t>
      </w:r>
      <w:r>
        <w:rPr>
          <w:rFonts w:ascii="Times New Roman;Times;serif" w:hAnsi="Times New Roman;Times;serif"/>
          <w:sz w:val="20"/>
          <w:shd w:fill="FFFFFF" w:val="clear"/>
        </w:rPr>
        <w:t xml:space="preserve">sh flows used in investing activities were $39.6 million for the six months ended July 4, 2025, as compared to cash flows used in investing activities of $4.1 million for the six months ended June 28, 2024. Cash flows used in investing activities for the six months ended July 4, 2025 were primarily due to cash paid for acquisitions, combined with cash paid for the development of proprietary software and the purchase of computers and equipment. Cash flows used in investing activities for the six months ended June 28, 2024 were primarily due to cash paid for the development of proprietary software and the purchase of computers and equipment.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used in financing activities were $30.9 million for the six months ended July 4, 2025, as compared to cash flows used in financing activities of $2.9 million for the six months ended June 28, 2024. </w:t>
      </w:r>
    </w:p>
    <w:p>
      <w:pPr>
        <w:pStyle w:val="TextBody"/>
        <w:bidi w:val="0"/>
        <w:spacing w:before="180" w:after="180"/>
        <w:ind w:left="0" w:right="0" w:firstLine="720"/>
        <w:jc w:val="left"/>
        <w:rPr>
          <w:rFonts w:ascii="Times New Roman;Times;serif" w:hAnsi="Times New Roman;Times;serif"/>
          <w:sz w:val="20"/>
        </w:rPr>
      </w:pPr>
      <w:r>
        <w:rPr>
          <w:rFonts w:ascii="Times New Roman;Times;serif" w:hAnsi="Times New Roman;Times;serif"/>
          <w:sz w:val="20"/>
        </w:rPr>
        <w:t>For the six months ended July 4, 2025, cash flows used in financing activities were primarily attributable to the $28.4 million cash used to pay down our Revolving Credit Facility, $3.1 million cash used to pay withholding taxes on stock grants, combined with repayments and borrowings of $90.0 million and $88.4 million, respectively, related to our Amended and Restated Credit Agreement. Cash flows used in financing activities were partially offset by $1.9 million in proceeds from stock option exercise, and $1.5 million of proceeds from sales of common stock under the employee stock purchase plan. Cash flows used in financing activities for the six months ended June 28, 2024 were primarily attributable to the repayments of $3.8 million under our prior Term Loan, $0.8 million cash used to pay withholding taxes on stock grants, and $0.7 million principal payments on finance leases, partially offset by $1.4 million of proceeds from sales of common stock under employee stock purchase plan, and $1.1 million in proceeds from stock option exercises.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do not have any off-balance sheet financing arrangements or liabilities. </w:t>
      </w:r>
      <w:r>
        <w:rPr>
          <w:rFonts w:ascii="Times New Roman;Times;serif" w:hAnsi="Times New Roman;Times;serif"/>
          <w:sz w:val="20"/>
          <w:shd w:fill="FFFFFF" w:val="clear"/>
        </w:rPr>
        <w:t>In addition, our policy is not to enter into futures or forward contracts. </w:t>
      </w:r>
      <w:r>
        <w:rPr>
          <w:rFonts w:ascii="Times New Roman;Times;serif" w:hAnsi="Times New Roman;Times;serif"/>
          <w:sz w:val="20"/>
        </w:rPr>
        <w:t>Finally, we do not have any majority-owned subsidiaries or any interests in, or relationships with, any special-purpose entities that are not included in the consolidated financial statements. We have, however, an administrative services agreement with Genesys in which we provide Genesys with ongoing administrative, 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Short and Long-term Uses of Cash</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principal uses of cash are to fund operating expenses, support working capital requirements, finance capital expenditures, and pay down outstanding debt. From time to time, we also use cash to help fund business acquisitions. </w:t>
      </w:r>
      <w:r>
        <w:rPr>
          <w:rFonts w:ascii="Times New Roman;Times;serif" w:hAnsi="Times New Roman;Times;serif"/>
          <w:sz w:val="20"/>
          <w:shd w:fill="FFFFFF" w:val="clear"/>
        </w:rPr>
        <w:t>Our cash and cash equivalents are impacted by the timing of when we invoice and are paid by our customers for services rendered and when we pay expenses as reflected in the change in our outstanding accounts payable and accrued expenses.</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known contractual obligations as of July 4, 2025:</w:t>
      </w:r>
    </w:p>
    <w:tbl>
      <w:tblPr>
        <w:tblW w:w="10046" w:type="dxa"/>
        <w:jc w:val="left"/>
        <w:tblInd w:w="0" w:type="dxa"/>
        <w:tblLayout w:type="fixed"/>
        <w:tblCellMar>
          <w:top w:w="0" w:type="dxa"/>
          <w:left w:w="0" w:type="dxa"/>
          <w:bottom w:w="0" w:type="dxa"/>
          <w:right w:w="0" w:type="dxa"/>
        </w:tblCellMar>
      </w:tblPr>
      <w:tblGrid>
        <w:gridCol w:w="3436"/>
        <w:gridCol w:w="326"/>
        <w:gridCol w:w="211"/>
        <w:gridCol w:w="676"/>
        <w:gridCol w:w="326"/>
        <w:gridCol w:w="214"/>
        <w:gridCol w:w="687"/>
        <w:gridCol w:w="326"/>
        <w:gridCol w:w="239"/>
        <w:gridCol w:w="766"/>
        <w:gridCol w:w="326"/>
        <w:gridCol w:w="239"/>
        <w:gridCol w:w="766"/>
        <w:gridCol w:w="326"/>
        <w:gridCol w:w="375"/>
        <w:gridCol w:w="616"/>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81860" cy="175260"/>
                      <wp:effectExtent l="0" t="0" r="0" b="0"/>
                      <wp:wrapNone/>
                      <wp:docPr id="318" name="Frame318"/>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29260" cy="175260"/>
                      <wp:effectExtent l="0" t="0" r="0" b="0"/>
                      <wp:wrapNone/>
                      <wp:docPr id="321" name="Frame3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5890" cy="175260"/>
                      <wp:effectExtent l="0" t="0" r="0" b="0"/>
                      <wp:wrapNone/>
                      <wp:docPr id="323" name="Frame32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36245" cy="175260"/>
                      <wp:effectExtent l="0" t="0" r="0" b="0"/>
                      <wp:wrapNone/>
                      <wp:docPr id="324" name="Frame324"/>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51765" cy="175260"/>
                      <wp:effectExtent l="0" t="0" r="0" b="0"/>
                      <wp:wrapNone/>
                      <wp:docPr id="326" name="Frame32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86410" cy="175260"/>
                      <wp:effectExtent l="0" t="0" r="0" b="0"/>
                      <wp:wrapNone/>
                      <wp:docPr id="327" name="Frame32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51765" cy="175260"/>
                      <wp:effectExtent l="0" t="0" r="0" b="0"/>
                      <wp:wrapNone/>
                      <wp:docPr id="329" name="Frame32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86410" cy="175260"/>
                      <wp:effectExtent l="0" t="0" r="0" b="0"/>
                      <wp:wrapNone/>
                      <wp:docPr id="330" name="Frame33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8125" cy="175260"/>
                      <wp:effectExtent l="0" t="0" r="0" b="0"/>
                      <wp:wrapNone/>
                      <wp:docPr id="332" name="Frame33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91160" cy="175260"/>
                      <wp:effectExtent l="0" t="0" r="0" b="0"/>
                      <wp:wrapNone/>
                      <wp:docPr id="333" name="Frame33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1285" cy="175260"/>
                      <wp:effectExtent l="0" t="0" r="0" b="0"/>
                      <wp:wrapNone/>
                      <wp:docPr id="334" name="Frame33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326" w:type="dxa"/>
            <w:tcBorders/>
            <w:vAlign w:val="center"/>
          </w:tcPr>
          <w:p>
            <w:pPr>
              <w:pStyle w:val="TableContents"/>
              <w:bidi w:val="0"/>
              <w:spacing w:before="0" w:after="0"/>
              <w:ind w:left="0" w:right="0" w:hanging="0"/>
              <w:jc w:val="center"/>
              <w:rPr/>
            </w:pPr>
            <w:r>
              <w:rPr/>
              <w:t>    </w:t>
            </w:r>
          </w:p>
        </w:tc>
        <w:tc>
          <w:tcPr>
            <w:tcW w:w="23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3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1 - 3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3 - 5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093" w:type="dxa"/>
            <w:gridSpan w:val="14"/>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34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Debt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9,485</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47,694</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payments on debt outstanding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16,887</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3,393</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7,050</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6,444</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13,197</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contractual cash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92,398</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12,875</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23,851</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55,669</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shd w:fill="FFFFFF" w:val="clear"/>
              </w:rPr>
              <w:t xml:space="preserve">Debt includes $49.7 million outstanding on our Term Loan A (“TLA”), net of issuance costs, </w:t>
            </w:r>
            <w:r>
              <w:rPr>
                <w:rFonts w:ascii="Times New Roman;Times;serif" w:hAnsi="Times New Roman;Times;serif"/>
                <w:b w:val="false"/>
                <w:i w:val="false"/>
                <w:caps w:val="false"/>
                <w:smallCaps w:val="false"/>
                <w:sz w:val="18"/>
              </w:rPr>
              <w:t>$10.0 million outstanding on Revolving Credit Facility</w:t>
            </w:r>
            <w:r>
              <w:rPr>
                <w:rFonts w:ascii="Times New Roman;Times;serif" w:hAnsi="Times New Roman;Times;serif"/>
                <w:b w:val="false"/>
                <w:i w:val="false"/>
                <w:caps w:val="false"/>
                <w:smallCaps w:val="false"/>
                <w:sz w:val="18"/>
                <w:shd w:fill="FFFFFF" w:val="clear"/>
              </w:rPr>
              <w:t xml:space="preserve">, and no borrowed amounts outstanding on our Delayed Draw Term Loan as of July 4, 2025. </w:t>
            </w:r>
            <w:r>
              <w:rPr>
                <w:rFonts w:ascii="Times New Roman;Times;serif" w:hAnsi="Times New Roman;Times;serif"/>
                <w:b w:val="false"/>
                <w:i w:val="false"/>
                <w:caps w:val="false"/>
                <w:smallCaps w:val="false"/>
                <w:sz w:val="18"/>
              </w:rPr>
              <w:t>We have assumed no future borrowings or repayments after July 4, 2025 (other than at maturity) for purposes of this table. Our TLA and Revolving Credit Facility are scheduled to mature on May 5, 2030.</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Borrowings under our TLA and Revolving Credit Facility bear interest at a variable rate. Future interest payments on our Credit Facility are estimated using floating rates in effect as of July 4, 2025.</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contingent obligations to make earnout payments in connection with our acquisitions of Enica and APG, subject to their future financial performance. We are obligated to pay up to $6.0 million in cash if Enica exceeds certain financial targets during the two years after the Enica closing date of October 23, 2024, and are obligated to pay up to $18.0 million in cash if APG exceeds certain financial targets during the three years after the APG closing date of March 3, 2025. As of July 4, 2025, we had contingent consideration payable of $17.5 million related to the acquisitions of Enica and APG. For fiscal year 2024, our statement of operations includes $1.4 million of interest accretion (excluding fair value adjustments) related to the contingent consideration.</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Outstanding Indebtedness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Part I, Item 1, Note 6, “</w:t>
      </w:r>
      <w:r>
        <w:rPr>
          <w:rFonts w:ascii="Times New Roman;Times;serif" w:hAnsi="Times New Roman;Times;serif"/>
          <w:i/>
          <w:sz w:val="20"/>
        </w:rPr>
        <w:t>Debt Obligations</w:t>
      </w:r>
      <w:r>
        <w:rPr>
          <w:rFonts w:ascii="Times New Roman;Times;serif" w:hAnsi="Times New Roman;Times;serif"/>
          <w:sz w:val="20"/>
        </w:rPr>
        <w:t>”, of the Notes to Condensed Consolidated Financial Statements included in this Quarterly Report on Form 10-Q, and Part II, Item 8, Note 5, “</w:t>
      </w:r>
      <w:r>
        <w:rPr>
          <w:rFonts w:ascii="Times New Roman;Times;serif" w:hAnsi="Times New Roman;Times;serif"/>
          <w:i/>
          <w:sz w:val="20"/>
        </w:rPr>
        <w:t>Debt Obligations</w:t>
      </w:r>
      <w:r>
        <w:rPr>
          <w:rFonts w:ascii="Times New Roman;Times;serif" w:hAnsi="Times New Roman;Times;serif"/>
          <w:sz w:val="20"/>
        </w:rPr>
        <w:t>”, of the Notes to Consolidated Financial Statements included in our Annual Report on Form 10-K for the fiscal year ended December 27, 2024, for information regarding our indebtedness, including information about new borrowings and repayments, principal repayment terms, interest rates, covenants, and other key terms of our outstanding indebtedness. Subsequent to July 4, 2025, the Company repaid $10.0 million of borrowings under its Revolving Credit Facility, which increased the future borrowing capacity under the Revolving Credit Facility to its full $100.0 million and thus reflecting no borrowed amounts under the Revolving Credit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Interest Rate Swap</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enter into interest rate swap agreements to moderate our exposure to fluctuations in interest rates underlying our variable rate debt. For more information, see Part I, Item 3, “</w:t>
      </w:r>
      <w:r>
        <w:rPr>
          <w:rFonts w:ascii="Times New Roman;Times;serif" w:hAnsi="Times New Roman;Times;serif"/>
          <w:i/>
          <w:sz w:val="20"/>
        </w:rPr>
        <w:t>Quantitative and Qualitative Disclosures About Market Risk</w:t>
      </w:r>
      <w:r>
        <w:rPr>
          <w:rFonts w:ascii="Times New Roman;Times;serif" w:hAnsi="Times New Roman;Times;serif"/>
          <w:sz w:val="20"/>
        </w:rPr>
        <w:t>”, and Note 5, “</w:t>
      </w:r>
      <w:r>
        <w:rPr>
          <w:rFonts w:ascii="Times New Roman;Times;serif" w:hAnsi="Times New Roman;Times;serif"/>
          <w:i/>
          <w:sz w:val="20"/>
        </w:rPr>
        <w:t>Derivative Financial Instruments</w:t>
      </w:r>
      <w:r>
        <w:rPr>
          <w:rFonts w:ascii="Times New Roman;Times;serif" w:hAnsi="Times New Roman;Times;serif"/>
          <w:sz w:val="20"/>
        </w:rPr>
        <w:t>”, to the Notes to Condensed Consolidated Financial Statements included in this Quarterly Report on Form 10-Q.</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of Inflation</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Due to the average duration of our projects and our ability to negotiate prices as contracts end and new contracts begin, historically, our operations have not been materially impacted by inflation.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not 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Certain Federal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Federal policies related to tariffs and renewable energy incentives have been subject to frequent and significant changes from executive orders issued by the new federal administration. While we have not experienced a material impact to our operating results or our outlook for future business, there can be no assurance that these measures will not impact our ability to procure cost-effective pricing of materials used in our projects at various building sites, or result in a reduction in demand for our services as a result of inflation, lead times, or other impacts that may derive from changes in the current administration’s executive orders.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Revenue and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July 4, 2025, 19% of our contracts are time-and-materials contracts, 36% are unit-based contracts, and 45% are fixed price contracts, compared to 19% are time-and-materials contracts, 39% are unit-based contracts, and 42% are fixed price contracts, as of June 28, 2024.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come up for renewal periodically and at the time of renewal may be subject to renegotiation, which could impact the profitability of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Southern California Edison, may have a material effect on our consolidated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Direct Costs of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companies may classify as direct costs of contract revenue some of the costs that we classify as general and administrative costs. We expense direct costs of contract revenue when incurred.</w:t>
      </w:r>
    </w:p>
    <w:p>
      <w:pPr>
        <w:pStyle w:val="TextBody"/>
        <w:bidi w:val="0"/>
        <w:spacing w:before="0" w:after="1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prepared the accompanying unaudited Condensed Consolidated Financial Statements in accordance with generally accepted accounting principles in the U.S. (“GAAP”). To prepare these financial statements in conformity with GAAP, we must make estimates and assumptions that affect the reported amounts of assets and liabilities 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date of the financial statements and the reported amount of revenue and expenses in the reporting period. Our actual results may differ from these estimates. We have adopted accounting policies and practices that are generally accepted in the industry in which we operate.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in our critical accounting policies and estimates from those disclosed in our Annual Report on Form 10-K for our fiscal year ended December 27, 2024. Please refer to Part II, Item 7 of our Annual Report on Form 10-K for the fiscal year ended December 27, 2024 for a discussion of our critical accounting policies and estimates.</w:t>
      </w:r>
    </w:p>
    <w:p>
      <w:pPr>
        <w:pStyle w:val="TextBody"/>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Recent Accounting Standards</w:t>
      </w:r>
    </w:p>
    <w:p>
      <w:pPr>
        <w:pStyle w:val="TextBody"/>
        <w:pBdr/>
        <w:bidi w:val="0"/>
        <w:spacing w:before="1" w:after="0"/>
        <w:ind w:left="720" w:right="0" w:hanging="202"/>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 description of recently issued and adopted accounting pronouncements, including adoption dates and expected effects on our results of operations and financial condition, see Part I, Item 1, Note 2, “</w:t>
      </w:r>
      <w:r>
        <w:rPr>
          <w:rFonts w:ascii="Times New Roman;Times;serif" w:hAnsi="Times New Roman;Times;serif"/>
          <w:i/>
          <w:sz w:val="20"/>
        </w:rPr>
        <w:t>Recent Accounting Pronouncements</w:t>
      </w:r>
      <w:r>
        <w:rPr>
          <w:rFonts w:ascii="Times New Roman;Times;serif" w:hAnsi="Times New Roman;Times;serif"/>
          <w:sz w:val="20"/>
        </w:rPr>
        <w:t>”, of the Notes to Condensed Consolidated Financial Statements included in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42" w:name="ITEM7AQUANTITATIVEANDQUALITATIVE_562372"/>
      <w:bookmarkStart w:id="1643" w:name="_2a7e5da0_e327_4324_ab49_c8439a991a80"/>
      <w:bookmarkEnd w:id="1642"/>
      <w:bookmarkEnd w:id="1643"/>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July 4, 2025, we had cash and cash equivalents of $32.3 million. This amount represents cash on hand in business checking accounts with our banks. We do not engage in trading activities and do not participate in foreign currency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interest rate risk in connection with our Term Loan A (“TLA”) and borrowings, if any, under our Revolving Credit Facility, each of which bears interest at variable rates. As of July 4, 2025, the Company had a fully drawn $50.0 million TLA, a $100.0 million Revolving Credit Facility with $10.0 million outstanding, and $1.6 million in letters of credit issued, and a $50.0 million Delayed Draw Term Loan with no borrowed amounts. Each of our TLA, Revolving Credit Facility and Delayed Draw Term Loan mature on May 5, 2030 and are governed by our Credit Agreement.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upon the amount of our outstanding indebtedness as of July 4, 2025, a one percentage point increase in the effective interest rate would change our annual interest expense by approximately $0.6 million in fiscal year 2025.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Subsequent to July 4, 2025, we repaid $10.0 million of borrowings under our Revolving Credit Facility, which increased the future borrowing capacity under the Revolving Credit Facility to its full $100.0 million and thus reflecting no borrowed amounts under the Revolving Credit Facility.</w:t>
      </w:r>
    </w:p>
    <w:p>
      <w:pPr>
        <w:pStyle w:val="TextBody"/>
        <w:bidi w:val="0"/>
        <w:spacing w:before="100" w:after="10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644" w:name="Item4ControlsandProcedures_72182"/>
      <w:bookmarkStart w:id="1645" w:name="_9b81b797_b3a8_47d8_aac5_0c8ab7cbf912"/>
      <w:bookmarkEnd w:id="1644"/>
      <w:bookmarkEnd w:id="1645"/>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Securities Exchange Act of 1934, as amended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including our</w:t>
      </w:r>
      <w:r>
        <w:rPr>
          <w:rFonts w:ascii="Times New Roman;Times;serif" w:hAnsi="Times New Roman;Times;serif"/>
          <w:sz w:val="20"/>
          <w:shd w:fill="FFFFFF" w:val="clear"/>
        </w:rPr>
        <w:t xml:space="preserve"> including our President and Chief Executive Officer, Michael A. Bieber, and our Chief Financial Officer and Executive Vice President</w:t>
      </w:r>
      <w:r>
        <w:rPr>
          <w:rFonts w:ascii="Times New Roman;Times;serif" w:hAnsi="Times New Roman;Times;serif"/>
          <w:sz w:val="20"/>
        </w:rPr>
        <w:t>, Creighton K. Early,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this Quarterly Report, an evaluation was performed under the supervision and with the participation of our management, including our principal executive officer and principal financial officer, of the effectiveness of our disclosure controls and procedures as of July 4, 2025. Based on that evaluation, our principal executive officer and principal financial officer concluded that our disclosure controls and procedures were effective, at a reasonable assurance level, as of July 4, 2025. </w:t>
      </w:r>
    </w:p>
    <w:p>
      <w:pPr>
        <w:pStyle w:val="TextBody"/>
        <w:bidi w:val="0"/>
        <w:spacing w:before="0" w:after="0"/>
        <w:ind w:left="0" w:right="0" w:firstLine="720"/>
        <w:jc w:val="left"/>
        <w:rPr/>
      </w:pPr>
      <w:r>
        <w:rPr/>
        <w: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On October 23, 2024, January 31, 2025, and March 3, 2025, we completed the acquisition of </w:t>
      </w:r>
      <w:r>
        <w:rPr>
          <w:rFonts w:ascii="Times New Roman;Times;serif" w:hAnsi="Times New Roman;Times;serif"/>
          <w:color w:val="212529"/>
          <w:sz w:val="20"/>
        </w:rPr>
        <w:t>Enica, Alpha, and APG, respectively.</w:t>
      </w:r>
      <w:r>
        <w:rPr>
          <w:rFonts w:ascii="Times New Roman;Times;serif" w:hAnsi="Times New Roman;Times;serif"/>
          <w:sz w:val="20"/>
        </w:rPr>
        <w:t> Prior to the acquisition, Enica, Alpha, and APG were privately-held companies and were not subject to the Sarbanes-Oxley Act of 2002, the rules and regulations of the SEC, or other corporate governance requirements applicable to public reporting companies. As part of our ongoing integration activities, we are continuing to incorporate our controls and procedures into Enica, Alpha, and APG, and, if needed, to augment our company-wide controls to reflect the risks that may be inherent in the acquisition of these privately-held companies.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than our integration of Enica, Alpha, and APG, there have been no changes in our internal control over financial reporting during the quarter ended July 4, 2025, that have materially affected, or are reasonably likely to materially affect, our internal control over financial reporting.</w:t>
      </w:r>
    </w:p>
    <w:p>
      <w:pPr>
        <w:pStyle w:val="TextBody"/>
        <w:bidi w:val="0"/>
        <w:spacing w:before="0" w:after="18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46" w:name="PARTIIOTHERINFORMATION_167293"/>
      <w:bookmarkStart w:id="1647" w:name="_c36e6a15_8413_4c31_89c3_41217204d8f6"/>
      <w:bookmarkEnd w:id="1646"/>
      <w:bookmarkEnd w:id="1647"/>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648" w:name="ITEM3LEGALPROCEEDINGS_429119"/>
      <w:bookmarkEnd w:id="1648"/>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49" w:name="_100d7218_a79e_4606_a956_b0de5015e821"/>
      <w:bookmarkStart w:id="1650" w:name="ITEM1ARiskFactors"/>
      <w:bookmarkEnd w:id="1649"/>
      <w:bookmarkEnd w:id="1650"/>
      <w:r>
        <w:rPr>
          <w:rFonts w:ascii="Times New Roman;Times;serif" w:hAnsi="Times New Roman;Times;serif"/>
          <w:b/>
          <w:sz w:val="20"/>
        </w:rPr>
        <w:t xml:space="preserve">ITEM 1A. Risk Factors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no material changes to the risk factors set forth in Part I, Item 1A, </w:t>
      </w:r>
      <w:r>
        <w:rPr>
          <w:rFonts w:ascii="Times New Roman;Times;serif" w:hAnsi="Times New Roman;Times;serif"/>
          <w:i/>
          <w:sz w:val="20"/>
        </w:rPr>
        <w:t>Risk Factors</w:t>
      </w:r>
      <w:r>
        <w:rPr>
          <w:rFonts w:ascii="Times New Roman;Times;serif" w:hAnsi="Times New Roman;Times;serif"/>
          <w:sz w:val="20"/>
        </w:rPr>
        <w:t xml:space="preserve"> in our Annual Report on Form 10-K for the year ended December 27, 2024.</w:t>
      </w:r>
    </w:p>
    <w:p>
      <w:pPr>
        <w:pStyle w:val="TextBody"/>
        <w:bidi w:val="0"/>
        <w:spacing w:before="0" w:after="240"/>
        <w:ind w:left="0" w:right="0" w:hanging="0"/>
        <w:jc w:val="left"/>
        <w:rPr>
          <w:rFonts w:ascii="Times New Roman;Times;serif" w:hAnsi="Times New Roman;Times;serif"/>
          <w:b/>
          <w:sz w:val="20"/>
        </w:rPr>
      </w:pPr>
      <w:bookmarkStart w:id="1651" w:name="Item_2"/>
      <w:bookmarkStart w:id="1652" w:name="_39d74739_cc39_4f13_acc4_d2fbe9c33d15"/>
      <w:bookmarkEnd w:id="1651"/>
      <w:bookmarkEnd w:id="1652"/>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fiscal quarter ended July 4, 2025, we made the following repurchases of shares of our common stock from employees to satisfy tax withholding obligations incurred in connection with the vesting of restricted stock: </w:t>
      </w:r>
    </w:p>
    <w:tbl>
      <w:tblPr>
        <w:tblW w:w="10205" w:type="dxa"/>
        <w:jc w:val="left"/>
        <w:tblInd w:w="0" w:type="dxa"/>
        <w:tblLayout w:type="fixed"/>
        <w:tblCellMar>
          <w:top w:w="0" w:type="dxa"/>
          <w:left w:w="0" w:type="dxa"/>
          <w:bottom w:w="0" w:type="dxa"/>
          <w:right w:w="0" w:type="dxa"/>
        </w:tblCellMar>
      </w:tblPr>
      <w:tblGrid>
        <w:gridCol w:w="1692"/>
        <w:gridCol w:w="1313"/>
        <w:gridCol w:w="1117"/>
        <w:gridCol w:w="4333"/>
        <w:gridCol w:w="1750"/>
      </w:tblGrid>
      <w:tr>
        <w:trPr/>
        <w:tc>
          <w:tcPr>
            <w:tcW w:w="1692" w:type="dxa"/>
            <w:tcBorders/>
            <w:vAlign w:val="center"/>
          </w:tcPr>
          <w:p>
            <w:pPr>
              <w:pStyle w:val="TableContents"/>
              <w:bidi w:val="0"/>
              <w:spacing w:before="0" w:after="283"/>
              <w:ind w:left="0" w:right="0" w:hanging="0"/>
              <w:jc w:val="left"/>
              <w:rPr>
                <w:sz w:val="4"/>
                <w:szCs w:val="4"/>
              </w:rPr>
            </w:pPr>
            <w:r>
              <w:rPr>
                <w:sz w:val="4"/>
                <w:szCs w:val="4"/>
              </w:rPr>
            </w:r>
          </w:p>
        </w:tc>
        <w:tc>
          <w:tcPr>
            <w:tcW w:w="1313" w:type="dxa"/>
            <w:tcBorders/>
            <w:vAlign w:val="center"/>
          </w:tcPr>
          <w:p>
            <w:pPr>
              <w:pStyle w:val="TableContents"/>
              <w:bidi w:val="0"/>
              <w:spacing w:before="0" w:after="283"/>
              <w:ind w:left="0" w:right="0" w:hanging="0"/>
              <w:jc w:val="left"/>
              <w:rPr>
                <w:sz w:val="4"/>
                <w:szCs w:val="4"/>
              </w:rPr>
            </w:pPr>
            <w:r>
              <w:rPr>
                <w:sz w:val="4"/>
                <w:szCs w:val="4"/>
              </w:rPr>
            </w:r>
          </w:p>
        </w:tc>
        <w:tc>
          <w:tcPr>
            <w:tcW w:w="1117" w:type="dxa"/>
            <w:tcBorders/>
            <w:vAlign w:val="center"/>
          </w:tcPr>
          <w:p>
            <w:pPr>
              <w:pStyle w:val="TableContents"/>
              <w:bidi w:val="0"/>
              <w:spacing w:before="0" w:after="0"/>
              <w:ind w:left="0" w:right="0" w:hanging="0"/>
              <w:jc w:val="left"/>
              <w:rPr/>
            </w:pPr>
            <w:r>
              <w:rPr/>
              <w:t>​</w:t>
            </w:r>
          </w:p>
        </w:tc>
        <w:tc>
          <w:tcPr>
            <w:tcW w:w="4333" w:type="dxa"/>
            <w:tcBorders/>
            <w:vAlign w:val="center"/>
          </w:tcPr>
          <w:p>
            <w:pPr>
              <w:pStyle w:val="TableContents"/>
              <w:bidi w:val="0"/>
              <w:spacing w:before="0" w:after="0"/>
              <w:ind w:left="0" w:right="0" w:hanging="0"/>
              <w:jc w:val="left"/>
              <w:rPr/>
            </w:pPr>
            <w:r>
              <w:rPr/>
              <w:t>​</w:t>
            </w:r>
          </w:p>
        </w:tc>
        <w:tc>
          <w:tcPr>
            <w:tcW w:w="1750" w:type="dxa"/>
            <w:tcBorders/>
            <w:vAlign w:val="center"/>
          </w:tcPr>
          <w:p>
            <w:pPr>
              <w:pStyle w:val="TableContents"/>
              <w:bidi w:val="0"/>
              <w:spacing w:before="0" w:after="283"/>
              <w:ind w:left="0" w:right="0" w:hanging="0"/>
              <w:jc w:val="left"/>
              <w:rPr>
                <w:sz w:val="4"/>
                <w:szCs w:val="4"/>
              </w:rPr>
            </w:pPr>
            <w:r>
              <w:rPr>
                <w:sz w:val="4"/>
                <w:szCs w:val="4"/>
              </w:rPr>
            </w:r>
          </w:p>
        </w:tc>
      </w:tr>
      <w:tr>
        <w:trPr/>
        <w:tc>
          <w:tcPr>
            <w:tcW w:w="16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3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Number of </w:t>
              <w:br/>
              <w:t>Shares Purchased</w:t>
            </w:r>
          </w:p>
        </w:tc>
        <w:tc>
          <w:tcPr>
            <w:tcW w:w="11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Average Price </w:t>
              <w:br/>
              <w:t>Paid Per Share</w:t>
            </w:r>
          </w:p>
        </w:tc>
        <w:tc>
          <w:tcPr>
            <w:tcW w:w="43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Maximum Number </w:t>
              <w:br/>
              <w:t>(or Approximate Dollar</w:t>
              <w:br/>
              <w:t xml:space="preserve">Value) of Shares That </w:t>
              <w:br/>
              <w:t>May Yet be Purchased</w:t>
              <w:br/>
              <w:t xml:space="preserve">Under the Plans or </w:t>
              <w:br/>
              <w:t>Programs</w:t>
            </w:r>
          </w:p>
        </w:tc>
      </w:tr>
      <w:tr>
        <w:trPr/>
        <w:tc>
          <w:tcPr>
            <w:tcW w:w="169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5, 2025 – May 2, 2025</w:t>
            </w:r>
          </w:p>
        </w:tc>
        <w:tc>
          <w:tcPr>
            <w:tcW w:w="1313"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11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4333"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750"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16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 2025 – May 30, 2025</w:t>
            </w:r>
          </w:p>
        </w:tc>
        <w:tc>
          <w:tcPr>
            <w:tcW w:w="131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11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433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75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169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31, 2025 – July 4, 2025</w:t>
            </w:r>
          </w:p>
        </w:tc>
        <w:tc>
          <w:tcPr>
            <w:tcW w:w="1313"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3,817</w:t>
            </w:r>
          </w:p>
        </w:tc>
        <w:tc>
          <w:tcPr>
            <w:tcW w:w="1117"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$56.39</w:t>
            </w:r>
          </w:p>
        </w:tc>
        <w:tc>
          <w:tcPr>
            <w:tcW w:w="4333"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5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16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3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3,817</w:t>
            </w:r>
          </w:p>
        </w:tc>
        <w:tc>
          <w:tcPr>
            <w:tcW w:w="11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$56.39</w:t>
            </w:r>
          </w:p>
        </w:tc>
        <w:tc>
          <w:tcPr>
            <w:tcW w:w="43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53" w:name="ITEM3_Defaults"/>
      <w:bookmarkStart w:id="1654" w:name="_d24599d0_f21a_47a9_b35b_051587768a23"/>
      <w:bookmarkEnd w:id="1653"/>
      <w:bookmarkEnd w:id="1654"/>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655" w:name="ITEM4_MineSafety"/>
      <w:bookmarkStart w:id="1656" w:name="_88f45a3a_be59_4529_8ccb_0f0b51eadaaf"/>
      <w:bookmarkEnd w:id="1655"/>
      <w:bookmarkEnd w:id="1656"/>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657" w:name="ITEM5_OtherInfo"/>
      <w:bookmarkStart w:id="1658" w:name="_48457056_01c0_4f25_a026_eb689684704c"/>
      <w:bookmarkEnd w:id="1657"/>
      <w:bookmarkEnd w:id="1658"/>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Rule</w:t>
      </w:r>
      <w:r>
        <w:rPr>
          <w:rFonts w:ascii="Times New Roman;Times;serif" w:hAnsi="Times New Roman;Times;serif"/>
          <w:sz w:val="20"/>
        </w:rPr>
        <w:t xml:space="preserve"> </w:t>
      </w:r>
      <w:r>
        <w:rPr>
          <w:rFonts w:ascii="Times New Roman;Times;serif" w:hAnsi="Times New Roman;Times;serif"/>
          <w:i/>
          <w:sz w:val="20"/>
        </w:rPr>
        <w:t>10b5-1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659" w:name="ITEM15EXHIBITS_40412"/>
      <w:bookmarkStart w:id="1660" w:name="_05e018b9_af8f_4f20_afd5_f759924efcb5"/>
      <w:bookmarkEnd w:id="1659"/>
      <w:bookmarkEnd w:id="1660"/>
      <w:r>
        <w:rPr>
          <w:rFonts w:ascii="Times New Roman;Times;serif" w:hAnsi="Times New Roman;Times;serif"/>
          <w:b/>
          <w:sz w:val="20"/>
        </w:rPr>
        <w:t>ITEM 6. Exhibits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753"/>
        <w:gridCol w:w="109"/>
        <w:gridCol w:w="9343"/>
      </w:tblGrid>
      <w:tr>
        <w:trPr/>
        <w:tc>
          <w:tcPr>
            <w:tcW w:w="7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38760" cy="29210"/>
                      <wp:effectExtent l="0" t="0" r="0" b="0"/>
                      <wp:wrapNone/>
                      <wp:docPr id="335" name="Frame335"/>
                      <a:graphic xmlns:a="http://schemas.openxmlformats.org/drawingml/2006/main">
                        <a:graphicData uri="http://schemas.microsoft.com/office/word/2010/wordprocessingShape">
                          <wps:wsp>
                            <wps:cNvSpPr txBox="1"/>
                            <wps:spPr>
                              <a:xfrm>
                                <a:off x="0" y="0"/>
                                <a:ext cx="238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966085" cy="29210"/>
                      <wp:effectExtent l="0" t="0" r="0" b="0"/>
                      <wp:wrapNone/>
                      <wp:docPr id="336" name="Frame336"/>
                      <a:graphic xmlns:a="http://schemas.openxmlformats.org/drawingml/2006/main">
                        <a:graphicData uri="http://schemas.microsoft.com/office/word/2010/wordprocessingShape">
                          <wps:wsp>
                            <wps:cNvSpPr txBox="1"/>
                            <wps:spPr>
                              <a:xfrm>
                                <a:off x="0" y="0"/>
                                <a:ext cx="2966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3" w:type="dxa"/>
            <w:tcBorders>
              <w:bottom w:val="single" w:sz="2" w:space="0" w:color="000000"/>
            </w:tcBorders>
            <w:tcMar>
              <w:bottom w:w="28" w:type="dxa"/>
            </w:tcMar>
            <w:vAlign w:val="center"/>
          </w:tcPr>
          <w:p>
            <w:pPr>
              <w:pStyle w:val="TableHeading"/>
              <w:bidi w:val="0"/>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0" w:after="0"/>
              <w:ind w:left="0" w:right="0" w:hanging="0"/>
              <w:jc w:val="center"/>
              <w:rPr/>
            </w:pPr>
            <w:r>
              <w:rPr/>
              <w:t>​</w:t>
            </w:r>
          </w:p>
        </w:tc>
        <w:tc>
          <w:tcPr>
            <w:tcW w:w="9343" w:type="dxa"/>
            <w:tcBorders>
              <w:bottom w:val="single" w:sz="2" w:space="0" w:color="000000"/>
            </w:tcBorders>
            <w:tcMar>
              <w:bottom w:w="28" w:type="dxa"/>
            </w:tcMar>
            <w:vAlign w:val="center"/>
          </w:tcPr>
          <w:p>
            <w:pPr>
              <w:pStyle w:val="TableHeading"/>
              <w:bidi w:val="0"/>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53" w:type="dxa"/>
            <w:tcBorders/>
            <w:vAlign w:val="center"/>
          </w:tcPr>
          <w:p>
            <w:pPr>
              <w:pStyle w:val="TableContents"/>
              <w:bidi w:val="0"/>
              <w:spacing w:lineRule="auto" w:line="240" w:before="40" w:after="40"/>
              <w:ind w:left="0" w:right="0" w:hanging="0"/>
              <w:jc w:val="right"/>
              <w:rPr>
                <w:rFonts w:ascii="Times New Roman;Times;serif" w:hAnsi="Times New Roman;Times;serif"/>
                <w:sz w:val="18"/>
              </w:rPr>
            </w:pPr>
            <w:r>
              <w:rPr>
                <w:rFonts w:ascii="Times New Roman;Times;serif" w:hAnsi="Times New Roman;Times;serif"/>
                <w:sz w:val="19"/>
              </w:rPr>
              <w:t>2.1</w:t>
            </w:r>
            <w:r>
              <w:rPr>
                <w:rFonts w:ascii="Times New Roman;Times;serif" w:hAnsi="Times New Roman;Times;serif"/>
                <w:sz w:val="18"/>
              </w:rPr>
              <w:t>‡</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pPr>
            <w:hyperlink r:id="rId2">
              <w:r>
                <w:rPr>
                  <w:rStyle w:val="InternetLink"/>
                  <w:rFonts w:ascii="Times New Roman;Times;serif" w:hAnsi="Times New Roman;Times;serif"/>
                  <w:b w:val="false"/>
                  <w:i w:val="false"/>
                  <w:caps w:val="false"/>
                  <w:smallCaps w:val="false"/>
                  <w:sz w:val="20"/>
                </w:rPr>
                <w:t>Stock Purchase Agreement, dated as of March 3, 2025, by and among Willdan Group, Inc., Willdan Energy Solutions, Inc. and each of the stockholders of APG. (incorporated by reference to Exhibit 2.1 to Willdan Group, Inc.’s Quarterly Report on Form 10-Q, filed with the SEC on May 9, 2025).</w:t>
              </w:r>
            </w:hyperlink>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3.1</w:t>
            </w:r>
          </w:p>
        </w:tc>
        <w:tc>
          <w:tcPr>
            <w:tcW w:w="109" w:type="dxa"/>
            <w:tcBorders/>
            <w:vAlign w:val="center"/>
          </w:tcPr>
          <w:p>
            <w:pPr>
              <w:pStyle w:val="TableContents"/>
              <w:bidi w:val="0"/>
              <w:spacing w:lineRule="auto" w:line="304" w:before="0" w:after="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pPr>
            <w:hyperlink r:id="rId3">
              <w:r>
                <w:rPr>
                  <w:rStyle w:val="InternetLink"/>
                  <w:rFonts w:ascii="Times New Roman;Times;serif" w:hAnsi="Times New Roman;Times;serif"/>
                  <w:b w:val="false"/>
                  <w:i w:val="false"/>
                  <w:caps w:val="false"/>
                  <w:smallCaps w:val="false"/>
                  <w:sz w:val="18"/>
                </w:rPr>
                <w:t>First Amended and Restated Certificate of Incorporation of Willdan Group, Inc. (incorporated by reference to Willdan Group, Inc.’s Registration Statement on Form S-1, filed with the SEC on August 9, 2006, as amended (File No. 333-136444))</w:t>
              </w:r>
            </w:hyperlink>
            <w:r>
              <w:rPr>
                <w:rFonts w:ascii="Times New Roman;Times;serif" w:hAnsi="Times New Roman;Times;serif"/>
                <w:sz w:val="19"/>
              </w:rPr>
              <w: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3.2</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pPr>
            <w:hyperlink r:id="rId4">
              <w:r>
                <w:rPr>
                  <w:rStyle w:val="InternetLink"/>
                  <w:rFonts w:ascii="Times New Roman;Times;serif" w:hAnsi="Times New Roman;Times;serif"/>
                  <w:b w:val="false"/>
                  <w:i w:val="false"/>
                  <w:caps w:val="false"/>
                  <w:smallCaps w:val="false"/>
                  <w:sz w:val="18"/>
                </w:rPr>
                <w:t>Second Amended and Restated Bylaws of Willdan Group, Inc. (incorporated by reference to Exhibit 3.1 to Willdan Group, Inc.’s Current Report on Form 8-K, filed with the SEC on July 12, 2023).</w:t>
              </w:r>
            </w:hyperlink>
            <w:r>
              <w:rPr>
                <w:rFonts w:ascii="Times New Roman;Times;serif" w:hAnsi="Times New Roman;Times;serif"/>
                <w:sz w:val="18"/>
              </w:rPr>
              <w:t xml:space="preserve"> </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4.1</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pPr>
            <w:hyperlink r:id="rId5">
              <w:r>
                <w:rPr>
                  <w:rStyle w:val="InternetLink"/>
                  <w:rFonts w:ascii="Times New Roman;Times;serif" w:hAnsi="Times New Roman;Times;serif"/>
                  <w:b w:val="false"/>
                  <w:i w:val="false"/>
                  <w:caps w:val="false"/>
                  <w:smallCaps w:val="false"/>
                  <w:sz w:val="18"/>
                </w:rPr>
                <w:t>Specimen Stock Certificate for shares of the Registrant’s Common Stock (incorporated by reference to Willdan Group, Inc.’s Registration Statement on Form S-1, filed with the SEC on August 9, 2006, as amended (File No. 333-136444))</w:t>
              </w:r>
            </w:hyperlink>
            <w:r>
              <w:rPr>
                <w:rFonts w:ascii="Times New Roman;Times;serif" w:hAnsi="Times New Roman;Times;serif"/>
                <w:sz w:val="19"/>
              </w:rPr>
              <w: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4.2</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rFonts w:ascii="Times New Roman;Times;serif" w:hAnsi="Times New Roman;Times;serif"/>
                <w:sz w:val="19"/>
              </w:rPr>
            </w:pPr>
            <w:r>
              <w:rPr>
                <w:rFonts w:ascii="Times New Roman;Times;serif" w:hAnsi="Times New Roman;Times;serif"/>
                <w:sz w:val="19"/>
              </w:rPr>
              <w:t>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shd w:fill="FFFFFF" w:val="clear"/>
              </w:rPr>
            </w:pPr>
            <w:r>
              <w:rPr>
                <w:rFonts w:ascii="Times New Roman;Times;serif" w:hAnsi="Times New Roman;Times;serif"/>
                <w:sz w:val="19"/>
                <w:shd w:fill="FFFFFF" w:val="clear"/>
              </w:rPr>
              <w:t>10.1</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Credit Agreement, dated as of May 5, 2025, by and among Willdan Group, Inc., as Borrower, the Guarantors (as defined therein), the Lenders (as defined therein), BMO Bank N.A., as Joint Lead Arranger, Joint Book Runner and Administrative Agent, Bank of America, N.A. as Joint Book Runner and Syndication Agent and J.P. Morgan, N.A., as Joint Lead Arranger, Joint Book Runner and Syndication Agent. (incorporated by reference to Exhibit 10.1 to Willdan Group, Inc.’s Quarterly Report on Form 10-Q, filed with the SEC on May 9, 2025).</w:t>
              </w:r>
            </w:hyperlink>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8"/>
              </w:rPr>
            </w:pPr>
            <w:r>
              <w:rPr>
                <w:rFonts w:ascii="Times New Roman;Times;serif" w:hAnsi="Times New Roman;Times;serif"/>
                <w:sz w:val="19"/>
                <w:shd w:fill="FFFFFF" w:val="clear"/>
              </w:rPr>
              <w:t>10.2</w:t>
            </w:r>
            <w:r>
              <w:rPr>
                <w:rFonts w:ascii="Times New Roman;Times;serif" w:hAnsi="Times New Roman;Times;serif"/>
                <w:sz w:val="18"/>
              </w:rPr>
              <w:t>†</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Willdan Group, Inc. Amended and Restated 2008 Performance Incentive Plan (incorporated by reference to Exhibit 10.1 to Willdan Group, Inc.’s Current Report on Form 8-K, filed with the SEC on June 13, 2025).</w:t>
              </w:r>
            </w:hyperlink>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shd w:fill="FFFFFF" w:val="clear"/>
              </w:rPr>
            </w:pPr>
            <w:r>
              <w:rPr>
                <w:rFonts w:ascii="Times New Roman;Times;serif" w:hAnsi="Times New Roman;Times;serif"/>
                <w:sz w:val="19"/>
                <w:shd w:fill="FFFFFF" w:val="clear"/>
              </w:rPr>
              <w:t>31.1*</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pPr>
            <w:hyperlink w:anchor="wldn-20250704xex31d1.htm">
              <w:r>
                <w:rPr>
                  <w:rStyle w:val="InternetLink"/>
                  <w:rFonts w:ascii="Times New Roman;Times;serif" w:hAnsi="Times New Roman;Times;serif"/>
                  <w:b w:val="false"/>
                  <w:i w:val="false"/>
                  <w:caps w:val="false"/>
                  <w:smallCaps w:val="false"/>
                  <w:sz w:val="20"/>
                  <w:shd w:fill="FFFFFF" w:val="clear"/>
                </w:rPr>
                <w:t>Certification of Chief Executive Officer pursuant to Rule 13a-14(a) or 15d-14(a) under the Securities Exchange Act of 1934, as adopted pursuant to § 302 of the Sarbanes-Oxley Act of 2002.</w:t>
              </w:r>
            </w:hyperlink>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31.2*</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pPr>
            <w:hyperlink w:anchor="wldn-20250704xex31d2.htm">
              <w:r>
                <w:rPr>
                  <w:rStyle w:val="InternetLink"/>
                  <w:rFonts w:ascii="Times New Roman;Times;serif" w:hAnsi="Times New Roman;Times;serif"/>
                  <w:b w:val="false"/>
                  <w:i w:val="false"/>
                  <w:caps w:val="false"/>
                  <w:smallCaps w:val="false"/>
                  <w:sz w:val="18"/>
                </w:rPr>
                <w:t>Certification of Chief Financial Officer pursuant to Rule 13a-14(a) or 15d-14(a) under the Securities Exchange Act of 1934, as adopted pursuant to § 302 of the Sarbanes-Oxley Act of 2002</w:t>
              </w:r>
            </w:hyperlink>
            <w:r>
              <w:rPr>
                <w:rFonts w:ascii="Times New Roman;Times;serif" w:hAnsi="Times New Roman;Times;serif"/>
                <w:sz w:val="19"/>
              </w:rPr>
              <w: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32.1**</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pPr>
            <w:hyperlink w:anchor="wldn-20250704xex32d1.htm">
              <w:r>
                <w:rPr>
                  <w:rStyle w:val="InternetLink"/>
                  <w:rFonts w:ascii="Times New Roman;Times;serif" w:hAnsi="Times New Roman;Times;serif"/>
                  <w:b w:val="false"/>
                  <w:i w:val="false"/>
                  <w:caps w:val="false"/>
                  <w:smallCaps w:val="false"/>
                  <w:sz w:val="18"/>
                </w:rPr>
                <w:t>Certifications of Chief Executive Officer and Chief Financial Officer pursuant to 18 U.S.C. 1350, as adopted pursuant to § 906 of the Sarbanes-Oxley Act of 2002</w:t>
              </w:r>
            </w:hyperlink>
            <w:r>
              <w:rPr>
                <w:rFonts w:ascii="Times New Roman;Times;serif" w:hAnsi="Times New Roman;Times;serif"/>
                <w:sz w:val="19"/>
              </w:rPr>
              <w: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101.INS*</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Instance Document (the instance document does not appear in the Interactive Data File because its XBRL tags are embedded within the Inline XBRL document)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101.SCH*</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Schema Document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101.CAL*</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Calculation Linkbase Document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101.DEF*</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Definition Linkbase Document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101.LAB*</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Label Linkbase Document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101.PRE*</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Presentation Linkbase Document</w:t>
            </w:r>
          </w:p>
        </w:tc>
      </w:tr>
      <w:tr>
        <w:trPr/>
        <w:tc>
          <w:tcPr>
            <w:tcW w:w="753"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9343"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Cover Page Interactive Data File (formatted as inline XBRL and contained in Exhibit 101)</w:t>
            </w:r>
          </w:p>
        </w:tc>
      </w:tr>
    </w:tbl>
    <w:tbl>
      <w:tblPr>
        <w:tblW w:w="1427" w:type="dxa"/>
        <w:jc w:val="left"/>
        <w:tblInd w:w="0" w:type="dxa"/>
        <w:tblLayout w:type="fixed"/>
        <w:tblCellMar>
          <w:top w:w="0" w:type="dxa"/>
          <w:left w:w="0" w:type="dxa"/>
          <w:bottom w:w="0" w:type="dxa"/>
          <w:right w:w="0" w:type="dxa"/>
        </w:tblCellMar>
      </w:tblPr>
      <w:tblGrid>
        <w:gridCol w:w="211"/>
        <w:gridCol w:w="1216"/>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2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Filed herewith.</w:t>
            </w:r>
          </w:p>
        </w:tc>
      </w:tr>
    </w:tbl>
    <w:tbl>
      <w:tblPr>
        <w:tblW w:w="1877" w:type="dxa"/>
        <w:jc w:val="left"/>
        <w:tblInd w:w="0" w:type="dxa"/>
        <w:tblLayout w:type="fixed"/>
        <w:tblCellMar>
          <w:top w:w="0" w:type="dxa"/>
          <w:left w:w="0" w:type="dxa"/>
          <w:bottom w:w="0" w:type="dxa"/>
          <w:right w:w="0" w:type="dxa"/>
        </w:tblCellMar>
      </w:tblPr>
      <w:tblGrid>
        <w:gridCol w:w="301"/>
        <w:gridCol w:w="1576"/>
      </w:tblGrid>
      <w:tr>
        <w:trPr/>
        <w:tc>
          <w:tcPr>
            <w:tcW w:w="3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pPr>
            <w:r>
              <w:rPr/>
              <w:t>‡</w:t>
            </w:r>
          </w:p>
        </w:tc>
        <w:tc>
          <w:tcPr>
            <w:tcW w:w="996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Portions of the referenced exhibit have been omitted pursuant to Item 601(b) of Regulation S-K because it (i) is not material and (ii) is the type of information the Company customarily treats as private or confidential.</w:t>
            </w:r>
          </w:p>
        </w:tc>
      </w:tr>
    </w:tbl>
    <w:tbl>
      <w:tblPr>
        <w:tblW w:w="6542" w:type="dxa"/>
        <w:jc w:val="left"/>
        <w:tblInd w:w="0" w:type="dxa"/>
        <w:tblLayout w:type="fixed"/>
        <w:tblCellMar>
          <w:top w:w="0" w:type="dxa"/>
          <w:left w:w="0" w:type="dxa"/>
          <w:bottom w:w="0" w:type="dxa"/>
          <w:right w:w="0" w:type="dxa"/>
        </w:tblCellMar>
      </w:tblPr>
      <w:tblGrid>
        <w:gridCol w:w="211"/>
        <w:gridCol w:w="6331"/>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633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 xml:space="preserve">All schedules and exhibits were omitted pursuant to Item 601(a)(5) of Regulation S-K.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18"/>
        </w:rPr>
        <w:t>Indicates a management contract or compensating plan or arrangement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661" w:name="SIGNATURES"/>
      <w:bookmarkStart w:id="1662" w:name="_d1f22b43_b0bc_415a_a8a1_1ee339398007"/>
      <w:bookmarkEnd w:id="1661"/>
      <w:bookmarkEnd w:id="1662"/>
      <w:r>
        <w:rPr>
          <w:rFonts w:ascii="Times New Roman;Times;serif" w:hAnsi="Times New Roman;Times;serif"/>
          <w:b/>
          <w:sz w:val="20"/>
        </w:rPr>
        <w:t>SIGNATURES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399" w:type="dxa"/>
        <w:jc w:val="left"/>
        <w:tblInd w:w="0" w:type="dxa"/>
        <w:tblLayout w:type="fixed"/>
        <w:tblCellMar>
          <w:top w:w="0" w:type="dxa"/>
          <w:left w:w="0" w:type="dxa"/>
          <w:bottom w:w="0" w:type="dxa"/>
          <w:right w:w="0" w:type="dxa"/>
        </w:tblCellMar>
      </w:tblPr>
      <w:tblGrid>
        <w:gridCol w:w="124"/>
        <w:gridCol w:w="6532"/>
        <w:gridCol w:w="743"/>
      </w:tblGrid>
      <w:tr>
        <w:trPr/>
        <w:tc>
          <w:tcPr>
            <w:tcW w:w="124" w:type="dxa"/>
            <w:tcBorders/>
            <w:vAlign w:val="center"/>
          </w:tcPr>
          <w:p>
            <w:pPr>
              <w:pStyle w:val="TableContents"/>
              <w:bidi w:val="0"/>
              <w:spacing w:before="0" w:after="120"/>
              <w:ind w:left="0" w:right="0" w:hanging="0"/>
              <w:jc w:val="left"/>
              <w:rPr/>
            </w:pPr>
            <w:r>
              <w:rPr/>
              <w:t>​</w:t>
            </w:r>
          </w:p>
        </w:tc>
        <w:tc>
          <w:tcPr>
            <w:tcW w:w="6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147820" cy="29210"/>
                      <wp:effectExtent l="0" t="0" r="0" b="0"/>
                      <wp:wrapNone/>
                      <wp:docPr id="337" name="Frame337"/>
                      <a:graphic xmlns:a="http://schemas.openxmlformats.org/drawingml/2006/main">
                        <a:graphicData uri="http://schemas.microsoft.com/office/word/2010/wordprocessingShape">
                          <wps:wsp>
                            <wps:cNvSpPr txBox="1"/>
                            <wps:spPr>
                              <a:xfrm>
                                <a:off x="0" y="0"/>
                                <a:ext cx="41478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71805" cy="175260"/>
                      <wp:effectExtent l="0" t="0" r="0" b="0"/>
                      <wp:wrapNone/>
                      <wp:docPr id="338" name="Frame338"/>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WILLDAN GROUP, INC.</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center"/>
              <w:rPr>
                <w:smallCaps/>
              </w:rPr>
            </w:pPr>
            <w:r>
              <w:rPr>
                <w:smallCaps/>
              </w:rPr>
              <w: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Principal Accounting Officer and duly authorized officer)</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653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August 7, 2025</w:t>
            </w:r>
          </w:p>
        </w:tc>
        <w:tc>
          <w:tcPr>
            <w:tcW w:w="743"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240"/>
        <w:ind w:left="0" w:right="0" w:hanging="0"/>
        <w:jc w:val="right"/>
        <w:rPr>
          <w:rFonts w:ascii="Times New Roman;Times;serif" w:hAnsi="Times New Roman;Times;serif"/>
          <w:b/>
          <w:sz w:val="20"/>
        </w:rPr>
      </w:pPr>
      <w:bookmarkStart w:id="1663" w:name="wldn-20250704xex31d1.htm"/>
      <w:bookmarkStart w:id="1664" w:name="kswldn20250704xex31d1"/>
      <w:bookmarkEnd w:id="1663"/>
      <w:bookmarkEnd w:id="1664"/>
      <w:r>
        <w:rPr>
          <w:rFonts w:ascii="Times New Roman;Times;serif" w:hAnsi="Times New Roman;Times;serif"/>
          <w:b/>
          <w:sz w:val="20"/>
        </w:rPr>
        <w:t>Exhibit 31.1</w:t>
      </w:r>
      <w:r>
        <w:br w:type="page"/>
      </w:r>
    </w:p>
    <w:p>
      <w:pPr>
        <w:pStyle w:val="TextBody"/>
        <w:bidi w:val="0"/>
        <w:spacing w:lineRule="auto" w:line="285" w:before="0" w:after="22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EXECUTIVE OFFICER</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I, Michael A. Bieber, certify that: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Willdan Group, Inc.;</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Date: August 7, 2025</w:t>
      </w:r>
    </w:p>
    <w:tbl>
      <w:tblPr>
        <w:tblW w:w="3798" w:type="dxa"/>
        <w:jc w:val="center"/>
        <w:tblInd w:w="0" w:type="dxa"/>
        <w:tblLayout w:type="fixed"/>
        <w:tblCellMar>
          <w:top w:w="0" w:type="dxa"/>
          <w:left w:w="0" w:type="dxa"/>
          <w:bottom w:w="0" w:type="dxa"/>
          <w:right w:w="0" w:type="dxa"/>
        </w:tblCellMar>
      </w:tblPr>
      <w:tblGrid>
        <w:gridCol w:w="151"/>
        <w:gridCol w:w="406"/>
        <w:gridCol w:w="3241"/>
      </w:tblGrid>
      <w:tr>
        <w:trPr/>
        <w:tc>
          <w:tcPr>
            <w:tcW w:w="15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
              </w:rPr>
            </w:pPr>
            <w:r>
              <w:rPr>
                <w:rFonts w:ascii="Times New Roman;Times;serif" w:hAnsi="Times New Roman;Times;serif"/>
                <w:i/>
                <w:sz w:val="2"/>
              </w:rPr>
              <w:t>(Prin</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58670" cy="29210"/>
                      <wp:effectExtent l="0" t="0" r="0" b="0"/>
                      <wp:wrapNone/>
                      <wp:docPr id="339" name="Frame339"/>
                      <a:graphic xmlns:a="http://schemas.openxmlformats.org/drawingml/2006/main">
                        <a:graphicData uri="http://schemas.microsoft.com/office/word/2010/wordprocessingShape">
                          <wps:wsp>
                            <wps:cNvSpPr txBox="1"/>
                            <wps:spPr>
                              <a:xfrm>
                                <a:off x="0" y="0"/>
                                <a:ext cx="2058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665" w:name="wldn-20250704xex31d2.htm"/>
      <w:bookmarkStart w:id="1666" w:name="kswldn20250704xex31d2"/>
      <w:bookmarkEnd w:id="1665"/>
      <w:bookmarkEnd w:id="1666"/>
      <w:r>
        <w:rPr>
          <w:rFonts w:ascii="Times New Roman;Times;serif" w:hAnsi="Times New Roman;Times;serif"/>
          <w:b/>
          <w:sz w:val="20"/>
        </w:rPr>
        <w:t>Exhibit 31.2</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FINANCIAL OFFICER</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Creighton K. Early, certify that:</w:t>
      </w:r>
    </w:p>
    <w:tbl>
      <w:tblPr>
        <w:tblW w:w="6205" w:type="dxa"/>
        <w:jc w:val="left"/>
        <w:tblInd w:w="0" w:type="dxa"/>
        <w:tblLayout w:type="fixed"/>
        <w:tblCellMar>
          <w:top w:w="0" w:type="dxa"/>
          <w:left w:w="0" w:type="dxa"/>
          <w:bottom w:w="0" w:type="dxa"/>
          <w:right w:w="0" w:type="dxa"/>
        </w:tblCellMar>
      </w:tblPr>
      <w:tblGrid>
        <w:gridCol w:w="170"/>
        <w:gridCol w:w="603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60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Willdan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Date: August 7, 2025</w:t>
      </w:r>
    </w:p>
    <w:tbl>
      <w:tblPr>
        <w:tblW w:w="5031" w:type="dxa"/>
        <w:jc w:val="left"/>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667" w:name="wldn-20250704xex32d1.htm"/>
      <w:bookmarkStart w:id="1668" w:name="kswldn20250704xex32d1"/>
      <w:bookmarkEnd w:id="1667"/>
      <w:bookmarkEnd w:id="1668"/>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1350,</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Willdan Group, Inc. (the “Company”) for the quarterly period ended July 4, 2025,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031" w:type="dxa"/>
        <w:jc w:val="center"/>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August 7, 2025</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August 7, 2025</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0450/000155837025007025/wldn-20250404xex2d1.htm" TargetMode="External"/><Relationship Id="rId3" Type="http://schemas.openxmlformats.org/officeDocument/2006/relationships/hyperlink" Target="http://www.sec.gov/Archives/edgar/data/1370450/000104746906010648/a2172308zex-3_1.htm" TargetMode="External"/><Relationship Id="rId4" Type="http://schemas.openxmlformats.org/officeDocument/2006/relationships/hyperlink" Target="https://www.sec.gov/Archives/edgar/data/1370450/000155837023011834/wldn-20230707xex3d1.htm" TargetMode="External"/><Relationship Id="rId5" Type="http://schemas.openxmlformats.org/officeDocument/2006/relationships/hyperlink" Target="http://www.sec.gov/Archives/edgar/data/1370450/000104746906011904/a2173104zex-4_1.htm" TargetMode="External"/><Relationship Id="rId6" Type="http://schemas.openxmlformats.org/officeDocument/2006/relationships/hyperlink" Target="https://www.sec.gov/Archives/edgar/data/1370450/000155837025007025/wldn-20250404xex10d1.htm" TargetMode="External"/><Relationship Id="rId7" Type="http://schemas.openxmlformats.org/officeDocument/2006/relationships/hyperlink" Target="https://www.sec.gov/Archives/edgar/data/1370450/000155837025008623/wldn-20250612xex10d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26375</Words>
  <Characters>146878</Characters>
  <CharactersWithSpaces>175952</CharactersWithSpaces>
  <Paragraphs>8457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