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60403x10q.htm"/>
        <w:bookmarkStart w:id="1" w:name="kswldn20260403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fc0bc07c_47e5_4fa4_94bd_c7b6397500b7"/>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NF83SscBYEOdKNxA3L722w_1_1"/>
      <w:bookmarkStart w:id="4" w:name="_6ef743ce_2563_44ad_80c9_ea34ed34adb8"/>
      <w:bookmarkStart w:id="5" w:name="Tc_NF83SscBYEOdKNxA3L722w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April 3, 2026</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bx1FDn_MSkejMsvg2XMfVA_1_1"/>
      <w:bookmarkStart w:id="8" w:name="_43518137_0c98_49ef_a8fd_1cbf36c0488f"/>
      <w:bookmarkStart w:id="9" w:name="Tc_bx1FDn_MSkejMsvg2XMfVA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tQN5teKjaEy9sGX985RR1g_5_2"/>
      <w:bookmarkStart w:id="12" w:name="Tc_eVNUPiBuCEOXWjHF0360nQ_5_0"/>
      <w:bookmarkStart w:id="13" w:name="Tc_uyztneKcv027Gx1aeI9O1A_4_0"/>
      <w:bookmarkStart w:id="14" w:name="Tc_g8Q3ZbqInkW10246xZ8kYg_2_2"/>
      <w:bookmarkStart w:id="15" w:name="Tc_BsjOvz5_f0CsBjxv2ZDQbQ_2_0"/>
      <w:bookmarkStart w:id="16" w:name="_b700fcd9_ad39_4b3b_8b08_4b18e973638e"/>
      <w:bookmarkStart w:id="17" w:name="Tc_tQN5teKjaEy9sGX985RR1g_5_2"/>
      <w:bookmarkStart w:id="18" w:name="Tc_eVNUPiBuCEOXWjHF0360nQ_5_0"/>
      <w:bookmarkStart w:id="19" w:name="Tc_uyztneKcv027Gx1aeI9O1A_4_0"/>
      <w:bookmarkStart w:id="20" w:name="Tc_g8Q3ZbqInkW10246xZ8kYg_2_2"/>
      <w:bookmarkStart w:id="21" w:name="Tc_BsjOvz5_f0CsBjxv2ZDQbQ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 w:name="Tc_kW0NC_JeF0GIIVfZ4nZakQ_1_2"/>
      <w:bookmarkStart w:id="24" w:name="Tc_qruMx6e8q0yqSrTYCKhHFA_1_1"/>
      <w:bookmarkStart w:id="25" w:name="Tc_3TNchI9GJECeNNK3nQGSSg_1_0"/>
      <w:bookmarkStart w:id="26" w:name="_c3674b7e_6568_4ca3_ab4b_78a52dcc636c"/>
      <w:bookmarkStart w:id="27" w:name="Tc_kW0NC_JeF0GIIVfZ4nZakQ_1_2"/>
      <w:bookmarkStart w:id="28" w:name="Tc_qruMx6e8q0yqSrTYCKhHFA_1_1"/>
      <w:bookmarkStart w:id="29" w:name="Tc_3TNchI9GJECeNNK3nQGSSg_1_0"/>
      <w:bookmarkStart w:id="30" w:name="_c3674b7e_6568_4ca3_ab4b_78a52dcc636c"/>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791" w:type="dxa"/>
        <w:jc w:val="left"/>
        <w:tblInd w:w="0" w:type="dxa"/>
        <w:tblLayout w:type="fixed"/>
        <w:tblCellMar>
          <w:top w:w="0" w:type="dxa"/>
          <w:left w:w="0" w:type="dxa"/>
          <w:bottom w:w="0" w:type="dxa"/>
          <w:right w:w="0" w:type="dxa"/>
        </w:tblCellMar>
      </w:tblPr>
      <w:tblGrid>
        <w:gridCol w:w="2101"/>
        <w:gridCol w:w="109"/>
        <w:gridCol w:w="258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May 6, 2026, there were 15,110,606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2ba8535b_7bdd_4d78_9278_36bf88c43a22"/>
      <w:bookmarkEnd w:id="31"/>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b9420a1b_902a_452b_a3d1_d26a1b94d951"/>
      <w:bookmarkEnd w:id="33"/>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85% of our consolidated revenue in fiscal year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51% of our consolidated contract revenue for fiscal year 2025;</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realize the full amount of our backlog;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elevated interest rates, and elevated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January 2, 2026,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 w:name="PARTI"/>
      <w:bookmarkStart w:id="35" w:name="_a5a29198_084e_4ad6_b543_00d7acee2f65"/>
      <w:bookmarkEnd w:id="34"/>
      <w:bookmarkEnd w:id="35"/>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6" w:name="Item1"/>
      <w:bookmarkEnd w:id="36"/>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7" w:name="BALANCESHEETS_75359"/>
      <w:bookmarkEnd w:id="37"/>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38" w:name="Tc_fil79x3S4UWebx7tLB0oYQ_45_5"/>
      <w:bookmarkStart w:id="39" w:name="Tc_wlKFmVriHkOYy0HQWX-kDQ_45_2"/>
      <w:bookmarkStart w:id="40" w:name="Tc_9PvPST3DkkSj32PX-SKPvA_45_0"/>
      <w:bookmarkStart w:id="41" w:name="Tc_mT0THg2aYEScCOH0rgf8jw_44_0"/>
      <w:bookmarkStart w:id="42" w:name="Tc_Iic0xxoDU0KgaA3jvkvTbw_43_0"/>
      <w:bookmarkStart w:id="43" w:name="Tc_vowUqjMoRkeClK4KrgCwwA_42_0"/>
      <w:bookmarkStart w:id="44" w:name="Tc_SGJdPk1xoUuTntxniVe9-Q_41_0"/>
      <w:bookmarkStart w:id="45" w:name="Tc_mMKtbcLriEGIqPQaBT99SA_40_0"/>
      <w:bookmarkStart w:id="46" w:name="Tc_5g43TVrVrkSbideBeal8Gw_39_0"/>
      <w:bookmarkStart w:id="47" w:name="Tc_pTu4PRYnekq2zhTKQhnnxg_38_0"/>
      <w:bookmarkStart w:id="48" w:name="Tc_zj6KhUvVRkCOK5vmspFCVQ_36_0"/>
      <w:bookmarkStart w:id="49" w:name="Tc_6PB_tdAJTEK-e4xa2ZrI5A_34_0"/>
      <w:bookmarkStart w:id="50" w:name="Tc_GVh9EG_cSkyzaSr3bq_VuQ_33_0"/>
      <w:bookmarkStart w:id="51" w:name="Tc_3AstGpz__k-0Hx9EmRyEbQ_32_0"/>
      <w:bookmarkStart w:id="52" w:name="Tc_RIfHlLetDE6Wg7PqCwyYXQ_31_0"/>
      <w:bookmarkStart w:id="53" w:name="Tc_bhJYB0Gn_UaH7A5y4AbUlA_30_0"/>
      <w:bookmarkStart w:id="54" w:name="Tc_LW06hGmYtkSEjDkUriu5nQ_29_0"/>
      <w:bookmarkStart w:id="55" w:name="Tc_1uXPZdhRyUmKSSIyz23a2w_28_0"/>
      <w:bookmarkStart w:id="56" w:name="Tc_Mz2VYfcECUuK5W7Ww5dL-Q_27_0"/>
      <w:bookmarkStart w:id="57" w:name="Tc_AB9iyrB2lEGey4dtx6JuBQ_26_0"/>
      <w:bookmarkStart w:id="58" w:name="Tc_SCn-eU-N9kGVxpQ6-AijkQ_25_0"/>
      <w:bookmarkStart w:id="59" w:name="Tc_w0ZUAkhG70iaMhpVAhMZwg_24_0"/>
      <w:bookmarkStart w:id="60" w:name="Tc_GIFwMJq51kCInJvr6YROAg_23_0"/>
      <w:bookmarkStart w:id="61" w:name="Tc_K9ZB3baiVUqgoeWM98vH0g_22_0"/>
      <w:bookmarkStart w:id="62" w:name="Tc_KwzqlfX04ESeLppKpR-paA_21_5"/>
      <w:bookmarkStart w:id="63" w:name="Tc_oDAR5tghpUSXp69trVd1Jw_21_2"/>
      <w:bookmarkStart w:id="64" w:name="Tc_2fVNh54BLE6thsWOmQbRBw_21_0"/>
      <w:bookmarkStart w:id="65" w:name="Tc_NU0fteHEUU6u5IXbP59SnA_20_0"/>
      <w:bookmarkStart w:id="66" w:name="Tc_oxi7E1ixAUyLAEds-JM7HA_19_0"/>
      <w:bookmarkStart w:id="67" w:name="Tc_YkCB1lN02kShByccjRDFBw_18_5"/>
      <w:bookmarkStart w:id="68" w:name="Tc_UHMJjwAZ-UGwc_8k7b07SA_18_2"/>
      <w:bookmarkStart w:id="69" w:name="Tc_s1SwjwjyGEGoBRzpH0kBAg_18_0"/>
      <w:bookmarkStart w:id="70" w:name="Tc_e8TaF1PaD0iw9S6UDjxFmg_17_0"/>
      <w:bookmarkStart w:id="71" w:name="Tc_N8bSEohKVEuLHcQBX5ZKCQ_16_0"/>
      <w:bookmarkStart w:id="72" w:name="Tc_Lf77GpcEaEO5evZ8l_yufw_15_0"/>
      <w:bookmarkStart w:id="73" w:name="Tc_rRABdHMliUyCJdUZ0esLng_14_0"/>
      <w:bookmarkStart w:id="74" w:name="Tc_l4-1M9z170SB-mpOuQiN8g_13_0"/>
      <w:bookmarkStart w:id="75" w:name="Tc_-IVxivITeEKL0irx1RDJtg_12_0"/>
      <w:bookmarkStart w:id="76" w:name="Tc_gJd1RNh_gUeVnZQ54x_mVw_11_0"/>
      <w:bookmarkStart w:id="77" w:name="Tc_gyWv35BkC0mZbm9ksTvi1Q_10_0"/>
      <w:bookmarkStart w:id="78" w:name="Tc_KKcA1LT9bkyyUfk0jqHzqg_9_0"/>
      <w:bookmarkStart w:id="79" w:name="Tc_2cZxpdrdIk-It6w-iYC3sw_8_0"/>
      <w:bookmarkStart w:id="80" w:name="Tc_R93r5q5QtUyO9oivyxlQQg_7_0"/>
      <w:bookmarkStart w:id="81" w:name="Tc_fFFXUpUPTUSBojMjVODhow_6_0"/>
      <w:bookmarkStart w:id="82" w:name="Tc_lMaVGLYS8UKz4MZyS0TDSg_5_5"/>
      <w:bookmarkStart w:id="83" w:name="Tc_iUtAZpLKzEGfSUfKv6PcuQ_5_2"/>
      <w:bookmarkStart w:id="84" w:name="Tc_NOeFEjT9GUqE8n6XxECSXQ_5_0"/>
      <w:bookmarkStart w:id="85" w:name="Tc_rNTQdXe62k2WaRwtwoMovQ_4_0"/>
      <w:bookmarkStart w:id="86" w:name="Tc_5Rw42vadiUGSmeEZx85qIA_3_0"/>
      <w:bookmarkStart w:id="87" w:name="Tc_KH7djogaaEma26aQyYhg8A_2_5"/>
      <w:bookmarkStart w:id="88" w:name="Tc_VIujHLfTIUm8cphNjkXT7Q_2_2"/>
      <w:bookmarkStart w:id="89" w:name="Tc_ECdQ1DHp2Eix9wjTSq5BBQ_1_5"/>
      <w:bookmarkStart w:id="90" w:name="Tc_y_f_UNfxIkeiND-CosAJCw_1_2"/>
      <w:bookmarkStart w:id="91" w:name="_d9f5a5fb_3c7f_4d8b_95e1_51dfd09dc385"/>
      <w:bookmarkStart w:id="92" w:name="Tc_fil79x3S4UWebx7tLB0oYQ_45_5"/>
      <w:bookmarkStart w:id="93" w:name="Tc_wlKFmVriHkOYy0HQWX-kDQ_45_2"/>
      <w:bookmarkStart w:id="94" w:name="Tc_9PvPST3DkkSj32PX-SKPvA_45_0"/>
      <w:bookmarkStart w:id="95" w:name="Tc_mT0THg2aYEScCOH0rgf8jw_44_0"/>
      <w:bookmarkStart w:id="96" w:name="Tc_Iic0xxoDU0KgaA3jvkvTbw_43_0"/>
      <w:bookmarkStart w:id="97" w:name="Tc_vowUqjMoRkeClK4KrgCwwA_42_0"/>
      <w:bookmarkStart w:id="98" w:name="Tc_SGJdPk1xoUuTntxniVe9-Q_41_0"/>
      <w:bookmarkStart w:id="99" w:name="Tc_mMKtbcLriEGIqPQaBT99SA_40_0"/>
      <w:bookmarkStart w:id="100" w:name="Tc_5g43TVrVrkSbideBeal8Gw_39_0"/>
      <w:bookmarkStart w:id="101" w:name="Tc_pTu4PRYnekq2zhTKQhnnxg_38_0"/>
      <w:bookmarkStart w:id="102" w:name="Tc_zj6KhUvVRkCOK5vmspFCVQ_36_0"/>
      <w:bookmarkStart w:id="103" w:name="Tc_6PB_tdAJTEK-e4xa2ZrI5A_34_0"/>
      <w:bookmarkStart w:id="104" w:name="Tc_GVh9EG_cSkyzaSr3bq_VuQ_33_0"/>
      <w:bookmarkStart w:id="105" w:name="Tc_3AstGpz__k-0Hx9EmRyEbQ_32_0"/>
      <w:bookmarkStart w:id="106" w:name="Tc_RIfHlLetDE6Wg7PqCwyYXQ_31_0"/>
      <w:bookmarkStart w:id="107" w:name="Tc_bhJYB0Gn_UaH7A5y4AbUlA_30_0"/>
      <w:bookmarkStart w:id="108" w:name="Tc_LW06hGmYtkSEjDkUriu5nQ_29_0"/>
      <w:bookmarkStart w:id="109" w:name="Tc_1uXPZdhRyUmKSSIyz23a2w_28_0"/>
      <w:bookmarkStart w:id="110" w:name="Tc_Mz2VYfcECUuK5W7Ww5dL-Q_27_0"/>
      <w:bookmarkStart w:id="111" w:name="Tc_AB9iyrB2lEGey4dtx6JuBQ_26_0"/>
      <w:bookmarkStart w:id="112" w:name="Tc_SCn-eU-N9kGVxpQ6-AijkQ_25_0"/>
      <w:bookmarkStart w:id="113" w:name="Tc_w0ZUAkhG70iaMhpVAhMZwg_24_0"/>
      <w:bookmarkStart w:id="114" w:name="Tc_GIFwMJq51kCInJvr6YROAg_23_0"/>
      <w:bookmarkStart w:id="115" w:name="Tc_K9ZB3baiVUqgoeWM98vH0g_22_0"/>
      <w:bookmarkStart w:id="116" w:name="Tc_KwzqlfX04ESeLppKpR-paA_21_5"/>
      <w:bookmarkStart w:id="117" w:name="Tc_oDAR5tghpUSXp69trVd1Jw_21_2"/>
      <w:bookmarkStart w:id="118" w:name="Tc_2fVNh54BLE6thsWOmQbRBw_21_0"/>
      <w:bookmarkStart w:id="119" w:name="Tc_NU0fteHEUU6u5IXbP59SnA_20_0"/>
      <w:bookmarkStart w:id="120" w:name="Tc_oxi7E1ixAUyLAEds-JM7HA_19_0"/>
      <w:bookmarkStart w:id="121" w:name="Tc_YkCB1lN02kShByccjRDFBw_18_5"/>
      <w:bookmarkStart w:id="122" w:name="Tc_UHMJjwAZ-UGwc_8k7b07SA_18_2"/>
      <w:bookmarkStart w:id="123" w:name="Tc_s1SwjwjyGEGoBRzpH0kBAg_18_0"/>
      <w:bookmarkStart w:id="124" w:name="Tc_e8TaF1PaD0iw9S6UDjxFmg_17_0"/>
      <w:bookmarkStart w:id="125" w:name="Tc_N8bSEohKVEuLHcQBX5ZKCQ_16_0"/>
      <w:bookmarkStart w:id="126" w:name="Tc_Lf77GpcEaEO5evZ8l_yufw_15_0"/>
      <w:bookmarkStart w:id="127" w:name="Tc_rRABdHMliUyCJdUZ0esLng_14_0"/>
      <w:bookmarkStart w:id="128" w:name="Tc_l4-1M9z170SB-mpOuQiN8g_13_0"/>
      <w:bookmarkStart w:id="129" w:name="Tc_-IVxivITeEKL0irx1RDJtg_12_0"/>
      <w:bookmarkStart w:id="130" w:name="Tc_gJd1RNh_gUeVnZQ54x_mVw_11_0"/>
      <w:bookmarkStart w:id="131" w:name="Tc_gyWv35BkC0mZbm9ksTvi1Q_10_0"/>
      <w:bookmarkStart w:id="132" w:name="Tc_KKcA1LT9bkyyUfk0jqHzqg_9_0"/>
      <w:bookmarkStart w:id="133" w:name="Tc_2cZxpdrdIk-It6w-iYC3sw_8_0"/>
      <w:bookmarkStart w:id="134" w:name="Tc_R93r5q5QtUyO9oivyxlQQg_7_0"/>
      <w:bookmarkStart w:id="135" w:name="Tc_fFFXUpUPTUSBojMjVODhow_6_0"/>
      <w:bookmarkStart w:id="136" w:name="Tc_lMaVGLYS8UKz4MZyS0TDSg_5_5"/>
      <w:bookmarkStart w:id="137" w:name="Tc_iUtAZpLKzEGfSUfKv6PcuQ_5_2"/>
      <w:bookmarkStart w:id="138" w:name="Tc_NOeFEjT9GUqE8n6XxECSXQ_5_0"/>
      <w:bookmarkStart w:id="139" w:name="Tc_rNTQdXe62k2WaRwtwoMovQ_4_0"/>
      <w:bookmarkStart w:id="140" w:name="Tc_5Rw42vadiUGSmeEZx85qIA_3_0"/>
      <w:bookmarkStart w:id="141" w:name="Tc_KH7djogaaEma26aQyYhg8A_2_5"/>
      <w:bookmarkStart w:id="142" w:name="Tc_VIujHLfTIUm8cphNjkXT7Q_2_2"/>
      <w:bookmarkStart w:id="143" w:name="Tc_ECdQ1DHp2Eix9wjTSq5BBQ_1_5"/>
      <w:bookmarkStart w:id="144" w:name="Tc_y_f_UNfxIkeiND-CosAJCw_1_2"/>
      <w:bookmarkStart w:id="145" w:name="_d9f5a5fb_3c7f_4d8b_95e1_51dfd09dc38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375"/>
        <w:gridCol w:w="346"/>
        <w:gridCol w:w="211"/>
        <w:gridCol w:w="781"/>
        <w:gridCol w:w="346"/>
        <w:gridCol w:w="211"/>
        <w:gridCol w:w="781"/>
        <w:gridCol w:w="154"/>
      </w:tblGrid>
      <w:tr>
        <w:trPr/>
        <w:tc>
          <w:tcPr>
            <w:tcW w:w="7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83125" cy="175260"/>
                      <wp:effectExtent l="0" t="0" r="0" b="0"/>
                      <wp:wrapNone/>
                      <wp:docPr id="5" name="Frame5"/>
                      <a:graphic xmlns:a="http://schemas.openxmlformats.org/drawingml/2006/main">
                        <a:graphicData uri="http://schemas.microsoft.com/office/word/2010/wordprocessingShape">
                          <wps:wsp>
                            <wps:cNvSpPr txBox="1"/>
                            <wps:spPr>
                              <a:xfrm>
                                <a:off x="0" y="0"/>
                                <a:ext cx="4683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154" w:type="dxa"/>
            <w:tcBorders/>
            <w:vAlign w:val="center"/>
          </w:tcPr>
          <w:p>
            <w:pPr>
              <w:pStyle w:val="TableContents"/>
              <w:bidi w:val="0"/>
              <w:spacing w:before="0" w:after="0"/>
              <w:ind w:left="0" w:right="0" w:hanging="0"/>
              <w:jc w:val="center"/>
              <w:rPr/>
            </w:pPr>
            <w:r>
              <w:rPr/>
              <w:t>​</w:t>
            </w:r>
          </w:p>
        </w:tc>
      </w:tr>
      <w:tr>
        <w:trPr/>
        <w:tc>
          <w:tcPr>
            <w:tcW w:w="7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rPr/>
            </w:pPr>
            <w:r>
              <w:rPr/>
              <w:t>​</w:t>
            </w:r>
          </w:p>
        </w:tc>
      </w:tr>
      <w:tr>
        <w:trP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65,919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$271</w:t>
            </w:r>
            <w:r>
              <w:rPr>
                <w:rFonts w:ascii="Times New Roman;Times;serif" w:hAnsi="Times New Roman;Times;serif"/>
                <w:sz w:val="18"/>
              </w:rPr>
              <w:t xml:space="preserve"> </w:t>
            </w:r>
            <w:r>
              <w:rPr>
                <w:rFonts w:ascii="Times New Roman;Times;serif" w:hAnsi="Times New Roman;Times;serif"/>
                <w:sz w:val="19"/>
              </w:rPr>
              <w:t>and $340</w:t>
            </w:r>
            <w:r>
              <w:rPr>
                <w:rFonts w:ascii="Times New Roman;Times;serif" w:hAnsi="Times New Roman;Times;serif"/>
                <w:sz w:val="18"/>
              </w:rPr>
              <w:t xml:space="preserve"> </w:t>
            </w:r>
            <w:r>
              <w:rPr>
                <w:rFonts w:ascii="Times New Roman;Times;serif" w:hAnsi="Times New Roman;Times;serif"/>
                <w:sz w:val="19"/>
              </w:rPr>
              <w:t>at April 3, 2026 and January 2, 2026,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80,773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64,604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94,781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107,296</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7,528</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220,352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251,677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31,491</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16,600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35,521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511,684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vAlign w:val="center"/>
          </w:tcPr>
          <w:p>
            <w:pPr>
              <w:pStyle w:val="TableContents"/>
              <w:bidi w:val="0"/>
              <w:spacing w:before="0" w:after="0"/>
              <w:ind w:left="0" w:right="0" w:hanging="0"/>
              <w:jc w:val="right"/>
              <w:rPr/>
            </w:pPr>
            <w:r>
              <w:rPr/>
              <w:t>​</w:t>
            </w:r>
          </w:p>
        </w:tc>
      </w:tr>
      <w:tr>
        <w:trP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45,628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50,848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82,434</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3,732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21,565</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131,459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161,754</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16,651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45,354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14,395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201,339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239,360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14,966</w:t>
            </w:r>
            <w:r>
              <w:rPr>
                <w:rFonts w:ascii="Times New Roman;Times;serif" w:hAnsi="Times New Roman;Times;serif"/>
                <w:sz w:val="18"/>
              </w:rPr>
              <w:t xml:space="preserve"> </w:t>
            </w:r>
            <w:r>
              <w:rPr>
                <w:rFonts w:ascii="Times New Roman;Times;serif" w:hAnsi="Times New Roman;Times;serif"/>
                <w:sz w:val="19"/>
              </w:rPr>
              <w:t>and 14,762</w:t>
            </w:r>
            <w:r>
              <w:rPr>
                <w:rFonts w:ascii="Times New Roman;Times;serif" w:hAnsi="Times New Roman;Times;serif"/>
                <w:sz w:val="18"/>
              </w:rPr>
              <w:t xml:space="preserve"> </w:t>
            </w:r>
            <w:r>
              <w:rPr>
                <w:rFonts w:ascii="Times New Roman;Times;serif" w:hAnsi="Times New Roman;Times;serif"/>
                <w:sz w:val="19"/>
              </w:rPr>
              <w:t>shares issued and outstanding at April 3, 2026 and January 2, 2026,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212,112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215,269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89,704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310,345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304,851</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511,684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f5731649_1d88_402b_892e_5d20126956bb"/>
      <w:bookmarkEnd w:id="146"/>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47" w:name="OPERATIONS_940148"/>
      <w:bookmarkEnd w:id="147"/>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48" w:name="Tc_Wl24wX_HvEGPaGduv_n23A_42_0"/>
      <w:bookmarkStart w:id="149" w:name="Tc_lxyz2xBuDkegh_x11nHFpQ_41_0"/>
      <w:bookmarkStart w:id="150" w:name="Tc_7HJD8hmTvEmSxs-TYBX-cQ_40_0"/>
      <w:bookmarkStart w:id="151" w:name="Tc_dWOotoVJpEO0uc4q9Y_dZw_38_5"/>
      <w:bookmarkStart w:id="152" w:name="Tc_pMvBExuN3E2ODW8G_z2fIQ_38_2"/>
      <w:bookmarkStart w:id="153" w:name="Tc_aRToPKfS80itHZCKtYiEcA_38_0"/>
      <w:bookmarkStart w:id="154" w:name="Tc_6cg-sb_TfkyPGf3vxv0-gQ_37_5"/>
      <w:bookmarkStart w:id="155" w:name="Tc_34PX9ulKh0aKHWq7lJh-_g_37_2"/>
      <w:bookmarkStart w:id="156" w:name="Tc_1QuEMRo_wk2s8-IztNm47A_37_0"/>
      <w:bookmarkStart w:id="157" w:name="Tc_tAq4F0oUw0-lk0f7OfNosQ_36_0"/>
      <w:bookmarkStart w:id="158" w:name="Tc_ObNOKxkHPkCemWgYnkKMXw_34_5"/>
      <w:bookmarkStart w:id="159" w:name="Tc_1xsof-_fNkidRVspxEXfZw_34_2"/>
      <w:bookmarkStart w:id="160" w:name="Tc_aIrpVP3LPUeVxuSJUazx4g_34_0"/>
      <w:bookmarkStart w:id="161" w:name="Tc_N_cyw08mDUCSNm7tyQhT5A_33_0"/>
      <w:bookmarkStart w:id="162" w:name="Tc_1UeP9-CWY0qSu9IwAus-yA_32_0"/>
      <w:bookmarkStart w:id="163" w:name="Tc_2yswNzYOCkKc0lxsmjYYug_30_0"/>
      <w:bookmarkStart w:id="164" w:name="Tc_0qI-rZgK0kKcWiz1NUG5qg_29_0"/>
      <w:bookmarkStart w:id="165" w:name="Tc_lgMhJRreSkGEANy0WoEH0w_28_0"/>
      <w:bookmarkStart w:id="166" w:name="Tc_yeOyCpauOEuSbnwGI-Yoww_26_0"/>
      <w:bookmarkStart w:id="167" w:name="Tc_FLCcyv-SQUa-E-MTbQMZYQ_25_0"/>
      <w:bookmarkStart w:id="168" w:name="Tc_I6RkGZ6hAkC2pmIsQkhbVg_24_0"/>
      <w:bookmarkStart w:id="169" w:name="Tc_qWXFbCe5tEe-fmdKQaCukA_23_0"/>
      <w:bookmarkStart w:id="170" w:name="Tc_nhxKDFzn3Um5LojAZFg6QA_21_0"/>
      <w:bookmarkStart w:id="171" w:name="Tc_THi31V3Bb0KFHKxk4d5r1A_19_0"/>
      <w:bookmarkStart w:id="172" w:name="Tc_6_H6yxRIZE6odzzBt1lQ0w_18_0"/>
      <w:bookmarkStart w:id="173" w:name="Tc_x0TWlJ7mP0e4Z266zpW1IA_17_0"/>
      <w:bookmarkStart w:id="174" w:name="Tc_tX-72ZyTuE2c769bEC9U5A_16_0"/>
      <w:bookmarkStart w:id="175" w:name="Tc_2tOaDboR30CBgN29UuDzCQ_15_0"/>
      <w:bookmarkStart w:id="176" w:name="Tc__QOA5KYugkSvwtK2lCW7aQ_14_0"/>
      <w:bookmarkStart w:id="177" w:name="Tc_PtmnvBaKoEumdUV033Mn8Q_13_0"/>
      <w:bookmarkStart w:id="178" w:name="Tc_XM0gmns3k0Co48PaXpo1sg_11_0"/>
      <w:bookmarkStart w:id="179" w:name="Tc_qtcW6ZyAUkyzKGU562pDxw_9_0"/>
      <w:bookmarkStart w:id="180" w:name="Tc_0i75o_ntwUyyoKr71wzItA_8_0"/>
      <w:bookmarkStart w:id="181" w:name="Tc_FNh6rGXG60Wb0pvQ83S8OA_7_0"/>
      <w:bookmarkStart w:id="182" w:name="Tc_JZDzLeLEskmZFOIVZB70yg_6_0"/>
      <w:bookmarkStart w:id="183" w:name="Tc_U288_JZv7kiqcpy7yzyUCA_4_5"/>
      <w:bookmarkStart w:id="184" w:name="Tc_u5dzHlkFl0mTSfZOy_DXDg_4_2"/>
      <w:bookmarkStart w:id="185" w:name="Tc_O7ouC-8zn0qMMTBD8u5h-A_4_0"/>
      <w:bookmarkStart w:id="186" w:name="Tc_lMUXN1HxhECGSkfLZcK24A_3_5"/>
      <w:bookmarkStart w:id="187" w:name="Tc_TgKb2rg-3EySrwdSOL31dw_3_2"/>
      <w:bookmarkStart w:id="188" w:name="Tc_lMtvBt42EUuOaIJvHb6WEw_2_5"/>
      <w:bookmarkStart w:id="189" w:name="Tc_OHbi7-RPNUu-GfEe5blcpQ_2_2"/>
      <w:bookmarkStart w:id="190" w:name="Tc_GDpcv_fppUqf-aMcufWZ6Q_1_2"/>
      <w:bookmarkStart w:id="191" w:name="_3aba4ab8_bba5_491c_8d83_78aa3e16931c"/>
      <w:bookmarkStart w:id="192" w:name="Tc_Wl24wX_HvEGPaGduv_n23A_42_0"/>
      <w:bookmarkStart w:id="193" w:name="Tc_lxyz2xBuDkegh_x11nHFpQ_41_0"/>
      <w:bookmarkStart w:id="194" w:name="Tc_7HJD8hmTvEmSxs-TYBX-cQ_40_0"/>
      <w:bookmarkStart w:id="195" w:name="Tc_dWOotoVJpEO0uc4q9Y_dZw_38_5"/>
      <w:bookmarkStart w:id="196" w:name="Tc_pMvBExuN3E2ODW8G_z2fIQ_38_2"/>
      <w:bookmarkStart w:id="197" w:name="Tc_aRToPKfS80itHZCKtYiEcA_38_0"/>
      <w:bookmarkStart w:id="198" w:name="Tc_6cg-sb_TfkyPGf3vxv0-gQ_37_5"/>
      <w:bookmarkStart w:id="199" w:name="Tc_34PX9ulKh0aKHWq7lJh-_g_37_2"/>
      <w:bookmarkStart w:id="200" w:name="Tc_1QuEMRo_wk2s8-IztNm47A_37_0"/>
      <w:bookmarkStart w:id="201" w:name="Tc_tAq4F0oUw0-lk0f7OfNosQ_36_0"/>
      <w:bookmarkStart w:id="202" w:name="Tc_ObNOKxkHPkCemWgYnkKMXw_34_5"/>
      <w:bookmarkStart w:id="203" w:name="Tc_1xsof-_fNkidRVspxEXfZw_34_2"/>
      <w:bookmarkStart w:id="204" w:name="Tc_aIrpVP3LPUeVxuSJUazx4g_34_0"/>
      <w:bookmarkStart w:id="205" w:name="Tc_N_cyw08mDUCSNm7tyQhT5A_33_0"/>
      <w:bookmarkStart w:id="206" w:name="Tc_1UeP9-CWY0qSu9IwAus-yA_32_0"/>
      <w:bookmarkStart w:id="207" w:name="Tc_2yswNzYOCkKc0lxsmjYYug_30_0"/>
      <w:bookmarkStart w:id="208" w:name="Tc_0qI-rZgK0kKcWiz1NUG5qg_29_0"/>
      <w:bookmarkStart w:id="209" w:name="Tc_lgMhJRreSkGEANy0WoEH0w_28_0"/>
      <w:bookmarkStart w:id="210" w:name="Tc_yeOyCpauOEuSbnwGI-Yoww_26_0"/>
      <w:bookmarkStart w:id="211" w:name="Tc_FLCcyv-SQUa-E-MTbQMZYQ_25_0"/>
      <w:bookmarkStart w:id="212" w:name="Tc_I6RkGZ6hAkC2pmIsQkhbVg_24_0"/>
      <w:bookmarkStart w:id="213" w:name="Tc_qWXFbCe5tEe-fmdKQaCukA_23_0"/>
      <w:bookmarkStart w:id="214" w:name="Tc_nhxKDFzn3Um5LojAZFg6QA_21_0"/>
      <w:bookmarkStart w:id="215" w:name="Tc_THi31V3Bb0KFHKxk4d5r1A_19_0"/>
      <w:bookmarkStart w:id="216" w:name="Tc_6_H6yxRIZE6odzzBt1lQ0w_18_0"/>
      <w:bookmarkStart w:id="217" w:name="Tc_x0TWlJ7mP0e4Z266zpW1IA_17_0"/>
      <w:bookmarkStart w:id="218" w:name="Tc_tX-72ZyTuE2c769bEC9U5A_16_0"/>
      <w:bookmarkStart w:id="219" w:name="Tc_2tOaDboR30CBgN29UuDzCQ_15_0"/>
      <w:bookmarkStart w:id="220" w:name="Tc__QOA5KYugkSvwtK2lCW7aQ_14_0"/>
      <w:bookmarkStart w:id="221" w:name="Tc_PtmnvBaKoEumdUV033Mn8Q_13_0"/>
      <w:bookmarkStart w:id="222" w:name="Tc_XM0gmns3k0Co48PaXpo1sg_11_0"/>
      <w:bookmarkStart w:id="223" w:name="Tc_qtcW6ZyAUkyzKGU562pDxw_9_0"/>
      <w:bookmarkStart w:id="224" w:name="Tc_0i75o_ntwUyyoKr71wzItA_8_0"/>
      <w:bookmarkStart w:id="225" w:name="Tc_FNh6rGXG60Wb0pvQ83S8OA_7_0"/>
      <w:bookmarkStart w:id="226" w:name="Tc_JZDzLeLEskmZFOIVZB70yg_6_0"/>
      <w:bookmarkStart w:id="227" w:name="Tc_U288_JZv7kiqcpy7yzyUCA_4_5"/>
      <w:bookmarkStart w:id="228" w:name="Tc_u5dzHlkFl0mTSfZOy_DXDg_4_2"/>
      <w:bookmarkStart w:id="229" w:name="Tc_O7ouC-8zn0qMMTBD8u5h-A_4_0"/>
      <w:bookmarkStart w:id="230" w:name="Tc_lMUXN1HxhECGSkfLZcK24A_3_5"/>
      <w:bookmarkStart w:id="231" w:name="Tc_TgKb2rg-3EySrwdSOL31dw_3_2"/>
      <w:bookmarkStart w:id="232" w:name="Tc_lMtvBt42EUuOaIJvHb6WEw_2_5"/>
      <w:bookmarkStart w:id="233" w:name="Tc_OHbi7-RPNUu-GfEe5blcpQ_2_2"/>
      <w:bookmarkStart w:id="234" w:name="Tc_GDpcv_fppUqf-aMcufWZ6Q_1_2"/>
      <w:bookmarkStart w:id="235" w:name="_3aba4ab8_bba5_491c_8d83_78aa3e16931c"/>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W w:w="10205" w:type="dxa"/>
        <w:jc w:val="left"/>
        <w:tblInd w:w="0" w:type="dxa"/>
        <w:tblLayout w:type="fixed"/>
        <w:tblCellMar>
          <w:top w:w="0" w:type="dxa"/>
          <w:left w:w="0" w:type="dxa"/>
          <w:bottom w:w="0" w:type="dxa"/>
          <w:right w:w="0" w:type="dxa"/>
        </w:tblCellMar>
      </w:tblPr>
      <w:tblGrid>
        <w:gridCol w:w="7484"/>
        <w:gridCol w:w="346"/>
        <w:gridCol w:w="211"/>
        <w:gridCol w:w="781"/>
        <w:gridCol w:w="346"/>
        <w:gridCol w:w="211"/>
        <w:gridCol w:w="826"/>
      </w:tblGrid>
      <w:tr>
        <w:trPr/>
        <w:tc>
          <w:tcPr>
            <w:tcW w:w="7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752340" cy="175260"/>
                      <wp:effectExtent l="0" t="0" r="0" b="0"/>
                      <wp:wrapNone/>
                      <wp:docPr id="13" name="Frame13"/>
                      <a:graphic xmlns:a="http://schemas.openxmlformats.org/drawingml/2006/main">
                        <a:graphicData uri="http://schemas.microsoft.com/office/word/2010/wordprocessingShape">
                          <wps:wsp>
                            <wps:cNvSpPr txBox="1"/>
                            <wps:spPr>
                              <a:xfrm>
                                <a:off x="0" y="0"/>
                                <a:ext cx="4752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152,386</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27,677</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67,048</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94,725</w:t>
            </w:r>
          </w:p>
        </w:tc>
      </w:tr>
      <w:tr>
        <w:trPr/>
        <w:tc>
          <w:tcPr>
            <w:tcW w:w="74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57,661</w:t>
            </w:r>
          </w:p>
        </w:tc>
      </w:tr>
      <w:tr>
        <w:trPr/>
        <w:tc>
          <w:tcPr>
            <w:tcW w:w="74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31,108</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10,027</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50,625</w:t>
            </w:r>
          </w:p>
        </w:tc>
      </w:tr>
      <w:tr>
        <w:trPr/>
        <w:tc>
          <w:tcPr>
            <w:tcW w:w="74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7,036</w:t>
            </w:r>
          </w:p>
        </w:tc>
      </w:tr>
      <w:tr>
        <w:trPr/>
        <w:tc>
          <w:tcPr>
            <w:tcW w:w="748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5,193</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74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7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w:t>
            </w:r>
          </w:p>
        </w:tc>
      </w:tr>
      <w:tr>
        <w:trPr/>
        <w:tc>
          <w:tcPr>
            <w:tcW w:w="7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14,628</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6" w:name="_139c3aa6_c45f_45de_b325_d90ebedc0697"/>
      <w:bookmarkEnd w:id="236"/>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37" w:name="STOCKHOLDERSEQUITY_372544"/>
      <w:bookmarkEnd w:id="237"/>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8" w:name="Tc_vAvd5OXMV0uy2PEnaVk9LA_13_16"/>
      <w:bookmarkStart w:id="239" w:name="Tc_lyhDE4TbKUm3gIaICXDkMQ_13_13"/>
      <w:bookmarkStart w:id="240" w:name="Tc_QgOWsxMIwk2WzObzUvLM9Q_13_10"/>
      <w:bookmarkStart w:id="241" w:name="Tc_MkRBF5MU9U6uaVWW7bnUAA_13_7"/>
      <w:bookmarkStart w:id="242" w:name="Tc_EUXC1K9hcESkFZJh9TH0EQ_13_4"/>
      <w:bookmarkStart w:id="243" w:name="Tc_8Dv7TDvNhESVXQR-xqSrHQ_13_0"/>
      <w:bookmarkStart w:id="244" w:name="Tc__Nk9mYXti0iBNWzo7LL0tA_12_14"/>
      <w:bookmarkStart w:id="245" w:name="Tc_GUtK8gTQSE-6imu7AP0fIA_12_8"/>
      <w:bookmarkStart w:id="246" w:name="Tc_Bs7mfusLUEeKj90Akkqkng_12_5"/>
      <w:bookmarkStart w:id="247" w:name="Tc_1mCis94tiESNWtjxk2BXWA_12_2"/>
      <w:bookmarkStart w:id="248" w:name="Tc_Nzr_TMr0bUuYE7GqHNvJ2w_12_0"/>
      <w:bookmarkStart w:id="249" w:name="Tc_E27FCov5mUCMNlwqiz2kHQ_11_11"/>
      <w:bookmarkStart w:id="250" w:name="Tc_S1qKMqcZ1ka8xbEDytN-wg_11_8"/>
      <w:bookmarkStart w:id="251" w:name="Tc_ypG5J_iFok2efjfiuvdQWQ_11_5"/>
      <w:bookmarkStart w:id="252" w:name="Tc_iqTXyDfauEmDweE4xd7NEA_11_2"/>
      <w:bookmarkStart w:id="253" w:name="Tc_MdiuXyJZzEmCeohdGqQo4Q_11_0"/>
      <w:bookmarkStart w:id="254" w:name="Tc_a3PuW9x6S0eO-Bzu2mwWiA_10_14"/>
      <w:bookmarkStart w:id="255" w:name="Tc_laWb5paWREusNmb6vo3Kbw_10_11"/>
      <w:bookmarkStart w:id="256" w:name="Tc_4JPWOE2YdESXjkPO2_f5BA_10_5"/>
      <w:bookmarkStart w:id="257" w:name="Tc_FmQ6Rgbg1EGd0I2QzlHhZg_10_2"/>
      <w:bookmarkStart w:id="258" w:name="Tc_fi_tNguIdkaGyvz2-QSKfA_10_0"/>
      <w:bookmarkStart w:id="259" w:name="Tc_RDQjiuDT8E6SSqStFLMk2g_9_17"/>
      <w:bookmarkStart w:id="260" w:name="Tc_z_G-V1E2DEmMoEGNy5swHA_9_14"/>
      <w:bookmarkStart w:id="261" w:name="Tc_wp_UylIzrEKc0Z0qh7VCMg_9_11"/>
      <w:bookmarkStart w:id="262" w:name="Tc_UxBvw4EHk0COs422xP5reQ_9_0"/>
      <w:bookmarkStart w:id="263" w:name="Tc_KfAL9k6CmkOCU_ER_fMIBA_8_14"/>
      <w:bookmarkStart w:id="264" w:name="Tc_yx4omc5qbkqA7QikLiNplw_8_11"/>
      <w:bookmarkStart w:id="265" w:name="Tc_ThqGHnQCX0qRsgd_EtoDhA_8_0"/>
      <w:bookmarkStart w:id="266" w:name="Tc_gcOuIhqKU0iuOwAhC5WcIA_7_17"/>
      <w:bookmarkStart w:id="267" w:name="Tc_GK12QfUmp02HyZnCsnf9Sw_7_14"/>
      <w:bookmarkStart w:id="268" w:name="Tc_MjEZ6QaPxU-xqbuWkNHPQQ_7_11"/>
      <w:bookmarkStart w:id="269" w:name="Tc_LLOS2TKpbUGRCpYB7qCqdw_7_8"/>
      <w:bookmarkStart w:id="270" w:name="Tc_kfyY3BBxwU2wACx0iPifYg_7_5"/>
      <w:bookmarkStart w:id="271" w:name="Tc_CIit2hCWMkagaRD79NuJJw_7_2"/>
      <w:bookmarkStart w:id="272" w:name="Tc_Lqj9kRlljkupMHJ_FXEvwQ_7_0"/>
      <w:bookmarkStart w:id="273" w:name="Tc_UXpoFebOqEOp6wFugqg52A_6_14"/>
      <w:bookmarkStart w:id="274" w:name="Tc_Pln3m33i4UCv9VRqxyH-TA_6_11"/>
      <w:bookmarkStart w:id="275" w:name="Tc_y5fWm7yguUaY-HoGIE-xqg_6_5"/>
      <w:bookmarkStart w:id="276" w:name="Tc_IAx0o-HbeUSKFF0myMdAdQ_6_0"/>
      <w:bookmarkStart w:id="277" w:name="Tc_fkpOAB7A40O9uzWewktobQ_5_16"/>
      <w:bookmarkStart w:id="278" w:name="Tc_qU9U8Tj7FUek5DohDsR9WA_5_13"/>
      <w:bookmarkStart w:id="279" w:name="Tc_SWma80YICEieyKMFKHRgyw_5_10"/>
      <w:bookmarkStart w:id="280" w:name="Tc_gs5THrt1wEqOX5lUxRon8A_5_7"/>
      <w:bookmarkStart w:id="281" w:name="Tc_na4cMxG5xES9DwTN0vUZUw_5_4"/>
      <w:bookmarkStart w:id="282" w:name="Tc_v57FBJebIEWJkV74UviY9g_5_0"/>
      <w:bookmarkStart w:id="283" w:name="Tc_gRxRRno0uU-M6AC-5Nuh0A_4_16"/>
      <w:bookmarkStart w:id="284" w:name="Tc_A9dmsV6fXEeD4eFTyCQcIg_4_13"/>
      <w:bookmarkStart w:id="285" w:name="Tc_Hq_BMQOt20GEAAeICvQgcQ_4_10"/>
      <w:bookmarkStart w:id="286" w:name="Tc_KLv5h-Oub0qf2aJep3qQLg_4_7"/>
      <w:bookmarkStart w:id="287" w:name="Tc_be6jskjMWU2WHKYf26-zQg_4_4"/>
      <w:bookmarkStart w:id="288" w:name="Tc_y8gQa9OtR0OUIjcrEE424A_4_2"/>
      <w:bookmarkStart w:id="289" w:name="Tc_MJXAo5EzCU6stTOMBTaEyA_3_13"/>
      <w:bookmarkStart w:id="290" w:name="Tc_Urc13-ri9kiK5wrcMWjnlQ_3_10"/>
      <w:bookmarkStart w:id="291" w:name="Tc_yLJwN86lpkCcS23EJ3BzVQ_3_7"/>
      <w:bookmarkStart w:id="292" w:name="Tc_JbWcfscwxEOqSfOIyb9M9A_3_2"/>
      <w:bookmarkStart w:id="293" w:name="Tc_VclBHZsRbk2OgvWARAV--Q_2_10"/>
      <w:bookmarkStart w:id="294" w:name="Tc_zHCEhB_Km0qxdp3N2gl0Sg_2_7"/>
      <w:bookmarkStart w:id="295" w:name="Tc_mkYfG-KFGkWoKgk7rfeWOQ_1_10"/>
      <w:bookmarkStart w:id="296" w:name="_2e7e20a5_a451_4611_9878_0bb7a6619791"/>
      <w:bookmarkStart w:id="297" w:name="Tc_vAvd5OXMV0uy2PEnaVk9LA_13_16"/>
      <w:bookmarkStart w:id="298" w:name="Tc_lyhDE4TbKUm3gIaICXDkMQ_13_13"/>
      <w:bookmarkStart w:id="299" w:name="Tc_QgOWsxMIwk2WzObzUvLM9Q_13_10"/>
      <w:bookmarkStart w:id="300" w:name="Tc_MkRBF5MU9U6uaVWW7bnUAA_13_7"/>
      <w:bookmarkStart w:id="301" w:name="Tc_EUXC1K9hcESkFZJh9TH0EQ_13_4"/>
      <w:bookmarkStart w:id="302" w:name="Tc_8Dv7TDvNhESVXQR-xqSrHQ_13_0"/>
      <w:bookmarkStart w:id="303" w:name="Tc__Nk9mYXti0iBNWzo7LL0tA_12_14"/>
      <w:bookmarkStart w:id="304" w:name="Tc_GUtK8gTQSE-6imu7AP0fIA_12_8"/>
      <w:bookmarkStart w:id="305" w:name="Tc_Bs7mfusLUEeKj90Akkqkng_12_5"/>
      <w:bookmarkStart w:id="306" w:name="Tc_1mCis94tiESNWtjxk2BXWA_12_2"/>
      <w:bookmarkStart w:id="307" w:name="Tc_Nzr_TMr0bUuYE7GqHNvJ2w_12_0"/>
      <w:bookmarkStart w:id="308" w:name="Tc_E27FCov5mUCMNlwqiz2kHQ_11_11"/>
      <w:bookmarkStart w:id="309" w:name="Tc_S1qKMqcZ1ka8xbEDytN-wg_11_8"/>
      <w:bookmarkStart w:id="310" w:name="Tc_ypG5J_iFok2efjfiuvdQWQ_11_5"/>
      <w:bookmarkStart w:id="311" w:name="Tc_iqTXyDfauEmDweE4xd7NEA_11_2"/>
      <w:bookmarkStart w:id="312" w:name="Tc_MdiuXyJZzEmCeohdGqQo4Q_11_0"/>
      <w:bookmarkStart w:id="313" w:name="Tc_a3PuW9x6S0eO-Bzu2mwWiA_10_14"/>
      <w:bookmarkStart w:id="314" w:name="Tc_laWb5paWREusNmb6vo3Kbw_10_11"/>
      <w:bookmarkStart w:id="315" w:name="Tc_4JPWOE2YdESXjkPO2_f5BA_10_5"/>
      <w:bookmarkStart w:id="316" w:name="Tc_FmQ6Rgbg1EGd0I2QzlHhZg_10_2"/>
      <w:bookmarkStart w:id="317" w:name="Tc_fi_tNguIdkaGyvz2-QSKfA_10_0"/>
      <w:bookmarkStart w:id="318" w:name="Tc_RDQjiuDT8E6SSqStFLMk2g_9_17"/>
      <w:bookmarkStart w:id="319" w:name="Tc_z_G-V1E2DEmMoEGNy5swHA_9_14"/>
      <w:bookmarkStart w:id="320" w:name="Tc_wp_UylIzrEKc0Z0qh7VCMg_9_11"/>
      <w:bookmarkStart w:id="321" w:name="Tc_UxBvw4EHk0COs422xP5reQ_9_0"/>
      <w:bookmarkStart w:id="322" w:name="Tc_KfAL9k6CmkOCU_ER_fMIBA_8_14"/>
      <w:bookmarkStart w:id="323" w:name="Tc_yx4omc5qbkqA7QikLiNplw_8_11"/>
      <w:bookmarkStart w:id="324" w:name="Tc_ThqGHnQCX0qRsgd_EtoDhA_8_0"/>
      <w:bookmarkStart w:id="325" w:name="Tc_gcOuIhqKU0iuOwAhC5WcIA_7_17"/>
      <w:bookmarkStart w:id="326" w:name="Tc_GK12QfUmp02HyZnCsnf9Sw_7_14"/>
      <w:bookmarkStart w:id="327" w:name="Tc_MjEZ6QaPxU-xqbuWkNHPQQ_7_11"/>
      <w:bookmarkStart w:id="328" w:name="Tc_LLOS2TKpbUGRCpYB7qCqdw_7_8"/>
      <w:bookmarkStart w:id="329" w:name="Tc_kfyY3BBxwU2wACx0iPifYg_7_5"/>
      <w:bookmarkStart w:id="330" w:name="Tc_CIit2hCWMkagaRD79NuJJw_7_2"/>
      <w:bookmarkStart w:id="331" w:name="Tc_Lqj9kRlljkupMHJ_FXEvwQ_7_0"/>
      <w:bookmarkStart w:id="332" w:name="Tc_UXpoFebOqEOp6wFugqg52A_6_14"/>
      <w:bookmarkStart w:id="333" w:name="Tc_Pln3m33i4UCv9VRqxyH-TA_6_11"/>
      <w:bookmarkStart w:id="334" w:name="Tc_y5fWm7yguUaY-HoGIE-xqg_6_5"/>
      <w:bookmarkStart w:id="335" w:name="Tc_IAx0o-HbeUSKFF0myMdAdQ_6_0"/>
      <w:bookmarkStart w:id="336" w:name="Tc_fkpOAB7A40O9uzWewktobQ_5_16"/>
      <w:bookmarkStart w:id="337" w:name="Tc_qU9U8Tj7FUek5DohDsR9WA_5_13"/>
      <w:bookmarkStart w:id="338" w:name="Tc_SWma80YICEieyKMFKHRgyw_5_10"/>
      <w:bookmarkStart w:id="339" w:name="Tc_gs5THrt1wEqOX5lUxRon8A_5_7"/>
      <w:bookmarkStart w:id="340" w:name="Tc_na4cMxG5xES9DwTN0vUZUw_5_4"/>
      <w:bookmarkStart w:id="341" w:name="Tc_v57FBJebIEWJkV74UviY9g_5_0"/>
      <w:bookmarkStart w:id="342" w:name="Tc_gRxRRno0uU-M6AC-5Nuh0A_4_16"/>
      <w:bookmarkStart w:id="343" w:name="Tc_A9dmsV6fXEeD4eFTyCQcIg_4_13"/>
      <w:bookmarkStart w:id="344" w:name="Tc_Hq_BMQOt20GEAAeICvQgcQ_4_10"/>
      <w:bookmarkStart w:id="345" w:name="Tc_KLv5h-Oub0qf2aJep3qQLg_4_7"/>
      <w:bookmarkStart w:id="346" w:name="Tc_be6jskjMWU2WHKYf26-zQg_4_4"/>
      <w:bookmarkStart w:id="347" w:name="Tc_y8gQa9OtR0OUIjcrEE424A_4_2"/>
      <w:bookmarkStart w:id="348" w:name="Tc_MJXAo5EzCU6stTOMBTaEyA_3_13"/>
      <w:bookmarkStart w:id="349" w:name="Tc_Urc13-ri9kiK5wrcMWjnlQ_3_10"/>
      <w:bookmarkStart w:id="350" w:name="Tc_yLJwN86lpkCcS23EJ3BzVQ_3_7"/>
      <w:bookmarkStart w:id="351" w:name="Tc_JbWcfscwxEOqSfOIyb9M9A_3_2"/>
      <w:bookmarkStart w:id="352" w:name="Tc_VclBHZsRbk2OgvWARAV--Q_2_10"/>
      <w:bookmarkStart w:id="353" w:name="Tc_zHCEhB_Km0qxdp3N2gl0Sg_2_7"/>
      <w:bookmarkStart w:id="354" w:name="Tc_mkYfG-KFGkWoKgk7rfeWOQ_1_10"/>
      <w:bookmarkStart w:id="355" w:name="_2e7e20a5_a451_4611_9878_0bb7a6619791"/>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tbl>
      <w:tblPr>
        <w:tblW w:w="10205" w:type="dxa"/>
        <w:jc w:val="left"/>
        <w:tblInd w:w="0" w:type="dxa"/>
        <w:tblLayout w:type="fixed"/>
        <w:tblCellMar>
          <w:top w:w="0" w:type="dxa"/>
          <w:left w:w="0" w:type="dxa"/>
          <w:bottom w:w="0" w:type="dxa"/>
          <w:right w:w="0" w:type="dxa"/>
        </w:tblCellMar>
      </w:tblPr>
      <w:tblGrid>
        <w:gridCol w:w="2507"/>
        <w:gridCol w:w="346"/>
        <w:gridCol w:w="686"/>
        <w:gridCol w:w="346"/>
        <w:gridCol w:w="230"/>
        <w:gridCol w:w="462"/>
        <w:gridCol w:w="346"/>
        <w:gridCol w:w="211"/>
        <w:gridCol w:w="791"/>
        <w:gridCol w:w="346"/>
        <w:gridCol w:w="370"/>
        <w:gridCol w:w="846"/>
        <w:gridCol w:w="346"/>
        <w:gridCol w:w="211"/>
        <w:gridCol w:w="686"/>
        <w:gridCol w:w="346"/>
        <w:gridCol w:w="221"/>
        <w:gridCol w:w="908"/>
      </w:tblGrid>
      <w:tr>
        <w:trPr/>
        <w:tc>
          <w:tcPr>
            <w:tcW w:w="2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5610" cy="175260"/>
                      <wp:effectExtent l="0" t="0" r="0" b="0"/>
                      <wp:wrapNone/>
                      <wp:docPr id="21" name="Frame2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6050" cy="175260"/>
                      <wp:effectExtent l="0" t="0" r="0" b="0"/>
                      <wp:wrapNone/>
                      <wp:docPr id="23" name="Frame2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93370" cy="175260"/>
                      <wp:effectExtent l="0" t="0" r="0" b="0"/>
                      <wp:wrapNone/>
                      <wp:docPr id="24" name="Frame2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2285" cy="175260"/>
                      <wp:effectExtent l="0" t="0" r="0" b="0"/>
                      <wp:wrapNone/>
                      <wp:docPr id="27" name="Frame2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4950" cy="175260"/>
                      <wp:effectExtent l="0" t="0" r="0" b="0"/>
                      <wp:wrapNone/>
                      <wp:docPr id="29" name="Frame2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7210" cy="175260"/>
                      <wp:effectExtent l="0" t="0" r="0" b="0"/>
                      <wp:wrapNone/>
                      <wp:docPr id="30" name="Frame3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5610" cy="175260"/>
                      <wp:effectExtent l="0" t="0" r="0" b="0"/>
                      <wp:wrapNone/>
                      <wp:docPr id="33" name="Frame3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0335" cy="175260"/>
                      <wp:effectExtent l="0" t="0" r="0" b="0"/>
                      <wp:wrapNone/>
                      <wp:docPr id="35" name="Frame3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76580" cy="175260"/>
                      <wp:effectExtent l="0" t="0" r="0" b="0"/>
                      <wp:wrapNone/>
                      <wp:docPr id="36" name="Frame36"/>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2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r>
      <w:tr>
        <w:trPr/>
        <w:tc>
          <w:tcPr>
            <w:tcW w:w="2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r>
      <w:tr>
        <w:trPr/>
        <w:tc>
          <w:tcPr>
            <w:tcW w:w="25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2, 2026</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14,762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215,269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89,704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304,851 </w:t>
            </w:r>
          </w:p>
        </w:tc>
      </w:tr>
      <w:tr>
        <w:trPr/>
        <w:tc>
          <w:tcPr>
            <w:tcW w:w="2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r>
      <w:tr>
        <w:trPr/>
        <w:tc>
          <w:tcPr>
            <w:tcW w:w="25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r>
      <w:tr>
        <w:trPr/>
        <w:tc>
          <w:tcPr>
            <w:tcW w:w="25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rPr/>
        <w:tc>
          <w:tcPr>
            <w:tcW w:w="25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r>
      <w:tr>
        <w:trPr/>
        <w:tc>
          <w:tcPr>
            <w:tcW w:w="2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25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3, 2026</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14,966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212,112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98,234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310,345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6" w:name="Tc_b3yWSEV-1kqOspaUZtVTMA_14_16"/>
      <w:bookmarkStart w:id="357" w:name="Tc_Qg2D7VrzTkuHMhFyzixFYA_14_13"/>
      <w:bookmarkStart w:id="358" w:name="Tc_ouGRgskEX0eWWzZ_R94oRw_14_10"/>
      <w:bookmarkStart w:id="359" w:name="Tc_1pNC71ZBGkSi2vEMgq9-Ww_14_7"/>
      <w:bookmarkStart w:id="360" w:name="Tc_VXLI4Y9Xw0ypLanpoo9QZw_14_4"/>
      <w:bookmarkStart w:id="361" w:name="Tc_ddrSWsa65k-UtIfauPqRsg_14_0"/>
      <w:bookmarkStart w:id="362" w:name="Tc_tKkclyTS_k6Nvc7hSn8vmA_13_14"/>
      <w:bookmarkStart w:id="363" w:name="Tc_yp-nlEq9lEG7-rCg4vmW1A_13_8"/>
      <w:bookmarkStart w:id="364" w:name="Tc_NZgogHbYj0qdmew7O9RZZQ_13_5"/>
      <w:bookmarkStart w:id="365" w:name="Tc_129v6SarBUWybTi3R6bohw_13_2"/>
      <w:bookmarkStart w:id="366" w:name="Tc_wuQDfgN7wkeT5ha3d0qfiA_13_0"/>
      <w:bookmarkStart w:id="367" w:name="Tc_3-yyc_W57k6EqeHWY1jV8Q_12_11"/>
      <w:bookmarkStart w:id="368" w:name="Tc_n5qkbtxWOkOmbV0FEsFdyQ_12_8"/>
      <w:bookmarkStart w:id="369" w:name="Tc_qc8tKLeJOkiZFI2kLN0pyg_12_5"/>
      <w:bookmarkStart w:id="370" w:name="Tc_aVsofRJzGkuXoYFNruMEGA_12_2"/>
      <w:bookmarkStart w:id="371" w:name="Tc_5P2nA6hyZE-nSSzucvVYNw_12_0"/>
      <w:bookmarkStart w:id="372" w:name="Tc_UnZtGl6810ypAgIl7uzHiQ_11_14"/>
      <w:bookmarkStart w:id="373" w:name="Tc_L7hXOMGOPU-C8EnQR3_glg_11_11"/>
      <w:bookmarkStart w:id="374" w:name="Tc_Mw1iPLhLj0q1c3IySBRKhA_11_5"/>
      <w:bookmarkStart w:id="375" w:name="Tc_v8okFUUYDUaCXmM5oCKj3A_11_2"/>
      <w:bookmarkStart w:id="376" w:name="Tc_aXqRlP_R3UmucP_b1vBlxA_11_0"/>
      <w:bookmarkStart w:id="377" w:name="Tc_jyfZVEFJskSGHoPSSM5GRg_10_14"/>
      <w:bookmarkStart w:id="378" w:name="Tc_dh-Lmete9kCRiKtHkNOwUQ_10_11"/>
      <w:bookmarkStart w:id="379" w:name="Tc_YpxtPRqXyka9OkfLvuj7JQ_10_0"/>
      <w:bookmarkStart w:id="380" w:name="Tc_DRqLts7sykGyAFYKo6cHoQ_9_17"/>
      <w:bookmarkStart w:id="381" w:name="Tc_3wwx8n-S1ku2sTD_gxomSg_9_14"/>
      <w:bookmarkStart w:id="382" w:name="Tc_otS-eg7Mmki0RG3_K-9vqg_9_11"/>
      <w:bookmarkStart w:id="383" w:name="Tc_7PHIXbzcHki3mfEY4fONLQ_9_0"/>
      <w:bookmarkStart w:id="384" w:name="Tc_ACf-f37zp0ir69KCCGd8wQ_8_14"/>
      <w:bookmarkStart w:id="385" w:name="Tc_Yy05HJ7l4EWKT7Z8pBEAIQ_8_11"/>
      <w:bookmarkStart w:id="386" w:name="Tc_4ItFUAlQK0qhMn0zl8AvEQ_8_0"/>
      <w:bookmarkStart w:id="387" w:name="Tc_PwBsEpPSqEGqSnatWe3mLg_7_14"/>
      <w:bookmarkStart w:id="388" w:name="Tc_Em9gnNzqa0-gw9fcrOJ6uQ_7_11"/>
      <w:bookmarkStart w:id="389" w:name="Tc_iAlBErnci0SIiB6Qrq60Hg_7_5"/>
      <w:bookmarkStart w:id="390" w:name="Tc_8qPo50vdDUaq2y6kK9C5QQ_7_0"/>
      <w:bookmarkStart w:id="391" w:name="Tc_WCgku_aFu0eFfbfXrdKgDg_6_14"/>
      <w:bookmarkStart w:id="392" w:name="Tc_NzxRNXGJ7kyeJ7TRbXED-g_6_11"/>
      <w:bookmarkStart w:id="393" w:name="Tc_n4aztxeXvUOuh2d1Tc2-hg_6_5"/>
      <w:bookmarkStart w:id="394" w:name="Tc_OaZLvdPak0-pIu5OuYb-YA_6_0"/>
      <w:bookmarkStart w:id="395" w:name="Tc_JU1guPvt8k6uAZvCPktExQ_5_16"/>
      <w:bookmarkStart w:id="396" w:name="Tc_0HB67x-4302hs1ACavt6bQ_5_13"/>
      <w:bookmarkStart w:id="397" w:name="Tc_-uDJaP7CiE2w3OLuNi0skw_5_10"/>
      <w:bookmarkStart w:id="398" w:name="Tc_PFq2OEbaUESjwIt8o_cYAg_5_7"/>
      <w:bookmarkStart w:id="399" w:name="Tc_Kt0wAvEsNUKc2KdaUMCQzQ_5_4"/>
      <w:bookmarkStart w:id="400" w:name="Tc_OKtjckmzDk67S2qMPlS03Q_5_0"/>
      <w:bookmarkStart w:id="401" w:name="Tc_yTr5WaVtPUqK9tR4ofvm5Q_4_16"/>
      <w:bookmarkStart w:id="402" w:name="Tc_vJa4JVi55kuL8gXV9Gyn5Q_4_13"/>
      <w:bookmarkStart w:id="403" w:name="Tc_YahupJzzDEmY_mUdH4_VPg_4_10"/>
      <w:bookmarkStart w:id="404" w:name="Tc_6rhN2vYKxEm8BOslrTqrXg_4_7"/>
      <w:bookmarkStart w:id="405" w:name="Tc__TemBG54rUeXdhVm26Vjsw_4_4"/>
      <w:bookmarkStart w:id="406" w:name="Tc_INkVoorj00S1MTkE941nMw_4_2"/>
      <w:bookmarkStart w:id="407" w:name="Tc_kOId6Lp31kuUfwDS2fZQfw_3_13"/>
      <w:bookmarkStart w:id="408" w:name="Tc_eNREImqTlU6QJ-5_zXm8Lw_3_10"/>
      <w:bookmarkStart w:id="409" w:name="Tc_X9y0pKPYRESDhpGC-yF0IA_3_7"/>
      <w:bookmarkStart w:id="410" w:name="Tc_WW0SLJM38UeoGmrTmTVIKw_3_2"/>
      <w:bookmarkStart w:id="411" w:name="Tc_tLKqWk2YZkyzFb0yvx3CGQ_2_10"/>
      <w:bookmarkStart w:id="412" w:name="Tc_RfEIOxgae0e2lfHp10iFoQ_2_7"/>
      <w:bookmarkStart w:id="413" w:name="Tc_QZIHeRhPoEGPRcTU-5g3Aw_1_10"/>
      <w:bookmarkStart w:id="414" w:name="_3030306c_de9d_4eb6_bb95_3940f3be0f05"/>
      <w:bookmarkStart w:id="415" w:name="Tc_b3yWSEV-1kqOspaUZtVTMA_14_16"/>
      <w:bookmarkStart w:id="416" w:name="Tc_Qg2D7VrzTkuHMhFyzixFYA_14_13"/>
      <w:bookmarkStart w:id="417" w:name="Tc_ouGRgskEX0eWWzZ_R94oRw_14_10"/>
      <w:bookmarkStart w:id="418" w:name="Tc_1pNC71ZBGkSi2vEMgq9-Ww_14_7"/>
      <w:bookmarkStart w:id="419" w:name="Tc_VXLI4Y9Xw0ypLanpoo9QZw_14_4"/>
      <w:bookmarkStart w:id="420" w:name="Tc_ddrSWsa65k-UtIfauPqRsg_14_0"/>
      <w:bookmarkStart w:id="421" w:name="Tc_tKkclyTS_k6Nvc7hSn8vmA_13_14"/>
      <w:bookmarkStart w:id="422" w:name="Tc_yp-nlEq9lEG7-rCg4vmW1A_13_8"/>
      <w:bookmarkStart w:id="423" w:name="Tc_NZgogHbYj0qdmew7O9RZZQ_13_5"/>
      <w:bookmarkStart w:id="424" w:name="Tc_129v6SarBUWybTi3R6bohw_13_2"/>
      <w:bookmarkStart w:id="425" w:name="Tc_wuQDfgN7wkeT5ha3d0qfiA_13_0"/>
      <w:bookmarkStart w:id="426" w:name="Tc_3-yyc_W57k6EqeHWY1jV8Q_12_11"/>
      <w:bookmarkStart w:id="427" w:name="Tc_n5qkbtxWOkOmbV0FEsFdyQ_12_8"/>
      <w:bookmarkStart w:id="428" w:name="Tc_qc8tKLeJOkiZFI2kLN0pyg_12_5"/>
      <w:bookmarkStart w:id="429" w:name="Tc_aVsofRJzGkuXoYFNruMEGA_12_2"/>
      <w:bookmarkStart w:id="430" w:name="Tc_5P2nA6hyZE-nSSzucvVYNw_12_0"/>
      <w:bookmarkStart w:id="431" w:name="Tc_UnZtGl6810ypAgIl7uzHiQ_11_14"/>
      <w:bookmarkStart w:id="432" w:name="Tc_L7hXOMGOPU-C8EnQR3_glg_11_11"/>
      <w:bookmarkStart w:id="433" w:name="Tc_Mw1iPLhLj0q1c3IySBRKhA_11_5"/>
      <w:bookmarkStart w:id="434" w:name="Tc_v8okFUUYDUaCXmM5oCKj3A_11_2"/>
      <w:bookmarkStart w:id="435" w:name="Tc_aXqRlP_R3UmucP_b1vBlxA_11_0"/>
      <w:bookmarkStart w:id="436" w:name="Tc_jyfZVEFJskSGHoPSSM5GRg_10_14"/>
      <w:bookmarkStart w:id="437" w:name="Tc_dh-Lmete9kCRiKtHkNOwUQ_10_11"/>
      <w:bookmarkStart w:id="438" w:name="Tc_YpxtPRqXyka9OkfLvuj7JQ_10_0"/>
      <w:bookmarkStart w:id="439" w:name="Tc_DRqLts7sykGyAFYKo6cHoQ_9_17"/>
      <w:bookmarkStart w:id="440" w:name="Tc_3wwx8n-S1ku2sTD_gxomSg_9_14"/>
      <w:bookmarkStart w:id="441" w:name="Tc_otS-eg7Mmki0RG3_K-9vqg_9_11"/>
      <w:bookmarkStart w:id="442" w:name="Tc_7PHIXbzcHki3mfEY4fONLQ_9_0"/>
      <w:bookmarkStart w:id="443" w:name="Tc_ACf-f37zp0ir69KCCGd8wQ_8_14"/>
      <w:bookmarkStart w:id="444" w:name="Tc_Yy05HJ7l4EWKT7Z8pBEAIQ_8_11"/>
      <w:bookmarkStart w:id="445" w:name="Tc_4ItFUAlQK0qhMn0zl8AvEQ_8_0"/>
      <w:bookmarkStart w:id="446" w:name="Tc_PwBsEpPSqEGqSnatWe3mLg_7_14"/>
      <w:bookmarkStart w:id="447" w:name="Tc_Em9gnNzqa0-gw9fcrOJ6uQ_7_11"/>
      <w:bookmarkStart w:id="448" w:name="Tc_iAlBErnci0SIiB6Qrq60Hg_7_5"/>
      <w:bookmarkStart w:id="449" w:name="Tc_8qPo50vdDUaq2y6kK9C5QQ_7_0"/>
      <w:bookmarkStart w:id="450" w:name="Tc_WCgku_aFu0eFfbfXrdKgDg_6_14"/>
      <w:bookmarkStart w:id="451" w:name="Tc_NzxRNXGJ7kyeJ7TRbXED-g_6_11"/>
      <w:bookmarkStart w:id="452" w:name="Tc_n4aztxeXvUOuh2d1Tc2-hg_6_5"/>
      <w:bookmarkStart w:id="453" w:name="Tc_OaZLvdPak0-pIu5OuYb-YA_6_0"/>
      <w:bookmarkStart w:id="454" w:name="Tc_JU1guPvt8k6uAZvCPktExQ_5_16"/>
      <w:bookmarkStart w:id="455" w:name="Tc_0HB67x-4302hs1ACavt6bQ_5_13"/>
      <w:bookmarkStart w:id="456" w:name="Tc_-uDJaP7CiE2w3OLuNi0skw_5_10"/>
      <w:bookmarkStart w:id="457" w:name="Tc_PFq2OEbaUESjwIt8o_cYAg_5_7"/>
      <w:bookmarkStart w:id="458" w:name="Tc_Kt0wAvEsNUKc2KdaUMCQzQ_5_4"/>
      <w:bookmarkStart w:id="459" w:name="Tc_OKtjckmzDk67S2qMPlS03Q_5_0"/>
      <w:bookmarkStart w:id="460" w:name="Tc_yTr5WaVtPUqK9tR4ofvm5Q_4_16"/>
      <w:bookmarkStart w:id="461" w:name="Tc_vJa4JVi55kuL8gXV9Gyn5Q_4_13"/>
      <w:bookmarkStart w:id="462" w:name="Tc_YahupJzzDEmY_mUdH4_VPg_4_10"/>
      <w:bookmarkStart w:id="463" w:name="Tc_6rhN2vYKxEm8BOslrTqrXg_4_7"/>
      <w:bookmarkStart w:id="464" w:name="Tc__TemBG54rUeXdhVm26Vjsw_4_4"/>
      <w:bookmarkStart w:id="465" w:name="Tc_INkVoorj00S1MTkE941nMw_4_2"/>
      <w:bookmarkStart w:id="466" w:name="Tc_kOId6Lp31kuUfwDS2fZQfw_3_13"/>
      <w:bookmarkStart w:id="467" w:name="Tc_eNREImqTlU6QJ-5_zXm8Lw_3_10"/>
      <w:bookmarkStart w:id="468" w:name="Tc_X9y0pKPYRESDhpGC-yF0IA_3_7"/>
      <w:bookmarkStart w:id="469" w:name="Tc_WW0SLJM38UeoGmrTmTVIKw_3_2"/>
      <w:bookmarkStart w:id="470" w:name="Tc_tLKqWk2YZkyzFb0yvx3CGQ_2_10"/>
      <w:bookmarkStart w:id="471" w:name="Tc_RfEIOxgae0e2lfHp10iFoQ_2_7"/>
      <w:bookmarkStart w:id="472" w:name="Tc_QZIHeRhPoEGPRcTU-5g3Aw_1_10"/>
      <w:bookmarkStart w:id="473" w:name="_3030306c_de9d_4eb6_bb95_3940f3be0f05"/>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tbl>
      <w:tblPr>
        <w:tblW w:w="10205" w:type="dxa"/>
        <w:jc w:val="left"/>
        <w:tblInd w:w="0" w:type="dxa"/>
        <w:tblLayout w:type="fixed"/>
        <w:tblCellMar>
          <w:top w:w="0" w:type="dxa"/>
          <w:left w:w="0" w:type="dxa"/>
          <w:bottom w:w="0" w:type="dxa"/>
          <w:right w:w="0" w:type="dxa"/>
        </w:tblCellMar>
      </w:tblPr>
      <w:tblGrid>
        <w:gridCol w:w="2517"/>
        <w:gridCol w:w="346"/>
        <w:gridCol w:w="686"/>
        <w:gridCol w:w="346"/>
        <w:gridCol w:w="230"/>
        <w:gridCol w:w="462"/>
        <w:gridCol w:w="346"/>
        <w:gridCol w:w="211"/>
        <w:gridCol w:w="791"/>
        <w:gridCol w:w="346"/>
        <w:gridCol w:w="370"/>
        <w:gridCol w:w="846"/>
        <w:gridCol w:w="346"/>
        <w:gridCol w:w="211"/>
        <w:gridCol w:w="686"/>
        <w:gridCol w:w="346"/>
        <w:gridCol w:w="211"/>
        <w:gridCol w:w="908"/>
      </w:tblGrid>
      <w:tr>
        <w:trPr/>
        <w:tc>
          <w:tcPr>
            <w:tcW w:w="2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lef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center"/>
              <w:rPr/>
            </w:pPr>
            <w:r>
              <w:rPr/>
              <w:t>​</w:t>
            </w:r>
          </w:p>
        </w:tc>
      </w:tr>
      <w:tr>
        <w:trPr/>
        <w:tc>
          <w:tcPr>
            <w:tcW w:w="25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14,169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197,368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37,147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234,343 </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2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5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4, 2025</w:t>
            </w:r>
          </w:p>
        </w:tc>
        <w:tc>
          <w:tcPr>
            <w:tcW w:w="34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14,497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204,036 </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41,834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245,516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474" w:name="_985dc7fd_ee2e_4329_bd69_7d4b085fcd9d"/>
      <w:bookmarkEnd w:id="474"/>
      <w:r>
        <w:rPr>
          <w:rFonts w:ascii="Times New Roman;Times;serif" w:hAnsi="Times New Roman;Times;serif"/>
          <w:b/>
          <w:sz w:val="20"/>
        </w:rPr>
        <w:t>WILLDAN GROUP, INC. AND SUBSIDIARIES</w:t>
      </w:r>
    </w:p>
    <w:p>
      <w:pPr>
        <w:pStyle w:val="TextBody"/>
        <w:bidi w:val="0"/>
        <w:spacing w:lineRule="atLeast" w:line="200" w:before="0" w:after="0"/>
        <w:ind w:left="0" w:right="0" w:hanging="0"/>
        <w:jc w:val="center"/>
        <w:rPr>
          <w:rFonts w:ascii="Times New Roman;Times;serif" w:hAnsi="Times New Roman;Times;serif"/>
          <w:b/>
          <w:sz w:val="20"/>
        </w:rPr>
      </w:pPr>
      <w:bookmarkStart w:id="475" w:name="CONSOLIDATEDSTATEMENTSOFCASHFLOWS_554577"/>
      <w:bookmarkEnd w:id="475"/>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6" w:name="Tc_zZg5kTWj3Emr-QpIK3gqaQ_52_0"/>
      <w:bookmarkStart w:id="477" w:name="Tc_VELt9FuXtUS8WhfiadAqjA_51_3"/>
      <w:bookmarkStart w:id="478" w:name="Tc_VyZzu8vJQUiG-1za2P7sag_51_0"/>
      <w:bookmarkStart w:id="479" w:name="Tc_NMug14i2e0a0ygfvcbZ5Cg_50_5"/>
      <w:bookmarkStart w:id="480" w:name="Tc_FLXR31vToUqN5ZhHjR_WAw_50_3"/>
      <w:bookmarkStart w:id="481" w:name="Tc_Q5vCobLv4USAW7R3TnLTyw_50_2"/>
      <w:bookmarkStart w:id="482" w:name="Tc_UgwX4aqSlUeXPaeQ2PoRsg_50_0"/>
      <w:bookmarkStart w:id="483" w:name="Tc_q_8Sjfg0M0C-I-ifqlPcHA_49_0"/>
      <w:bookmarkStart w:id="484" w:name="Tc_xgSSU4njdEyINEyb999SOQ_48_0"/>
      <w:bookmarkStart w:id="485" w:name="Tc_5XVXYq-XLkCzmzI3fF27Qg_47_5"/>
      <w:bookmarkStart w:id="486" w:name="Tc_q-u9gDMRY0SXwI5uMNr0hw_47_2"/>
      <w:bookmarkStart w:id="487" w:name="Tc_1gqdczx8X0KHl72SkpyTfQ_47_0"/>
      <w:bookmarkStart w:id="488" w:name="Tc_bACdy-ZnrkyAGCZvp7Or6w_46_0"/>
      <w:bookmarkStart w:id="489" w:name="Tc_aKNy_Hs6zEGaS3YHn6Q6Zg_45_0"/>
      <w:bookmarkStart w:id="490" w:name="Tc_3s2QX9EFiEOFiS_8puIlEA_44_5"/>
      <w:bookmarkStart w:id="491" w:name="Tc_ifZmGZGcaUyQx4rrcikO8g_44_2"/>
      <w:bookmarkStart w:id="492" w:name="Tc_xMhY8K0Yt0etj2XMpg08og_44_0"/>
      <w:bookmarkStart w:id="493" w:name="Tc_xx4QOYDcA0Cw70KjQSCO_A_43_0"/>
      <w:bookmarkStart w:id="494" w:name="Tc__16Q5UUasEWDPQQax2ayJg_42_0"/>
      <w:bookmarkStart w:id="495" w:name="Tc_TNYE3NRX1EqaENDgjL--Pg_41_0"/>
      <w:bookmarkStart w:id="496" w:name="Tc_KbhJC_EiZUOKtuHIqwE-tA_40_0"/>
      <w:bookmarkStart w:id="497" w:name="Tc_XgmVoosB0UqvcyVKuTQTyg_39_0"/>
      <w:bookmarkStart w:id="498" w:name="Tc_9PMz-IQfmkWTeviITXyRLA_38_3"/>
      <w:bookmarkStart w:id="499" w:name="Tc_GBeaDtM1OE6Epq68rKXnSw_38_0"/>
      <w:bookmarkStart w:id="500" w:name="Tc_--ANKqRVfk22h0Maly2G1g_37_0"/>
      <w:bookmarkStart w:id="501" w:name="Tc_yTxrvC7WJ0yvx-wKBuUmHg_36_6"/>
      <w:bookmarkStart w:id="502" w:name="Tc_GS5MHz28WkagfhllKu1gOQ_36_0"/>
      <w:bookmarkStart w:id="503" w:name="Tc_srHMABRyIkmrN06lqL6vXQ_35_3"/>
      <w:bookmarkStart w:id="504" w:name="Tc_cxaqF-JudUC9_5o5YEa09w_35_0"/>
      <w:bookmarkStart w:id="505" w:name="Tc_E4n9D2fs8UeLmjCW4NDiMw_34_3"/>
      <w:bookmarkStart w:id="506" w:name="Tc_Pm9JuDhphk-XB5_dJFkq_Q_34_0"/>
      <w:bookmarkStart w:id="507" w:name="Tc_Fy2ZcXn_OUyRC89tqsh9jw_33_6"/>
      <w:bookmarkStart w:id="508" w:name="Tc_yp2-PpD5AEy1JuQ0TY9U_Q_33_3"/>
      <w:bookmarkStart w:id="509" w:name="Tc_AVyjfeNmlEuF1L6gNpBsrg_33_0"/>
      <w:bookmarkStart w:id="510" w:name="Tc_-P7yGXVmtUiyR5i6eCcAXw_32_6"/>
      <w:bookmarkStart w:id="511" w:name="Tc_gThShKz5rk-mxOuAGsQ9KA_32_0"/>
      <w:bookmarkStart w:id="512" w:name="Tc_fK8jJeD6M0qwK_wCsfMpiw_31_6"/>
      <w:bookmarkStart w:id="513" w:name="Tc_tWJXjGOvxUCv_gAh6iMn9g_31_0"/>
      <w:bookmarkStart w:id="514" w:name="Tc_LxnifiywqE-7j_x7677xyQ_30_0"/>
      <w:bookmarkStart w:id="515" w:name="Tc_HP2ZnhDt1Em0kpqeGNXPLw_29_0"/>
      <w:bookmarkStart w:id="516" w:name="Tc_DPk9oEfzo0mneJcPeKj09A_28_0"/>
      <w:bookmarkStart w:id="517" w:name="Tc_IXIIWMyioEaNpRXxTXlS2A_27_0"/>
      <w:bookmarkStart w:id="518" w:name="Tc_pdCRC2h1Gk6T-6ZCkzkY9A_26_0"/>
      <w:bookmarkStart w:id="519" w:name="Tc_H9zq5Ni1TEmdkwSduG-e9A_25_0"/>
      <w:bookmarkStart w:id="520" w:name="Tc_LiwrrRHiHk6YM2tbE2FyJA_24_0"/>
      <w:bookmarkStart w:id="521" w:name="Tc_UnUzuUCrhkCx7fHWAqvIjw_23_0"/>
      <w:bookmarkStart w:id="522" w:name="Tc_27UxuiG7vUCQseAqBxOBMw_22_0"/>
      <w:bookmarkStart w:id="523" w:name="Tc_NFa6EVRLrEmNhjTwM_wYcA_21_0"/>
      <w:bookmarkStart w:id="524" w:name="Tc_nDK9B4xx5UyxM7c7bC_OEg_20_0"/>
      <w:bookmarkStart w:id="525" w:name="Tc_Eq2IQWSML0SVPJeGah2UtQ_19_0"/>
      <w:bookmarkStart w:id="526" w:name="Tc_0vmD4p4xaE2zSDuGh6tAiQ_18_0"/>
      <w:bookmarkStart w:id="527" w:name="Tc_WoarPWdF4UGj4GWuW0aJzw_17_0"/>
      <w:bookmarkStart w:id="528" w:name="Tc_S7QrTuOvX06M-n4p0p8_lw_16_0"/>
      <w:bookmarkStart w:id="529" w:name="Tc_ICE65aGw4EyRfuT9wfELsA_15_0"/>
      <w:bookmarkStart w:id="530" w:name="Tc__zjiCesmKEej4Ib8BYBGQw_14_0"/>
      <w:bookmarkStart w:id="531" w:name="Tc_0OLPrZCP9kictECVt2STUQ_13_0"/>
      <w:bookmarkStart w:id="532" w:name="Tc_rFgBpune7kaXxmtKGEd8MA_12_0"/>
      <w:bookmarkStart w:id="533" w:name="Tc_8Op0gEi10U6YkZjsWH4CyQ_11_0"/>
      <w:bookmarkStart w:id="534" w:name="Tc_9vfZGoTR20qDFh_6ukPNNQ_10_0"/>
      <w:bookmarkStart w:id="535" w:name="Tc_4jpt2Vcn0EexWW6Q3TjTHA_9_0"/>
      <w:bookmarkStart w:id="536" w:name="Tc_7Itd1NhFqUC_avzdkrXgTg_8_0"/>
      <w:bookmarkStart w:id="537" w:name="Tc_gP4fTNafgk6ACEDZVQdRNw_7_0"/>
      <w:bookmarkStart w:id="538" w:name="Tc_8CdP5kewWESWF0YKRaV4Qw_6_0"/>
      <w:bookmarkStart w:id="539" w:name="Tc_doqF2ydfv0-vkooyHGJC4w_5_5"/>
      <w:bookmarkStart w:id="540" w:name="Tc_CkLjlHtpp0akW0nMQhdbcQ_5_2"/>
      <w:bookmarkStart w:id="541" w:name="Tc_D7iGfuoAW0SMrT_JSqy32g_5_0"/>
      <w:bookmarkStart w:id="542" w:name="Tc_3sRkr_ZG4kqb858SQaSl1w_4_0"/>
      <w:bookmarkStart w:id="543" w:name="Tc_np3uGIdOzkm1psuoonQ5dg_3_5"/>
      <w:bookmarkStart w:id="544" w:name="Tc_RlmAqugQn020d0OYLXPP8w_3_2"/>
      <w:bookmarkStart w:id="545" w:name="Tc_rRUweGDq7kWE1nKe6qTwKg_2_5"/>
      <w:bookmarkStart w:id="546" w:name="Tc_AH46sLUZzEewZZJznEuGgA_2_2"/>
      <w:bookmarkStart w:id="547" w:name="Tc_7UEVNXZ9yUeziKLWSex3hw_1_2"/>
      <w:bookmarkStart w:id="548" w:name="_31a030d4_5118_4071_9295_08e350874241"/>
      <w:bookmarkStart w:id="549" w:name="Tc_zZg5kTWj3Emr-QpIK3gqaQ_52_0"/>
      <w:bookmarkStart w:id="550" w:name="Tc_VELt9FuXtUS8WhfiadAqjA_51_3"/>
      <w:bookmarkStart w:id="551" w:name="Tc_VyZzu8vJQUiG-1za2P7sag_51_0"/>
      <w:bookmarkStart w:id="552" w:name="Tc_NMug14i2e0a0ygfvcbZ5Cg_50_5"/>
      <w:bookmarkStart w:id="553" w:name="Tc_FLXR31vToUqN5ZhHjR_WAw_50_3"/>
      <w:bookmarkStart w:id="554" w:name="Tc_Q5vCobLv4USAW7R3TnLTyw_50_2"/>
      <w:bookmarkStart w:id="555" w:name="Tc_UgwX4aqSlUeXPaeQ2PoRsg_50_0"/>
      <w:bookmarkStart w:id="556" w:name="Tc_q_8Sjfg0M0C-I-ifqlPcHA_49_0"/>
      <w:bookmarkStart w:id="557" w:name="Tc_xgSSU4njdEyINEyb999SOQ_48_0"/>
      <w:bookmarkStart w:id="558" w:name="Tc_5XVXYq-XLkCzmzI3fF27Qg_47_5"/>
      <w:bookmarkStart w:id="559" w:name="Tc_q-u9gDMRY0SXwI5uMNr0hw_47_2"/>
      <w:bookmarkStart w:id="560" w:name="Tc_1gqdczx8X0KHl72SkpyTfQ_47_0"/>
      <w:bookmarkStart w:id="561" w:name="Tc_bACdy-ZnrkyAGCZvp7Or6w_46_0"/>
      <w:bookmarkStart w:id="562" w:name="Tc_aKNy_Hs6zEGaS3YHn6Q6Zg_45_0"/>
      <w:bookmarkStart w:id="563" w:name="Tc_3s2QX9EFiEOFiS_8puIlEA_44_5"/>
      <w:bookmarkStart w:id="564" w:name="Tc_ifZmGZGcaUyQx4rrcikO8g_44_2"/>
      <w:bookmarkStart w:id="565" w:name="Tc_xMhY8K0Yt0etj2XMpg08og_44_0"/>
      <w:bookmarkStart w:id="566" w:name="Tc_xx4QOYDcA0Cw70KjQSCO_A_43_0"/>
      <w:bookmarkStart w:id="567" w:name="Tc__16Q5UUasEWDPQQax2ayJg_42_0"/>
      <w:bookmarkStart w:id="568" w:name="Tc_TNYE3NRX1EqaENDgjL--Pg_41_0"/>
      <w:bookmarkStart w:id="569" w:name="Tc_KbhJC_EiZUOKtuHIqwE-tA_40_0"/>
      <w:bookmarkStart w:id="570" w:name="Tc_XgmVoosB0UqvcyVKuTQTyg_39_0"/>
      <w:bookmarkStart w:id="571" w:name="Tc_9PMz-IQfmkWTeviITXyRLA_38_3"/>
      <w:bookmarkStart w:id="572" w:name="Tc_GBeaDtM1OE6Epq68rKXnSw_38_0"/>
      <w:bookmarkStart w:id="573" w:name="Tc_--ANKqRVfk22h0Maly2G1g_37_0"/>
      <w:bookmarkStart w:id="574" w:name="Tc_yTxrvC7WJ0yvx-wKBuUmHg_36_6"/>
      <w:bookmarkStart w:id="575" w:name="Tc_GS5MHz28WkagfhllKu1gOQ_36_0"/>
      <w:bookmarkStart w:id="576" w:name="Tc_srHMABRyIkmrN06lqL6vXQ_35_3"/>
      <w:bookmarkStart w:id="577" w:name="Tc_cxaqF-JudUC9_5o5YEa09w_35_0"/>
      <w:bookmarkStart w:id="578" w:name="Tc_E4n9D2fs8UeLmjCW4NDiMw_34_3"/>
      <w:bookmarkStart w:id="579" w:name="Tc_Pm9JuDhphk-XB5_dJFkq_Q_34_0"/>
      <w:bookmarkStart w:id="580" w:name="Tc_Fy2ZcXn_OUyRC89tqsh9jw_33_6"/>
      <w:bookmarkStart w:id="581" w:name="Tc_yp2-PpD5AEy1JuQ0TY9U_Q_33_3"/>
      <w:bookmarkStart w:id="582" w:name="Tc_AVyjfeNmlEuF1L6gNpBsrg_33_0"/>
      <w:bookmarkStart w:id="583" w:name="Tc_-P7yGXVmtUiyR5i6eCcAXw_32_6"/>
      <w:bookmarkStart w:id="584" w:name="Tc_gThShKz5rk-mxOuAGsQ9KA_32_0"/>
      <w:bookmarkStart w:id="585" w:name="Tc_fK8jJeD6M0qwK_wCsfMpiw_31_6"/>
      <w:bookmarkStart w:id="586" w:name="Tc_tWJXjGOvxUCv_gAh6iMn9g_31_0"/>
      <w:bookmarkStart w:id="587" w:name="Tc_LxnifiywqE-7j_x7677xyQ_30_0"/>
      <w:bookmarkStart w:id="588" w:name="Tc_HP2ZnhDt1Em0kpqeGNXPLw_29_0"/>
      <w:bookmarkStart w:id="589" w:name="Tc_DPk9oEfzo0mneJcPeKj09A_28_0"/>
      <w:bookmarkStart w:id="590" w:name="Tc_IXIIWMyioEaNpRXxTXlS2A_27_0"/>
      <w:bookmarkStart w:id="591" w:name="Tc_pdCRC2h1Gk6T-6ZCkzkY9A_26_0"/>
      <w:bookmarkStart w:id="592" w:name="Tc_H9zq5Ni1TEmdkwSduG-e9A_25_0"/>
      <w:bookmarkStart w:id="593" w:name="Tc_LiwrrRHiHk6YM2tbE2FyJA_24_0"/>
      <w:bookmarkStart w:id="594" w:name="Tc_UnUzuUCrhkCx7fHWAqvIjw_23_0"/>
      <w:bookmarkStart w:id="595" w:name="Tc_27UxuiG7vUCQseAqBxOBMw_22_0"/>
      <w:bookmarkStart w:id="596" w:name="Tc_NFa6EVRLrEmNhjTwM_wYcA_21_0"/>
      <w:bookmarkStart w:id="597" w:name="Tc_nDK9B4xx5UyxM7c7bC_OEg_20_0"/>
      <w:bookmarkStart w:id="598" w:name="Tc_Eq2IQWSML0SVPJeGah2UtQ_19_0"/>
      <w:bookmarkStart w:id="599" w:name="Tc_0vmD4p4xaE2zSDuGh6tAiQ_18_0"/>
      <w:bookmarkStart w:id="600" w:name="Tc_WoarPWdF4UGj4GWuW0aJzw_17_0"/>
      <w:bookmarkStart w:id="601" w:name="Tc_S7QrTuOvX06M-n4p0p8_lw_16_0"/>
      <w:bookmarkStart w:id="602" w:name="Tc_ICE65aGw4EyRfuT9wfELsA_15_0"/>
      <w:bookmarkStart w:id="603" w:name="Tc__zjiCesmKEej4Ib8BYBGQw_14_0"/>
      <w:bookmarkStart w:id="604" w:name="Tc_0OLPrZCP9kictECVt2STUQ_13_0"/>
      <w:bookmarkStart w:id="605" w:name="Tc_rFgBpune7kaXxmtKGEd8MA_12_0"/>
      <w:bookmarkStart w:id="606" w:name="Tc_8Op0gEi10U6YkZjsWH4CyQ_11_0"/>
      <w:bookmarkStart w:id="607" w:name="Tc_9vfZGoTR20qDFh_6ukPNNQ_10_0"/>
      <w:bookmarkStart w:id="608" w:name="Tc_4jpt2Vcn0EexWW6Q3TjTHA_9_0"/>
      <w:bookmarkStart w:id="609" w:name="Tc_7Itd1NhFqUC_avzdkrXgTg_8_0"/>
      <w:bookmarkStart w:id="610" w:name="Tc_gP4fTNafgk6ACEDZVQdRNw_7_0"/>
      <w:bookmarkStart w:id="611" w:name="Tc_8CdP5kewWESWF0YKRaV4Qw_6_0"/>
      <w:bookmarkStart w:id="612" w:name="Tc_doqF2ydfv0-vkooyHGJC4w_5_5"/>
      <w:bookmarkStart w:id="613" w:name="Tc_CkLjlHtpp0akW0nMQhdbcQ_5_2"/>
      <w:bookmarkStart w:id="614" w:name="Tc_D7iGfuoAW0SMrT_JSqy32g_5_0"/>
      <w:bookmarkStart w:id="615" w:name="Tc_3sRkr_ZG4kqb858SQaSl1w_4_0"/>
      <w:bookmarkStart w:id="616" w:name="Tc_np3uGIdOzkm1psuoonQ5dg_3_5"/>
      <w:bookmarkStart w:id="617" w:name="Tc_RlmAqugQn020d0OYLXPP8w_3_2"/>
      <w:bookmarkStart w:id="618" w:name="Tc_rRUweGDq7kWE1nKe6qTwKg_2_5"/>
      <w:bookmarkStart w:id="619" w:name="Tc_AH46sLUZzEewZZJznEuGgA_2_2"/>
      <w:bookmarkStart w:id="620" w:name="Tc_7UEVNXZ9yUeziKLWSex3hw_1_2"/>
      <w:bookmarkStart w:id="621" w:name="_31a030d4_5118_4071_9295_08e350874241"/>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tbl>
      <w:tblPr>
        <w:tblW w:w="9487" w:type="dxa"/>
        <w:jc w:val="left"/>
        <w:tblInd w:w="0" w:type="dxa"/>
        <w:tblLayout w:type="fixed"/>
        <w:tblCellMar>
          <w:top w:w="0" w:type="dxa"/>
          <w:left w:w="0" w:type="dxa"/>
          <w:bottom w:w="0" w:type="dxa"/>
          <w:right w:w="0" w:type="dxa"/>
        </w:tblCellMar>
      </w:tblPr>
      <w:tblGrid>
        <w:gridCol w:w="6916"/>
        <w:gridCol w:w="346"/>
        <w:gridCol w:w="196"/>
        <w:gridCol w:w="721"/>
        <w:gridCol w:w="346"/>
        <w:gridCol w:w="196"/>
        <w:gridCol w:w="766"/>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91660" cy="175260"/>
                      <wp:effectExtent l="0" t="0" r="0" b="0"/>
                      <wp:wrapNone/>
                      <wp:docPr id="37" name="Frame37"/>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57835" cy="175260"/>
                      <wp:effectExtent l="0" t="0" r="0" b="0"/>
                      <wp:wrapNone/>
                      <wp:docPr id="40" name="Frame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86410" cy="175260"/>
                      <wp:effectExtent l="0" t="0" r="0" b="0"/>
                      <wp:wrapNone/>
                      <wp:docPr id="43" name="Frame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6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4,687</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4,440</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non-cash items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loss on sale/disposal of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doubtful accounts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and fair value adjustments of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from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12,655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3,748</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(22,134)</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(2,654)</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3,311</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equipment, software, and 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(2,310)</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(32,473)</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(34,764)</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Receipt of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on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made to retire prior credit agreement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outstanding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stock option exercise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used to pay taxes on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(2,878)</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(4,341)</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(35,794)</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74,158</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38,364</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(received)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1,663</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disclosures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related to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5,557</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 related to business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12,353</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Equipment acquired under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580</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622" w:name="ORGANIZATIONANDOPERATIONSOFTHECOMPANY_11"/>
      <w:bookmarkEnd w:id="622"/>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January 2, 2026.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January 2, 2026.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2026, which ends on January 1, 2027, will be comprised of 52 weeks, with all quarters consisting of 13 weeks each. Fiscal year 2025, which ended on January 2, 2026, was comprised of 53 weeks, with the first quarter consisting of 14 weeks and the remaining quarters consisting of 13 weeks each.</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prior year amounts have been reclassified in the condensed consolidated financial statements to conform to the current year presentation.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2025-12, “Codification Improvements” (“ASU 2025-12”). ASU 2025-12 addresses suggestions received from stakeholders on the Accounting Standards Codification and to make other incremental improvements to generally accepted accounting principles (“GAAP”). ASU 2025-12 provides changes to the Codification that (1) clarify, (2) correct errors, or (3) make minor improvements. The amendments are effective for the annual reporting periods beginning after</w:t>
      </w:r>
      <w:r>
        <w:rPr>
          <w:rFonts w:ascii="Times New Roman;Times;serif" w:hAnsi="Times New Roman;Times;serif"/>
          <w:sz w:val="24"/>
        </w:rPr>
        <w:t> </w:t>
      </w:r>
      <w:r>
        <w:rPr>
          <w:rFonts w:ascii="Times New Roman;Times;serif" w:hAnsi="Times New Roman;Times;serif"/>
          <w:sz w:val="20"/>
        </w:rPr>
        <w:t>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2025-12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2025-11, “Interim Reporting" (Topic 270): Narrow-Scope Improvements” (“ASU 2025-11”). The ASU 2025-11 amendments are intended to improve the guidance in Topic 270, Interim Reporting, by improving the navigability of the required interim disclosures and clarifying when that guidance is applicable. The amendments also provide additional guidance on what disclosures should be provided in interim reporting periods. The amendments are effective for the annual reporting periods beginning after December 15, 2027,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2027, with early adoption</w:t>
      </w:r>
      <w:r>
        <w:rPr>
          <w:rFonts w:ascii="Times New Roman;Times;serif" w:hAnsi="Times New Roman;Times;serif"/>
          <w:sz w:val="24"/>
        </w:rPr>
        <w:t> </w:t>
      </w:r>
      <w:r>
        <w:rPr>
          <w:rFonts w:ascii="Times New Roman;Times;serif" w:hAnsi="Times New Roman;Times;serif"/>
          <w:sz w:val="20"/>
        </w:rPr>
        <w:t>permitted either (1) prospectively or (2) retrospectively. The Company does not believe the amendments in ASU 2025-11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November 2025, the FASB issued ASU No. 2025-09, “Derivatives and Hedging (Topic 815): Hedge Accounting Improvements” (“ASU 2025-09”). The ASU 2025-09 amendments are intended to simplify the application of hedge accounting and to more closely align hedge accounting with the economics of an entity's risk management activities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The amendments are effective for the annual reporting periods beginning after</w:t>
      </w:r>
      <w:r>
        <w:rPr>
          <w:rFonts w:ascii="Times New Roman;Times;serif" w:hAnsi="Times New Roman;Times;serif"/>
          <w:sz w:val="24"/>
        </w:rPr>
        <w:t> </w:t>
      </w:r>
      <w:r>
        <w:rPr>
          <w:rFonts w:ascii="Times New Roman;Times;serif" w:hAnsi="Times New Roman;Times;serif"/>
          <w:sz w:val="20"/>
        </w:rPr>
        <w:t>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is currently evaluating the impact this update will have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September 2025, the Financial Accounting Standards Board (“FASB”) issued Accounting Standards Update (“ASU”) No. 2025-06, “Intangibles – Goodwill and Other – Internal-Use Software (Subtopic 350-40): Targeted Improvements to the Accounting for Internal Software” (“ASU 2025-06”).</w:t>
      </w:r>
      <w:r>
        <w:rPr>
          <w:rFonts w:ascii="Times New Roman;Times;serif" w:hAnsi="Times New Roman;Times;serif"/>
          <w:color w:val="EE0000"/>
          <w:sz w:val="24"/>
        </w:rPr>
        <w:t xml:space="preserve"> </w:t>
      </w:r>
      <w:r>
        <w:rPr>
          <w:rFonts w:ascii="Times New Roman;Times;serif" w:hAnsi="Times New Roman;Times;serif"/>
          <w:sz w:val="20"/>
        </w:rPr>
        <w:t>ASU 2025-06 removes references to prescriptive and sequential software development stages which are referred to as “project stages” throughout Subtopic 350-40. The amendment introduces a principles-based approach to capitalization of internal-use software costs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The amendments are effective for the annual reporting periods beginning after</w:t>
      </w:r>
      <w:r>
        <w:rPr>
          <w:rFonts w:ascii="Times New Roman;Times;serif" w:hAnsi="Times New Roman;Times;serif"/>
          <w:sz w:val="24"/>
        </w:rPr>
        <w:t xml:space="preserve"> </w:t>
      </w:r>
      <w:r>
        <w:rPr>
          <w:rFonts w:ascii="Times New Roman;Times;serif" w:hAnsi="Times New Roman;Times;serif"/>
          <w:sz w:val="20"/>
        </w:rPr>
        <w:t>December 15, 2027, and interim periods within those fiscal year reporting periods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2025-06 will have a material impact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annual reporting periods beginning after December 15, 2026, and interim periods within those fiscal year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0"/>
        </w:rPr>
        <w:t>periods beginning after</w:t>
      </w:r>
      <w:r>
        <w:rPr>
          <w:rFonts w:ascii="Times New Roman;Times;serif" w:hAnsi="Times New Roman;Times;serif"/>
          <w:sz w:val="24"/>
        </w:rPr>
        <w:t xml:space="preserve"> </w:t>
      </w:r>
      <w:r>
        <w:rPr>
          <w:rFonts w:ascii="Times New Roman;Times;serif" w:hAnsi="Times New Roman;Times;serif"/>
          <w:sz w:val="20"/>
        </w:rPr>
        <w:t>December 15, 2026,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2025-03 will have a material impact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43685" cy="29210"/>
                      <wp:effectExtent l="0" t="0" r="0" b="0"/>
                      <wp:wrapNone/>
                      <wp:docPr id="44" name="Frame44"/>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067435" cy="29210"/>
                      <wp:effectExtent l="0" t="0" r="0" b="0"/>
                      <wp:wrapNone/>
                      <wp:docPr id="45" name="Frame45"/>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48435" cy="29210"/>
                      <wp:effectExtent l="0" t="0" r="0" b="0"/>
                      <wp:wrapNone/>
                      <wp:docPr id="46" name="Frame46"/>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 Many of the Company’s fixed price contracts involve a high degree of subcontracted fixed price effort and, usually, are relatively short in duration, thereby lowering the risks of not properly estimating the percent complete. As of April 3, 2026, the Company had $496.0 million related to fixed price contract obligations of which $202.4 million related to fixed price contract obligations in excess of twelve months.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In cases where the standalone selling price of the software licenses is not present,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1.0% to 2.0%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price are based largely on assessments of legal enforceability, the Company’s performance, and all information (historical, current and forecasted) that is reasonably available to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represents amounts withheld from billings to the Company’s clients pursuant to provisions in the contracts and may not be paid to the Company until specific tasks are completed or the project is completed and, in some instances, for even longer periods. As of April 3, 2026, contract assets and contract liabilities included retainage of $23.9 million, and $4.5 million, respectively. As of January 2, 2026, contract assets included retainage of $29.5 million and there was no retainage included in contract liabilities.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623" w:name="Tc_bluS40jFlkahwO383tk1fQ_11_5"/>
      <w:bookmarkStart w:id="624" w:name="Tc_k6FXy4FtrU6egGteEzcmxA_11_2"/>
      <w:bookmarkStart w:id="625" w:name="Tc_ur2lM-oAl0Gqbka7s0qm4A_11_0"/>
      <w:bookmarkStart w:id="626" w:name="Tc_2y_kP_7sgEW8FiUkLapbxw_10_0"/>
      <w:bookmarkStart w:id="627" w:name="Tc_IkYczb7jqkqpS3ORapvfcg_9_0"/>
      <w:bookmarkStart w:id="628" w:name="Tc_c4J0eBn9DEekmHhpb4sz8w_8_0"/>
      <w:bookmarkStart w:id="629" w:name="Tc_MWmzv_C4cUe6OCFLMLTW0g_7_0"/>
      <w:bookmarkStart w:id="630" w:name="Tc_Xi1NFqwAgECoU7318p217g_6_0"/>
      <w:bookmarkStart w:id="631" w:name="Tc_C5JZMZv7MUug7bpjTePKFw_5_0"/>
      <w:bookmarkStart w:id="632" w:name="Tc_PdrkhkFZm0ahXCy040GwGg_4_5"/>
      <w:bookmarkStart w:id="633" w:name="Tc_499XMR1FcEehKSAHLENNzg_4_2"/>
      <w:bookmarkStart w:id="634" w:name="Tc_eDqW6Kw9IEenuJdLr9wxIg_4_0"/>
      <w:bookmarkStart w:id="635" w:name="Tc_T9cuTxV-HEqrYIPqsTak8A_3_2"/>
      <w:bookmarkStart w:id="636" w:name="Tc_vwgSDs1ukk-9U2813bpwcQ_2_5"/>
      <w:bookmarkStart w:id="637" w:name="Tc_3nTRFL2dCUSolV525ZoT1w_2_2"/>
      <w:bookmarkStart w:id="638" w:name="Tc_8dZEDA3LHk2nyQTBo702vQ_1_5"/>
      <w:bookmarkStart w:id="639" w:name="Tc_s3Z3nWL0u0uwwC6Fje18Qw_1_2"/>
      <w:bookmarkStart w:id="640" w:name="_153c3283_4be2_41ef_b17e_d5f6aa64dd38"/>
      <w:bookmarkStart w:id="641" w:name="Tc_JnLasLevFUG-ADmaO5hfRA_6_5"/>
      <w:bookmarkStart w:id="642" w:name="Tc_g583dkkGz0uR3fgU5WZa_Q_6_2"/>
      <w:bookmarkStart w:id="643" w:name="Tc_TpMo1rmJDECfznVXnQ5f0Q_6_0"/>
      <w:bookmarkStart w:id="644" w:name="Tc_yLzju5soiUKojdEEoyi0Rg_5_6"/>
      <w:bookmarkStart w:id="645" w:name="Tc_xGtJ-Ila_UmvWtNfVoxnug_4_5"/>
      <w:bookmarkStart w:id="646" w:name="Tc__HZjh6dvXUarN2TCIJHS7w_4_2"/>
      <w:bookmarkStart w:id="647" w:name="Tc_nfywAgvo9EmRcBxDRuTzbw_4_0"/>
      <w:bookmarkStart w:id="648" w:name="Tc_yzoQ361ZIkmT_xW2q1JXNA_3_2"/>
      <w:bookmarkStart w:id="649" w:name="Tc_TTJtxNGYpkGURqwz0Q999w_2_5"/>
      <w:bookmarkStart w:id="650" w:name="Tc__vT4mDqoUUCsKs9DH7y0Rg_2_2"/>
      <w:bookmarkStart w:id="651" w:name="Tc_1kYo0oM1T029-_mT9IisaA_1_5"/>
      <w:bookmarkStart w:id="652" w:name="Tc_iJ6if8gd6US9jEegfOdL6A_1_2"/>
      <w:bookmarkStart w:id="653" w:name="_a1d3449c_e5a1_4daf_8130_e12757f6eaf4"/>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ascii="Times New Roman;Times;serif" w:hAnsi="Times New Roman;Times;serif"/>
          <w:b/>
          <w:sz w:val="20"/>
        </w:rPr>
        <w:t>4. SUPPLEMENTAL FINANCIAL STATEMENT DATA</w:t>
      </w:r>
    </w:p>
    <w:p>
      <w:pPr>
        <w:pStyle w:val="TextBody"/>
        <w:pBdr/>
        <w:shd w:fill="FFFFFF" w:val="clear"/>
        <w:bidi w:val="0"/>
        <w:spacing w:before="0" w:after="0"/>
        <w:ind w:left="0" w:right="0" w:firstLine="360"/>
        <w:jc w:val="left"/>
        <w:rPr>
          <w:rFonts w:ascii="Times New Roman;Times;serif" w:hAnsi="Times New Roman;Times;serif"/>
          <w:i/>
          <w:color w:val="212529"/>
          <w:sz w:val="20"/>
        </w:rPr>
      </w:pPr>
      <w:r>
        <w:rPr>
          <w:rFonts w:ascii="Times New Roman;Times;serif" w:hAnsi="Times New Roman;Times;serif"/>
          <w:i/>
          <w:color w:val="212529"/>
          <w:sz w:val="20"/>
        </w:rPr>
        <w:t>Restricted Cash</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34"/>
        <w:gridCol w:w="346"/>
        <w:gridCol w:w="211"/>
        <w:gridCol w:w="676"/>
        <w:gridCol w:w="346"/>
        <w:gridCol w:w="211"/>
        <w:gridCol w:w="781"/>
      </w:tblGrid>
      <w:tr>
        <w:trPr/>
        <w:tc>
          <w:tcPr>
            <w:tcW w:w="7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847590" cy="175260"/>
                      <wp:effectExtent l="0" t="0" r="0" b="0"/>
                      <wp:wrapNone/>
                      <wp:docPr id="47" name="Frame47"/>
                      <a:graphic xmlns:a="http://schemas.openxmlformats.org/drawingml/2006/main">
                        <a:graphicData uri="http://schemas.microsoft.com/office/word/2010/wordprocessingShape">
                          <wps:wsp>
                            <wps:cNvSpPr txBox="1"/>
                            <wps:spPr>
                              <a:xfrm>
                                <a:off x="0" y="0"/>
                                <a:ext cx="4847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9260" cy="175260"/>
                      <wp:effectExtent l="0" t="0" r="0" b="0"/>
                      <wp:wrapNone/>
                      <wp:docPr id="50" name="Frame5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3"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6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r>
      <w:tr>
        <w:trPr/>
        <w:tc>
          <w:tcPr>
            <w:tcW w:w="763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6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65,919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487" w:type="dxa"/>
        <w:jc w:val="left"/>
        <w:tblInd w:w="0" w:type="dxa"/>
        <w:tblLayout w:type="fixed"/>
        <w:tblCellMar>
          <w:top w:w="0" w:type="dxa"/>
          <w:left w:w="0" w:type="dxa"/>
          <w:bottom w:w="0" w:type="dxa"/>
          <w:right w:w="0" w:type="dxa"/>
        </w:tblCellMar>
      </w:tblPr>
      <w:tblGrid>
        <w:gridCol w:w="3736"/>
        <w:gridCol w:w="346"/>
        <w:gridCol w:w="211"/>
        <w:gridCol w:w="796"/>
        <w:gridCol w:w="346"/>
        <w:gridCol w:w="211"/>
        <w:gridCol w:w="84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72360" cy="175260"/>
                      <wp:effectExtent l="0" t="0" r="0" b="0"/>
                      <wp:wrapNone/>
                      <wp:docPr id="54" name="Frame54"/>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175260"/>
                      <wp:effectExtent l="0" t="0" r="0" b="0"/>
                      <wp:wrapNone/>
                      <wp:docPr id="57"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4035" cy="175260"/>
                      <wp:effectExtent l="0" t="0" r="0" b="0"/>
                      <wp:wrapNone/>
                      <wp:docPr id="60" name="Frame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31,491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$0.4 million and $1.5 million of amortization expense related to equipment held under finance leases for the three months ended April 3, 2026 and for fiscal year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654" w:name="Tc_d3-UuCJbQ02196Q365jGwg_10_11"/>
      <w:bookmarkStart w:id="655" w:name="Tc_Bvzv9s8eyEaNTA_u5swsXA_10_8"/>
      <w:bookmarkStart w:id="656" w:name="Tc_j3d2d3HRG0ej2lPPgcfNMA_10_5"/>
      <w:bookmarkStart w:id="657" w:name="Tc_RG8uBjJjw0-npzSfB6q6zA_10_2"/>
      <w:bookmarkStart w:id="658" w:name="Tc_Kz9yZADDa0uX1Wnwe7-hcA_10_0"/>
      <w:bookmarkStart w:id="659" w:name="Tc_r-8nks8eak-CEQcqQY-Fag_9_16"/>
      <w:bookmarkStart w:id="660" w:name="Tc_7xNA3WC38EexM8Nu9641Ew_9_0"/>
      <w:bookmarkStart w:id="661" w:name="Tc_EFWm1TMAh0KJwwcLYNf24Q_8_16"/>
      <w:bookmarkStart w:id="662" w:name="Tc_wfxHoIlL0km09_DlG4IbxQ_8_0"/>
      <w:bookmarkStart w:id="663" w:name="Tc_h5V2eXx9_0C0gXIWASigmQ_7_16"/>
      <w:bookmarkStart w:id="664" w:name="Tc_ZLLXSJWxz0iaRj2x6azTUg_7_0"/>
      <w:bookmarkStart w:id="665" w:name="Tc_3q2Ugu4hFUaL4rj3eLsZOg_6_11"/>
      <w:bookmarkStart w:id="666" w:name="Tc_8eB_x8QAHEOy2TFQiXaOGw_6_8"/>
      <w:bookmarkStart w:id="667" w:name="Tc_2HyFs6KJgkKp1KNrzSN2YQ_6_5"/>
      <w:bookmarkStart w:id="668" w:name="Tc_zEFFPzN670Cmdur69fBzow_6_2"/>
      <w:bookmarkStart w:id="669" w:name="Tc_Rf2tQsDVu0OcXI-D80OKHQ_6_0"/>
      <w:bookmarkStart w:id="670" w:name="Tc_SUm5phHLS0qhb55b_zNnrg_5_0"/>
      <w:bookmarkStart w:id="671" w:name="Tc_3gu8-BIfskKXNf1ioqTp_Q_4_14"/>
      <w:bookmarkStart w:id="672" w:name="Tc_6EsWonoQ406wAvUroMQLig_4_2"/>
      <w:bookmarkStart w:id="673" w:name="Tc_wc8KlIEHiUGQzZ2n7mYGMg_3_14"/>
      <w:bookmarkStart w:id="674" w:name="Tc_nxJjz9HWt06xJIjwJ8jOFg_3_11"/>
      <w:bookmarkStart w:id="675" w:name="Tc_a7GouqAiXUi-hXFy7yMP7g_3_8"/>
      <w:bookmarkStart w:id="676" w:name="Tc_gMAkQmEd7Eaa6uz8Sw2GOQ_3_5"/>
      <w:bookmarkStart w:id="677" w:name="Tc_WOzsUQhCdkCh2cS1XEUrxg_3_2"/>
      <w:bookmarkStart w:id="678" w:name="Tc_zZYvJmJIm0qIoK0Z6_sSNQ_2_14"/>
      <w:bookmarkStart w:id="679" w:name="Tc_SM2wjdTp10ePizS1ZeU8zg_2_11"/>
      <w:bookmarkStart w:id="680" w:name="Tc_d0sRQIWpBkmlIoWqkSJXSg_2_8"/>
      <w:bookmarkStart w:id="681" w:name="Tc_E_G7rD73JUOWBsmQLit97w_2_5"/>
      <w:bookmarkStart w:id="682" w:name="Tc_UbfutNH2J06drPS8xR7R4Q_2_2"/>
      <w:bookmarkStart w:id="683" w:name="Tc_95S2OlgBLkSoPalLsGqP8A_1_8"/>
      <w:bookmarkStart w:id="684" w:name="Tc_G4QgvbjXbki18yhNGFlJAg_1_2"/>
      <w:bookmarkStart w:id="685" w:name="_1cd3588f_16f6_4fdc_a8cc_9eb9826051be"/>
      <w:bookmarkStart w:id="686" w:name="Tc_nZ5U1AINpEWM1xufCCixWw_7_11"/>
      <w:bookmarkStart w:id="687" w:name="Tc_0zFF4uH9LkKsZHngHEqFZw_7_8"/>
      <w:bookmarkStart w:id="688" w:name="Tc_gndzTSt1jUyS3wlw--wsvQ_7_6"/>
      <w:bookmarkStart w:id="689" w:name="Tc_bGym-SmYvk2GtTihtPO1qQ_7_5"/>
      <w:bookmarkStart w:id="690" w:name="Tc_bC3_q8WuNkyvJtP1dN85eg_7_2"/>
      <w:bookmarkStart w:id="691" w:name="Tc_CLuUSJ5kc0uawjEAWtTwYQ_6_6"/>
      <w:bookmarkStart w:id="692" w:name="Tc_yTYJoyroYUyk5vVGyUq_gQ_6_0"/>
      <w:bookmarkStart w:id="693" w:name="Tc_CNMyijRrDESuzu63B6WsEw_5_11"/>
      <w:bookmarkStart w:id="694" w:name="Tc_ZhrV3xNyx02E_WRgrgci4Q_5_9"/>
      <w:bookmarkStart w:id="695" w:name="Tc__I9GHK89rEaHnHsENcpxBw_5_8"/>
      <w:bookmarkStart w:id="696" w:name="Tc_48wDB8ITvkW483-kuYYPhQ_5_6"/>
      <w:bookmarkStart w:id="697" w:name="Tc_Hd2NUtuhVE2W_cAe4k069Q_5_5"/>
      <w:bookmarkStart w:id="698" w:name="Tc_CH5XrRUv4UmvbO9Kzg0Fcg_5_2"/>
      <w:bookmarkStart w:id="699" w:name="Tc_1jtqKba0kEyj6Hfz7VLw7Q_5_0"/>
      <w:bookmarkStart w:id="700" w:name="Tc_1URDsFGJckKd_9uPzo9-SA_4_0"/>
      <w:bookmarkStart w:id="701" w:name="Tc_sKaOzu1d3EW5bNbl44VYxg_3_2"/>
      <w:bookmarkStart w:id="702" w:name="Tc_ESY7ijY9UUCSgtqpfGseXw_2_11"/>
      <w:bookmarkStart w:id="703" w:name="Tc_9dtjVXlHHkmCiqiF9_SU2g_2_8"/>
      <w:bookmarkStart w:id="704" w:name="Tc_uVZIUbKYwU-cuBgu60NY8Q_2_5"/>
      <w:bookmarkStart w:id="705" w:name="Tc_EbxW14HSR02hPEp8RC2KWQ_2_2"/>
      <w:bookmarkStart w:id="706" w:name="Tc_3QRE1NwKikyNTLSMNhlyzw_1_11"/>
      <w:bookmarkStart w:id="707" w:name="Tc_cAlfAaFK5ke_dZuK1FURfA_1_8"/>
      <w:bookmarkStart w:id="708" w:name="Tc_OUV6Bz-E9UmIwMZv0-E8gg_1_5"/>
      <w:bookmarkStart w:id="709" w:name="Tc_esrB2dKPr0Ggjme0BMuaUQ_1_2"/>
      <w:bookmarkStart w:id="710" w:name="_c85b4554_c045_4ea0_bbf4_63b84da8ef05"/>
      <w:bookmarkStart w:id="711" w:name="Tc_AWViNh4iXkqfOjZV3y_2Zg_10_5"/>
      <w:bookmarkStart w:id="712" w:name="Tc_Bea5iflgZ0W7QIUou-v49A_10_2"/>
      <w:bookmarkStart w:id="713" w:name="Tc_Bhv-paupS0eM88JiRikr5Q_10_0"/>
      <w:bookmarkStart w:id="714" w:name="Tc_ypXS9EfJjUOEErQL8sBDzw_9_0"/>
      <w:bookmarkStart w:id="715" w:name="Tc_lxk4-KzURUuQ47F6bovI7w_8_6"/>
      <w:bookmarkStart w:id="716" w:name="Tc_4YmrqMm6Dki_Axqs1ZnZWA_8_0"/>
      <w:bookmarkStart w:id="717" w:name="Tc_fD5F6Qqtw0KLncOr2dIs4w_7_0"/>
      <w:bookmarkStart w:id="718" w:name="Tc_ZyOTyP9fQkCzrLxTMCZ09Q_6_0"/>
      <w:bookmarkStart w:id="719" w:name="Tc_32eQNKq2A06Tf4nFoEoekQ_5_0"/>
      <w:bookmarkStart w:id="720" w:name="Tc_Yk76mugmBkqbMtexheUK6g_4_5"/>
      <w:bookmarkStart w:id="721" w:name="Tc_gr4ZbPodSU-1-HbdzbChQQ_4_2"/>
      <w:bookmarkStart w:id="722" w:name="Tc_IhwfJel7Q0KJJsR_pO9tYw_4_0"/>
      <w:bookmarkStart w:id="723" w:name="Tc_f3516_ePx0O127PmZgVTVQ_3_2"/>
      <w:bookmarkStart w:id="724" w:name="Tc_vFLFBa8CyU6d2K5U23DqqQ_2_5"/>
      <w:bookmarkStart w:id="725" w:name="Tc_AqNUGH1vzE2ty1Ab7aJHeg_2_2"/>
      <w:bookmarkStart w:id="726" w:name="Tc_SF2pbpvQpU-NDPQs8ddcFA_1_5"/>
      <w:bookmarkStart w:id="727" w:name="Tc_q-VWyrMg9kKLwT4mSdPteQ_1_2"/>
      <w:bookmarkStart w:id="728" w:name="_bd42a2c9_737b_415e_b15d_0fc85bb90588"/>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597" w:type="dxa"/>
        <w:jc w:val="left"/>
        <w:tblInd w:w="0" w:type="dxa"/>
        <w:tblLayout w:type="fixed"/>
        <w:tblCellMar>
          <w:top w:w="0" w:type="dxa"/>
          <w:left w:w="0" w:type="dxa"/>
          <w:bottom w:w="0" w:type="dxa"/>
          <w:right w:w="0" w:type="dxa"/>
        </w:tblCellMar>
      </w:tblPr>
      <w:tblGrid>
        <w:gridCol w:w="3016"/>
        <w:gridCol w:w="346"/>
        <w:gridCol w:w="211"/>
        <w:gridCol w:w="676"/>
        <w:gridCol w:w="346"/>
        <w:gridCol w:w="211"/>
        <w:gridCol w:w="79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915160" cy="175260"/>
                      <wp:effectExtent l="0" t="0" r="0" b="0"/>
                      <wp:wrapNone/>
                      <wp:docPr id="61" name="Frame6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2285" cy="175260"/>
                      <wp:effectExtent l="0" t="0" r="0" b="0"/>
                      <wp:wrapNone/>
                      <wp:docPr id="67" name="Frame6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82,434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050" w:type="dxa"/>
        <w:jc w:val="left"/>
        <w:tblInd w:w="0" w:type="dxa"/>
        <w:tblLayout w:type="fixed"/>
        <w:tblCellMar>
          <w:top w:w="0" w:type="dxa"/>
          <w:left w:w="0" w:type="dxa"/>
          <w:bottom w:w="0" w:type="dxa"/>
          <w:right w:w="0" w:type="dxa"/>
        </w:tblCellMar>
      </w:tblPr>
      <w:tblGrid>
        <w:gridCol w:w="2431"/>
        <w:gridCol w:w="346"/>
        <w:gridCol w:w="211"/>
        <w:gridCol w:w="781"/>
        <w:gridCol w:w="346"/>
        <w:gridCol w:w="430"/>
        <w:gridCol w:w="710"/>
        <w:gridCol w:w="346"/>
        <w:gridCol w:w="380"/>
        <w:gridCol w:w="626"/>
        <w:gridCol w:w="346"/>
        <w:gridCol w:w="211"/>
        <w:gridCol w:w="88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543685" cy="175260"/>
                      <wp:effectExtent l="0" t="0" r="0" b="0"/>
                      <wp:wrapNone/>
                      <wp:docPr id="68" name="Frame68"/>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73050" cy="175260"/>
                      <wp:effectExtent l="0" t="0" r="0" b="0"/>
                      <wp:wrapNone/>
                      <wp:docPr id="73" name="Frame7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50850" cy="175260"/>
                      <wp:effectExtent l="0" t="0" r="0" b="0"/>
                      <wp:wrapNone/>
                      <wp:docPr id="74" name="Frame7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41300" cy="175260"/>
                      <wp:effectExtent l="0" t="0" r="0" b="0"/>
                      <wp:wrapNone/>
                      <wp:docPr id="76" name="Frame7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7510" cy="175260"/>
                      <wp:effectExtent l="0" t="0" r="0" b="0"/>
                      <wp:wrapNone/>
                      <wp:docPr id="77" name="Frame77"/>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2610" cy="175260"/>
                      <wp:effectExtent l="0" t="0" r="0" b="0"/>
                      <wp:wrapNone/>
                      <wp:docPr id="80" name="Frame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73"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170,835</w:t>
            </w:r>
          </w:p>
        </w:tc>
        <w:tc>
          <w:tcPr>
            <w:tcW w:w="346"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170,835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w:t>
            </w:r>
          </w:p>
        </w:tc>
        <w:tc>
          <w:tcPr>
            <w:tcW w:w="346"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179,530</w:t>
            </w:r>
          </w:p>
        </w:tc>
        <w:tc>
          <w:tcPr>
            <w:tcW w:w="346" w:type="dxa"/>
            <w:tcBorders/>
            <w:vAlign w:val="center"/>
          </w:tcPr>
          <w:p>
            <w:pPr>
              <w:pStyle w:val="TableContents"/>
              <w:bidi w:val="0"/>
              <w:spacing w:before="0" w:after="0"/>
              <w:ind w:left="0" w:right="0" w:hanging="0"/>
              <w:jc w:val="left"/>
              <w:rPr/>
            </w:pPr>
            <w:r>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179,545</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April 3,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9308" w:type="dxa"/>
        <w:jc w:val="left"/>
        <w:tblInd w:w="0" w:type="dxa"/>
        <w:tblLayout w:type="fixed"/>
        <w:tblCellMar>
          <w:top w:w="0" w:type="dxa"/>
          <w:left w:w="0" w:type="dxa"/>
          <w:bottom w:w="0" w:type="dxa"/>
          <w:right w:w="0" w:type="dxa"/>
        </w:tblCellMar>
      </w:tblPr>
      <w:tblGrid>
        <w:gridCol w:w="2176"/>
        <w:gridCol w:w="346"/>
        <w:gridCol w:w="211"/>
        <w:gridCol w:w="781"/>
        <w:gridCol w:w="346"/>
        <w:gridCol w:w="257"/>
        <w:gridCol w:w="824"/>
        <w:gridCol w:w="346"/>
        <w:gridCol w:w="211"/>
        <w:gridCol w:w="781"/>
        <w:gridCol w:w="346"/>
        <w:gridCol w:w="257"/>
        <w:gridCol w:w="824"/>
        <w:gridCol w:w="346"/>
        <w:gridCol w:w="361"/>
        <w:gridCol w:w="109"/>
        <w:gridCol w:w="166"/>
        <w:gridCol w:w="109"/>
        <w:gridCol w:w="51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81760" cy="175260"/>
                      <wp:effectExtent l="0" t="0" r="0" b="0"/>
                      <wp:wrapNone/>
                      <wp:docPr id="81" name="Frame8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 2026</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 2026</w:t>
            </w:r>
          </w:p>
        </w:tc>
        <w:tc>
          <w:tcPr>
            <w:tcW w:w="34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vAlign w:val="center"/>
          </w:tcPr>
          <w:p>
            <w:pPr>
              <w:pStyle w:val="TableContents"/>
              <w:bidi w:val="0"/>
              <w:spacing w:before="0" w:after="0"/>
              <w:ind w:left="0" w:right="0" w:hanging="0"/>
              <w:jc w:val="left"/>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17,774</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14,285</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73,404</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43,414</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104,614</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104,608</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69,087</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729" w:name="Tc_XAYv9leaSUuv2YQ7TZ_4HA_9_5"/>
      <w:bookmarkStart w:id="730" w:name="Tc_5P9pnndhMUWibjP5X6_ilA_9_2"/>
      <w:bookmarkStart w:id="731" w:name="Tc__Zua2yrLdEqr4khTsssrvg_9_0"/>
      <w:bookmarkStart w:id="732" w:name="Tc_pXCetw5DE0CXta43Ez5p1Q_8_0"/>
      <w:bookmarkStart w:id="733" w:name="Tc_ayuM2hZCPEiMlQce6io9ww_7_0"/>
      <w:bookmarkStart w:id="734" w:name="Tc_mZvW6zQXa06dSpccNyON6A_6_6"/>
      <w:bookmarkStart w:id="735" w:name="Tc_KF41rzWLq0uDzy97CBY7gQ_6_3"/>
      <w:bookmarkStart w:id="736" w:name="Tc_lc2WVsmi1kKQ_8Vc5S16ZA_6_0"/>
      <w:bookmarkStart w:id="737" w:name="Tc_Uj7dd-nQWEWf7GxA6Krqrg_5_0"/>
      <w:bookmarkStart w:id="738" w:name="Tc_SreW_CRP90S_K5gEX_Hp1A_4_5"/>
      <w:bookmarkStart w:id="739" w:name="Tc_KUResUam_k6LHJsQ9QSdYQ_4_2"/>
      <w:bookmarkStart w:id="740" w:name="Tc_Otd5DgA0E0uM-gCQ0wLBRw_4_0"/>
      <w:bookmarkStart w:id="741" w:name="Tc_lYZdDTe5u0OnkSqSK6iwYQ_3_2"/>
      <w:bookmarkStart w:id="742" w:name="Tc_KKOs71EtVkqqGkbWvxjt3A_2_5"/>
      <w:bookmarkStart w:id="743" w:name="Tc_Waqe2N03KkqcM0F5y5UCPg_2_2"/>
      <w:bookmarkStart w:id="744" w:name="Tc_uUksP_i20UuTpTvr56gx1Q_1_5"/>
      <w:bookmarkStart w:id="745" w:name="Tc_DiRCB_2mDUGiN2vuWMvZAQ_1_2"/>
      <w:bookmarkStart w:id="746" w:name="_f55a0cc0_b8d8_496e_a2c8_4e2beb994da3"/>
      <w:bookmarkStart w:id="747" w:name="Tc_IKN3lb281UWHg_YYiukc4w_6_8"/>
      <w:bookmarkStart w:id="748" w:name="Tc_NGVQ3kcVfk-t7wKaV9JjWQ_6_5"/>
      <w:bookmarkStart w:id="749" w:name="Tc_tTjstPcLw0iDs4NCgPfvRw_6_2"/>
      <w:bookmarkStart w:id="750" w:name="Tc_QJhBtHFDWUCukA8QSLiXCg_6_0"/>
      <w:bookmarkStart w:id="751" w:name="Tc_jTmkxi_R5kSICXkTW0xpsQ_5_7"/>
      <w:bookmarkStart w:id="752" w:name="Tc_-aanhAUUQkSbsDQFBYqM6g_5_4"/>
      <w:bookmarkStart w:id="753" w:name="Tc_23zvPq4afE2nQZ_knX1R_w_5_0"/>
      <w:bookmarkStart w:id="754" w:name="Tc_DjsCT5cFak2Fd78EeOVRLw_4_4"/>
      <w:bookmarkStart w:id="755" w:name="Tc_8P0iRckHxEuToxGBi2XFEw_3_7"/>
      <w:bookmarkStart w:id="756" w:name="Tc_pyh2AL679ESmki2ADxX7Cg_3_4"/>
      <w:bookmarkStart w:id="757" w:name="Tc_9IHiUd9mMEyzwMM0lUHTrA_3_2"/>
      <w:bookmarkStart w:id="758" w:name="Tc_SQTzimS0ak-L2ljXy8mWkQ_2_4"/>
      <w:bookmarkStart w:id="759" w:name="Tc_Tzvc2z668kWz7UoZIgBUwg_1_4"/>
      <w:bookmarkStart w:id="760" w:name="_c4bba330_b332_4019_81a7_7baae4aa879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has a total notional amount of $50.0 million, has a fixed annual interest rate of 4.77%, and expires on September 29, 2026. As of April 3, 2026, the effective portion of the Company’s interest rate swap agreement designated as a cash flow hedge before tax effects was $(0.2) million, of which no amounts were reclassified from accumulated other comprehensive income (loss) to interest expense</w:t>
      </w:r>
      <w:r>
        <w:rPr>
          <w:rFonts w:ascii="Times New Roman;Times;serif" w:hAnsi="Times New Roman;Times;serif"/>
          <w:sz w:val="20"/>
          <w:shd w:fill="FFFFFF" w:val="clear"/>
        </w:rPr>
        <w:t> in the three months ended April 3, 2026</w:t>
      </w:r>
      <w:r>
        <w:rPr>
          <w:rFonts w:ascii="Times New Roman;Times;serif" w:hAnsi="Times New Roman;Times;serif"/>
          <w:sz w:val="20"/>
        </w:rPr>
        <w:t>. The Company expects to reclassify $0.2 million from accumulated other comprehensive income (loss) to interest expense within the next twelve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7946" w:type="dxa"/>
        <w:jc w:val="left"/>
        <w:tblInd w:w="0" w:type="dxa"/>
        <w:tblLayout w:type="fixed"/>
        <w:tblCellMar>
          <w:top w:w="0" w:type="dxa"/>
          <w:left w:w="0" w:type="dxa"/>
          <w:bottom w:w="0" w:type="dxa"/>
          <w:right w:w="0" w:type="dxa"/>
        </w:tblCellMar>
      </w:tblPr>
      <w:tblGrid>
        <w:gridCol w:w="2401"/>
        <w:gridCol w:w="346"/>
        <w:gridCol w:w="2311"/>
        <w:gridCol w:w="346"/>
        <w:gridCol w:w="299"/>
        <w:gridCol w:w="766"/>
        <w:gridCol w:w="127"/>
        <w:gridCol w:w="357"/>
        <w:gridCol w:w="993"/>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24635" cy="175895"/>
                      <wp:effectExtent l="0" t="0" r="0" b="0"/>
                      <wp:wrapNone/>
                      <wp:docPr id="84" name="Frame84"/>
                      <a:graphic xmlns:a="http://schemas.openxmlformats.org/drawingml/2006/main">
                        <a:graphicData uri="http://schemas.microsoft.com/office/word/2010/wordprocessingShape">
                          <wps:wsp>
                            <wps:cNvSpPr txBox="1"/>
                            <wps:spPr>
                              <a:xfrm>
                                <a:off x="0" y="0"/>
                                <a:ext cx="1524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895"/>
                      <wp:effectExtent l="0" t="0" r="0" b="0"/>
                      <wp:wrapNone/>
                      <wp:docPr id="85" name="Frame8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67485" cy="175895"/>
                      <wp:effectExtent l="0" t="0" r="0" b="0"/>
                      <wp:wrapNone/>
                      <wp:docPr id="86" name="Frame86"/>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895"/>
                      <wp:effectExtent l="0" t="0" r="0" b="0"/>
                      <wp:wrapNone/>
                      <wp:docPr id="87" name="Frame8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9865" cy="175895"/>
                      <wp:effectExtent l="0" t="0" r="0" b="0"/>
                      <wp:wrapNone/>
                      <wp:docPr id="88" name="Frame88"/>
                      <a:graphic xmlns:a="http://schemas.openxmlformats.org/drawingml/2006/main">
                        <a:graphicData uri="http://schemas.microsoft.com/office/word/2010/wordprocessingShape">
                          <wps:wsp>
                            <wps:cNvSpPr txBox="1"/>
                            <wps:spPr>
                              <a:xfrm>
                                <a:off x="0" y="0"/>
                                <a:ext cx="1898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86410" cy="175895"/>
                      <wp:effectExtent l="0" t="0" r="0" b="0"/>
                      <wp:wrapNone/>
                      <wp:docPr id="89" name="Frame89"/>
                      <a:graphic xmlns:a="http://schemas.openxmlformats.org/drawingml/2006/main">
                        <a:graphicData uri="http://schemas.microsoft.com/office/word/2010/wordprocessingShape">
                          <wps:wsp>
                            <wps:cNvSpPr txBox="1"/>
                            <wps:spPr>
                              <a:xfrm>
                                <a:off x="0" y="0"/>
                                <a:ext cx="4864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0645" cy="175895"/>
                      <wp:effectExtent l="0" t="0" r="0" b="0"/>
                      <wp:wrapNone/>
                      <wp:docPr id="90" name="Frame90"/>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6695" cy="175895"/>
                      <wp:effectExtent l="0" t="0" r="0" b="0"/>
                      <wp:wrapNone/>
                      <wp:docPr id="91" name="Frame91"/>
                      <a:graphic xmlns:a="http://schemas.openxmlformats.org/drawingml/2006/main">
                        <a:graphicData uri="http://schemas.microsoft.com/office/word/2010/wordprocessingShape">
                          <wps:wsp>
                            <wps:cNvSpPr txBox="1"/>
                            <wps:spPr>
                              <a:xfrm>
                                <a:off x="0" y="0"/>
                                <a:ext cx="2266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0555" cy="175895"/>
                      <wp:effectExtent l="0" t="0" r="0" b="0"/>
                      <wp:wrapNone/>
                      <wp:docPr id="92" name="Frame92"/>
                      <a:graphic xmlns:a="http://schemas.openxmlformats.org/drawingml/2006/main">
                        <a:graphicData uri="http://schemas.microsoft.com/office/word/2010/wordprocessingShape">
                          <wps:wsp>
                            <wps:cNvSpPr txBox="1"/>
                            <wps:spPr>
                              <a:xfrm>
                                <a:off x="0" y="0"/>
                                <a:ext cx="6305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2542"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2542"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1" w:after="1"/>
              <w:ind w:left="0" w:right="0" w:hanging="0"/>
              <w:jc w:val="left"/>
              <w:rPr/>
            </w:pPr>
            <w:r>
              <w:rPr/>
              <w:t>​</w:t>
            </w:r>
          </w:p>
        </w:tc>
        <w:tc>
          <w:tcPr>
            <w:tcW w:w="10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April 3, 2026</w:t>
            </w:r>
          </w:p>
        </w:tc>
        <w:tc>
          <w:tcPr>
            <w:tcW w:w="127"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January 2, 2026</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2542"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299"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127" w:type="dxa"/>
            <w:tcBorders/>
            <w:shd w:fill="CCEEFF" w:val="clear"/>
            <w:vAlign w:val="center"/>
          </w:tcPr>
          <w:p>
            <w:pPr>
              <w:pStyle w:val="TableContents"/>
              <w:bidi w:val="0"/>
              <w:spacing w:before="1" w:after="1"/>
              <w:ind w:left="0" w:right="0" w:hanging="0"/>
              <w:jc w:val="left"/>
              <w:rPr/>
            </w:pPr>
            <w:r>
              <w:rPr/>
              <w:t>​</w:t>
            </w:r>
          </w:p>
        </w:tc>
        <w:tc>
          <w:tcPr>
            <w:tcW w:w="35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24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1" w:after="1"/>
              <w:ind w:left="0" w:right="0" w:hanging="0"/>
              <w:jc w:val="left"/>
              <w:rPr/>
            </w:pPr>
            <w:r>
              <w:rPr/>
              <w:t>​</w:t>
            </w:r>
          </w:p>
        </w:tc>
        <w:tc>
          <w:tcPr>
            <w:tcW w:w="299" w:type="dxa"/>
            <w:tcBorders/>
            <w:vAlign w:val="center"/>
          </w:tcPr>
          <w:p>
            <w:pPr>
              <w:pStyle w:val="TableContents"/>
              <w:bidi w:val="0"/>
              <w:spacing w:before="1" w:after="1"/>
              <w:ind w:left="0" w:right="0" w:hanging="0"/>
              <w:jc w:val="left"/>
              <w:rPr/>
            </w:pPr>
            <w:r>
              <w:rPr/>
              <w:t>​</w:t>
            </w:r>
          </w:p>
        </w:tc>
        <w:tc>
          <w:tcPr>
            <w:tcW w:w="766" w:type="dxa"/>
            <w:tcBorders/>
            <w:vAlign w:val="center"/>
          </w:tcPr>
          <w:p>
            <w:pPr>
              <w:pStyle w:val="TableContents"/>
              <w:bidi w:val="0"/>
              <w:spacing w:before="1" w:after="1"/>
              <w:ind w:left="0" w:right="0" w:hanging="0"/>
              <w:jc w:val="right"/>
              <w:rPr/>
            </w:pPr>
            <w:r>
              <w:rPr/>
              <w:t>—</w:t>
            </w:r>
          </w:p>
        </w:tc>
        <w:tc>
          <w:tcPr>
            <w:tcW w:w="127" w:type="dxa"/>
            <w:tcBorders/>
            <w:vAlign w:val="center"/>
          </w:tcPr>
          <w:p>
            <w:pPr>
              <w:pStyle w:val="TableContents"/>
              <w:bidi w:val="0"/>
              <w:spacing w:before="1" w:after="1"/>
              <w:ind w:left="0" w:right="0" w:hanging="0"/>
              <w:jc w:val="left"/>
              <w:rPr/>
            </w:pPr>
            <w:r>
              <w:rPr/>
              <w:t>​</w:t>
            </w:r>
          </w:p>
        </w:tc>
        <w:tc>
          <w:tcPr>
            <w:tcW w:w="357" w:type="dxa"/>
            <w:tcBorders/>
            <w:vAlign w:val="center"/>
          </w:tcPr>
          <w:p>
            <w:pPr>
              <w:pStyle w:val="TableContents"/>
              <w:bidi w:val="0"/>
              <w:spacing w:before="1" w:after="1"/>
              <w:ind w:left="0" w:right="0" w:hanging="0"/>
              <w:jc w:val="left"/>
              <w:rPr/>
            </w:pPr>
            <w:r>
              <w:rPr/>
              <w:t>​</w:t>
            </w:r>
          </w:p>
        </w:tc>
        <w:tc>
          <w:tcPr>
            <w:tcW w:w="993" w:type="dxa"/>
            <w:tcBorders/>
            <w:vAlign w:val="center"/>
          </w:tcPr>
          <w:p>
            <w:pPr>
              <w:pStyle w:val="TableContents"/>
              <w:bidi w:val="0"/>
              <w:spacing w:before="1" w:after="1"/>
              <w:ind w:left="0" w:right="60" w:hanging="0"/>
              <w:jc w:val="right"/>
              <w:rPr/>
            </w:pPr>
            <w:r>
              <w:rPr/>
              <w:t>—</w:t>
            </w:r>
          </w:p>
        </w:tc>
      </w:tr>
    </w:tbl>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left"/>
        <w:rPr/>
      </w:pPr>
      <w:r>
        <w:rPr/>
        <w: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was not material to the Company’s condensed consolidated financial statements for the three months ended April 3, 2026.</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accumulated balances and reporting period activities for the periods below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15"/>
        <w:gridCol w:w="109"/>
        <w:gridCol w:w="538"/>
        <w:gridCol w:w="1233"/>
        <w:gridCol w:w="346"/>
        <w:gridCol w:w="646"/>
        <w:gridCol w:w="1618"/>
      </w:tblGrid>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46" w:type="dxa"/>
            <w:tcBorders/>
            <w:vAlign w:val="center"/>
          </w:tcPr>
          <w:p>
            <w:pPr>
              <w:pStyle w:val="TableContents"/>
              <w:bidi w:val="0"/>
              <w:spacing w:before="0" w:after="0"/>
              <w:ind w:left="0" w:right="0" w:hanging="0"/>
              <w:jc w:val="left"/>
              <w:rPr/>
            </w:pPr>
            <w:r>
              <w:rPr/>
              <w:t>​</w:t>
            </w:r>
          </w:p>
        </w:tc>
        <w:tc>
          <w:tcPr>
            <w:tcW w:w="22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Income (Loss)</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January 2, 2026</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 </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18" w:type="dxa"/>
            <w:tcBorders/>
            <w:shd w:fill="CCEEFF" w:val="cle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109"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April 3, 2026</w:t>
            </w:r>
          </w:p>
        </w:tc>
        <w:tc>
          <w:tcPr>
            <w:tcW w:w="109"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761" w:name="Tc_u9SxXIKYrkW3M9f_Nv8ggA_11_5"/>
      <w:bookmarkStart w:id="762" w:name="Tc_i2yYr8wHRkGmIrLe9to2PA_11_2"/>
      <w:bookmarkStart w:id="763" w:name="Tc_sP_dNkOw5EC6o7HJR_QJTg_11_0"/>
      <w:bookmarkStart w:id="764" w:name="Tc_qpar3cwg7kqyl8L3mPPe1w_10_0"/>
      <w:bookmarkStart w:id="765" w:name="Tc_4UG-ffAGa0abmpxGJQdY5g_9_0"/>
      <w:bookmarkStart w:id="766" w:name="Tc_B7HPqi6skUuIhnlO-zTytw_8_0"/>
      <w:bookmarkStart w:id="767" w:name="Tc_zwvhFwsbtUio58-iBPBzmg_7_0"/>
      <w:bookmarkStart w:id="768" w:name="Tc_F0Q1d5mu_EKKT2tMoVkkZg_6_6"/>
      <w:bookmarkStart w:id="769" w:name="Tc_c9p8p0c3m0e0EF1UP5Pv6w_6_3"/>
      <w:bookmarkStart w:id="770" w:name="Tc_8sCxblQ-ZkGFopZhlxH5mg_6_0"/>
      <w:bookmarkStart w:id="771" w:name="Tc_SHcCNXEsWkyswFrHq8de5g_5_6"/>
      <w:bookmarkStart w:id="772" w:name="Tc_-2dfS-dFzUOn0yyyyDzplA_5_3"/>
      <w:bookmarkStart w:id="773" w:name="Tc_VCd7G1knrUC3fpPFshc9xA_5_0"/>
      <w:bookmarkStart w:id="774" w:name="Tc_7kC-yP2470KR1mgM3X_95A_4_5"/>
      <w:bookmarkStart w:id="775" w:name="Tc_T4xZWyoIV06mN_UhDL0h6g_4_2"/>
      <w:bookmarkStart w:id="776" w:name="Tc_AheKf1yjmEqXEPkoUuBX1A_4_0"/>
      <w:bookmarkStart w:id="777" w:name="Tc_AGuyyYeyH0CryfmjxREviQ_3_2"/>
      <w:bookmarkStart w:id="778" w:name="Tc_bcd0xBv0H0KBvb_2jhYzHw_2_5"/>
      <w:bookmarkStart w:id="779" w:name="Tc_oi0jBxSXuUSM1ivhoK417w_2_2"/>
      <w:bookmarkStart w:id="780" w:name="Tc_V46oab1y4UqJ3n82A1V9tA_1_5"/>
      <w:bookmarkStart w:id="781" w:name="Tc_w3fYzXs0yUSx8TMy4uiG1Q_1_2"/>
      <w:bookmarkStart w:id="782" w:name="_312434a6_89dd_444a_a51f_21c2cb80edd3"/>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067" w:type="dxa"/>
        <w:jc w:val="left"/>
        <w:tblInd w:w="0" w:type="dxa"/>
        <w:tblLayout w:type="fixed"/>
        <w:tblCellMar>
          <w:top w:w="0" w:type="dxa"/>
          <w:left w:w="0" w:type="dxa"/>
          <w:bottom w:w="0" w:type="dxa"/>
          <w:right w:w="0" w:type="dxa"/>
        </w:tblCellMar>
      </w:tblPr>
      <w:tblGrid>
        <w:gridCol w:w="4486"/>
        <w:gridCol w:w="346"/>
        <w:gridCol w:w="211"/>
        <w:gridCol w:w="676"/>
        <w:gridCol w:w="346"/>
        <w:gridCol w:w="211"/>
        <w:gridCol w:w="791"/>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848610" cy="175260"/>
                      <wp:effectExtent l="0" t="0" r="0" b="0"/>
                      <wp:wrapNone/>
                      <wp:docPr id="94" name="Frame94"/>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2285" cy="175260"/>
                      <wp:effectExtent l="0" t="0" r="0" b="0"/>
                      <wp:wrapNone/>
                      <wp:docPr id="100" name="Frame10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48,462</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45,962</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Amended and Restated Credit Agreement (the “Amended and Restated Credit Agreement”) governing the Company’s Revolving Credit Facility and Delayed Draw Term Loan under the Amended and Restated Credit Agreement (the “Credit Facilities”) require the Company to comply with certain financial obligations, including a maximum Net Leverage Ratio and a minimum Fixed Charge Coverage Ratio (as defined in the Amended and Restated Credit Agreement). The Amended and Restated Credit Agreement also contains customary restrictive covenants. As of April 3, 2026, the Company was in compliance with all these covenants.</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as of April 3, 2026, the Company’s composite interest rate, exclusive of the effects of upfront fees, undrawn fees and issuance cost amortization, was 5.3%.</w:t>
      </w:r>
    </w:p>
    <w:p>
      <w:pPr>
        <w:pStyle w:val="TextBody"/>
        <w:bidi w:val="0"/>
        <w:spacing w:before="28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783" w:name="xxx"/>
      <w:bookmarkEnd w:id="783"/>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2034. In addition, the Company is obligated under finance leases for certain furniture and office equipment that expire at various dates through 2030.</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April 3, 2026,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784" w:name="Tc_JmTv86MFtEqbxpYQ--SylA_26_7"/>
      <w:bookmarkStart w:id="785" w:name="Tc_POTW5fAYnk6fGMjYjqBnnA_26_4"/>
      <w:bookmarkStart w:id="786" w:name="Tc_2sXdPSVUWU2ybfAQAJk-Og_26_0"/>
      <w:bookmarkStart w:id="787" w:name="Tc_PqTPPOXETUu1cVS0oAfdHw_25_7"/>
      <w:bookmarkStart w:id="788" w:name="Tc_9UE-w8f1O02frvU4q9HLjw_25_4"/>
      <w:bookmarkStart w:id="789" w:name="Tc_iFuQIDnxg02lhJxIiCZCKg_25_0"/>
      <w:bookmarkStart w:id="790" w:name="Tc_S6enLhDeIE6rpjAcmKwN8A_24_0"/>
      <w:bookmarkStart w:id="791" w:name="Tc_NxNxpZroB0SqnTecYS9qSQ_22_0"/>
      <w:bookmarkStart w:id="792" w:name="Tc_1g5Ghy-7K0mstXpLFqTnjw_21_0"/>
      <w:bookmarkStart w:id="793" w:name="Tc_I7a_gH5F6kqAv4j8L9G4Dg_20_0"/>
      <w:bookmarkStart w:id="794" w:name="Tc_n7uxb9hKX0Kx4JF5n-6_Lw_18_5"/>
      <w:bookmarkStart w:id="795" w:name="Tc_CnEkwxC7QEGycNrdQwsnqw_18_2"/>
      <w:bookmarkStart w:id="796" w:name="Tc_YSl2tgPYbE2GtlPPoTxs5g_18_0"/>
      <w:bookmarkStart w:id="797" w:name="Tc_v7pXU6J7HUqFn2hbNe3Z9g_17_0"/>
      <w:bookmarkStart w:id="798" w:name="Tc_Wdm34uZisUO4loQbhsRcow_16_5"/>
      <w:bookmarkStart w:id="799" w:name="Tc_HjsU3K41bkeAu4RCuEpVsQ_16_2"/>
      <w:bookmarkStart w:id="800" w:name="Tc_JNsHZLg0ekyMvDffH3INJA_16_0"/>
      <w:bookmarkStart w:id="801" w:name="Tc_1Cljrbbwike3lr3yVCJCXA_14_5"/>
      <w:bookmarkStart w:id="802" w:name="Tc_wwYso-3Rm06FIqLsg_e_Hg_14_2"/>
      <w:bookmarkStart w:id="803" w:name="Tc_fUkOVTP_90-IlvkiNiIwAA_13_0"/>
      <w:bookmarkStart w:id="804" w:name="Tc_dx68FbVQjk6Y3hmPfcZaFw_12_5"/>
      <w:bookmarkStart w:id="805" w:name="Tc_vCZDE5ya9UCU6e-8eVmjdg_12_2"/>
      <w:bookmarkStart w:id="806" w:name="Tc_0T8dqUHn7kGKifTfjdfVMQ_12_0"/>
      <w:bookmarkStart w:id="807" w:name="Tc_RZGFUdIeQU6oVzaL5V44wQ_11_0"/>
      <w:bookmarkStart w:id="808" w:name="Tc_Aige5DYqi02wSa9ba8f8MQ_9_5"/>
      <w:bookmarkStart w:id="809" w:name="Tc_dGNimOPJtk-nB2ZT09O8cw_9_2"/>
      <w:bookmarkStart w:id="810" w:name="Tc_x2194w_Ye0CzlLkWAqgSkQ_9_0"/>
      <w:bookmarkStart w:id="811" w:name="Tc_ClQJciJdY0mOxzlayrSc7Q_8_0"/>
      <w:bookmarkStart w:id="812" w:name="Tc_IGCbQ_VcDEuzCiUQmHr45A_7_5"/>
      <w:bookmarkStart w:id="813" w:name="Tc_M2wXZceaGE6sN4E0F0ZK_Q_7_2"/>
      <w:bookmarkStart w:id="814" w:name="Tc_FVkGqG7P8U6CGKcW_SOH8A_7_0"/>
      <w:bookmarkStart w:id="815" w:name="Tc_U9AQSRWKE0uifUaeeZZumQ_5_5"/>
      <w:bookmarkStart w:id="816" w:name="Tc_IoQE1EpHwEO4P02YvnvIZQ_5_2"/>
      <w:bookmarkStart w:id="817" w:name="Tc_QHLx4tNRoEWCcWTWgPbx6g_5_0"/>
      <w:bookmarkStart w:id="818" w:name="Tc_6mZjtO1Fsk6To5HCIgt4qg_4_0"/>
      <w:bookmarkStart w:id="819" w:name="Tc_S94CCPAKuU6-Hi0nalUTvw_3_2"/>
      <w:bookmarkStart w:id="820" w:name="Tc_FZVXjWysFUib4ahgoTm06w_2_5"/>
      <w:bookmarkStart w:id="821" w:name="Tc_z30wFYM-_kKYCMtbzBra-g_2_2"/>
      <w:bookmarkStart w:id="822" w:name="Tc_wMGRSRzlnUy8Yd4hjMKFDA_1_5"/>
      <w:bookmarkStart w:id="823" w:name="Tc_jnJsae83pEiVLYqP-iS-GQ_1_2"/>
      <w:bookmarkStart w:id="824" w:name="_5c1f5a99_fb42_44fe_9155_061cb791ebd0"/>
      <w:bookmarkStart w:id="825" w:name="Tc_rGgszSMvAUSMwloKe5-Qhg_10_4"/>
      <w:bookmarkStart w:id="826" w:name="Tc_cYivBKyXOkSHxIEWx2yvSA_10_1"/>
      <w:bookmarkStart w:id="827" w:name="Tc_WH5gLPezb0uioOvEmIba4g_10_0"/>
      <w:bookmarkStart w:id="828" w:name="Tc_XnCTEwK9BUmcRxVDRSnmdA_9_0"/>
      <w:bookmarkStart w:id="829" w:name="Tc_F75UwY5iPUiHPSwR37y7yg_8_0"/>
      <w:bookmarkStart w:id="830" w:name="Tc_2QhAvNZQv0abZlvVCphPmg_7_0"/>
      <w:bookmarkStart w:id="831" w:name="Tc_7dxsa6gceUWhKA-y5xQ7LA_6_0"/>
      <w:bookmarkStart w:id="832" w:name="Tc_4O4DQu4MkUmaDDS4Kat8mQ_5_4"/>
      <w:bookmarkStart w:id="833" w:name="Tc_MGG2ftWip0qcf5xlb0MZuw_5_1"/>
      <w:bookmarkStart w:id="834" w:name="Tc_MBqBuqiMhkWxeu4FXqjLPQ_5_0"/>
      <w:bookmarkStart w:id="835" w:name="Tc_hX5FzTcEVUqoEctQaL8b7A_4_1"/>
      <w:bookmarkStart w:id="836" w:name="Tc_TqrepPhREkyatYEi4GOM5w_3_4"/>
      <w:bookmarkStart w:id="837" w:name="Tc_f3V3kjIxPkKT54CPdSCFRA_3_1"/>
      <w:bookmarkStart w:id="838" w:name="Tc_UPgBAFZtTEidP-1IbNutbQ_2_4"/>
      <w:bookmarkStart w:id="839" w:name="Tc_8ZiY_GJkqE2gLdnC7XtpXg_2_1"/>
      <w:bookmarkStart w:id="840" w:name="Tc_mRmGU0HGbk24QAG1oDlD9w_1_1"/>
      <w:bookmarkStart w:id="841" w:name="_9ee4b882_7b2c_4a23_9a8c_86e8929a3c68"/>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sz w:val="20"/>
        </w:rPr>
        <w:t>The following is a summary of the Company’s lease expense:</w:t>
      </w:r>
    </w:p>
    <w:p>
      <w:pPr>
        <w:pStyle w:val="TextBody"/>
        <w:bidi w:val="0"/>
        <w:spacing w:before="0" w:after="0"/>
        <w:ind w:left="0" w:right="0" w:hanging="0"/>
        <w:jc w:val="left"/>
        <w:rPr/>
      </w:pPr>
      <w:r>
        <w:rPr/>
        <w:t>​</w:t>
      </w:r>
    </w:p>
    <w:tbl>
      <w:tblPr>
        <w:tblW w:w="4276" w:type="dxa"/>
        <w:jc w:val="left"/>
        <w:tblInd w:w="0" w:type="dxa"/>
        <w:tblLayout w:type="fixed"/>
        <w:tblCellMar>
          <w:top w:w="0" w:type="dxa"/>
          <w:left w:w="0" w:type="dxa"/>
          <w:bottom w:w="0" w:type="dxa"/>
          <w:right w:w="0" w:type="dxa"/>
        </w:tblCellMar>
      </w:tblPr>
      <w:tblGrid>
        <w:gridCol w:w="2251"/>
        <w:gridCol w:w="211"/>
        <w:gridCol w:w="571"/>
        <w:gridCol w:w="346"/>
        <w:gridCol w:w="211"/>
        <w:gridCol w:w="6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29385" cy="175260"/>
                      <wp:effectExtent l="0" t="0" r="0" b="0"/>
                      <wp:wrapNone/>
                      <wp:docPr id="101" name="Frame10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5610" cy="175260"/>
                      <wp:effectExtent l="0" t="0" r="0" b="0"/>
                      <wp:wrapNone/>
                      <wp:docPr id="106" name="Frame10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51" w:type="dxa"/>
            <w:tcBorders/>
            <w:vAlign w:val="center"/>
          </w:tcPr>
          <w:p>
            <w:pPr>
              <w:pStyle w:val="TableContents"/>
              <w:bidi w:val="0"/>
              <w:spacing w:before="0" w:after="0"/>
              <w:ind w:left="0" w:right="0" w:hanging="0"/>
              <w:jc w:val="left"/>
              <w:rPr/>
            </w:pPr>
            <w:r>
              <w:rPr/>
              <w:t>​</w:t>
            </w:r>
          </w:p>
        </w:tc>
        <w:tc>
          <w:tcPr>
            <w:tcW w:w="202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2,007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hanging="0"/>
        <w:jc w:val="left"/>
        <w:rPr/>
      </w:pPr>
      <w:r>
        <w:rPr/>
        <w:t>​</w:t>
      </w:r>
    </w:p>
    <w:tbl>
      <w:tblPr>
        <w:tblW w:w="8651" w:type="dxa"/>
        <w:jc w:val="left"/>
        <w:tblInd w:w="0" w:type="dxa"/>
        <w:tblLayout w:type="fixed"/>
        <w:tblCellMar>
          <w:top w:w="0" w:type="dxa"/>
          <w:left w:w="0" w:type="dxa"/>
          <w:bottom w:w="0" w:type="dxa"/>
          <w:right w:w="0" w:type="dxa"/>
        </w:tblCellMar>
      </w:tblPr>
      <w:tblGrid>
        <w:gridCol w:w="6076"/>
        <w:gridCol w:w="109"/>
        <w:gridCol w:w="211"/>
        <w:gridCol w:w="691"/>
        <w:gridCol w:w="346"/>
        <w:gridCol w:w="211"/>
        <w:gridCol w:w="691"/>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58260" cy="175260"/>
                      <wp:effectExtent l="0" t="0" r="0" b="0"/>
                      <wp:wrapNone/>
                      <wp:docPr id="107" name="Frame107"/>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8785" cy="175260"/>
                      <wp:effectExtent l="0" t="0" r="0" b="0"/>
                      <wp:wrapNone/>
                      <wp:docPr id="110" name="Frame1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38785" cy="175260"/>
                      <wp:effectExtent l="0" t="0" r="0" b="0"/>
                      <wp:wrapNone/>
                      <wp:docPr id="113" name="Frame11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0660" cy="175260"/>
                      <wp:effectExtent l="0" t="0" r="0" b="0"/>
                      <wp:wrapNone/>
                      <wp:docPr id="114" name="Frame11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18,432</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Rent expense was $1.6 million and $1.8 million for the three months ended April 3, 2026 and April 4,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842" w:name="Tc_MmOrIYFFJ0G_iwCtDa_zyw_14_5"/>
      <w:bookmarkStart w:id="843" w:name="Tc_Pqh3jx1ylEmSNd-EnwNtNw_14_2"/>
      <w:bookmarkStart w:id="844" w:name="Tc_upss4m69iE-GKvVhHVUtUQ_14_0"/>
      <w:bookmarkStart w:id="845" w:name="Tc_la1KYfEMYUKOsdsMdeSJVA_13_0"/>
      <w:bookmarkStart w:id="846" w:name="Tc_xy-6vmIurEmvqRTQJRphfQ_12_0"/>
      <w:bookmarkStart w:id="847" w:name="Tc_1I1L3AEvc0W1gB4wBW3c2g_11_0"/>
      <w:bookmarkStart w:id="848" w:name="Tc_--2MWeVtskGPZWff9zXExQ_10_0"/>
      <w:bookmarkStart w:id="849" w:name="Tc_01UinJuh3kulNDaSpgTfDg_9_6"/>
      <w:bookmarkStart w:id="850" w:name="Tc_fEhaWVmJZk2HCWKhSQX9ow_9_0"/>
      <w:bookmarkStart w:id="851" w:name="Tc_HTfoAj9E9kW6fpnGmpExkA_8_0"/>
      <w:bookmarkStart w:id="852" w:name="Tc_ZekP1kPBo02DWUkOQK2Nvg_7_0"/>
      <w:bookmarkStart w:id="853" w:name="Tc_bvkELdBkfkuCKRAYvrRG5Q_6_0"/>
      <w:bookmarkStart w:id="854" w:name="Tc_P8qhom2MkUe_4O_sbld3Pw_5_0"/>
      <w:bookmarkStart w:id="855" w:name="Tc_uzfKmWfWI0-kyBHxap9LvA_4_5"/>
      <w:bookmarkStart w:id="856" w:name="Tc_5FcbOiDcWU2328lc6hG9jw_4_2"/>
      <w:bookmarkStart w:id="857" w:name="Tc_9e-u5FxIdkW2CSuuqvMA2g_4_0"/>
      <w:bookmarkStart w:id="858" w:name="Tc__Sx2Lt0c80KZg1O87Z4Sug_3_0"/>
      <w:bookmarkStart w:id="859" w:name="Tc_jI3v31kRMEal0DYOB4g7EA_2_2"/>
      <w:bookmarkStart w:id="860" w:name="Tc_jIn59xfPykyKSwu2Eq5pcg_1_5"/>
      <w:bookmarkStart w:id="861" w:name="Tc_c7Rcl2WWbkiCFXIuHGkORg_1_2"/>
      <w:bookmarkStart w:id="862" w:name="_1e3a943f_a13e_4b2f_85fa_69288b81f6cd"/>
      <w:bookmarkStart w:id="863" w:name="Tc_6wHNWH0flk-CyK5fmnj0Mw_11_5"/>
      <w:bookmarkStart w:id="864" w:name="Tc_Z1wdSQObwkGMHvoveHDpGg_11_2"/>
      <w:bookmarkStart w:id="865" w:name="Tc_bbxmrv_p9UyJM6zkYMgVCg_11_0"/>
      <w:bookmarkStart w:id="866" w:name="Tc_0UQHFe_tOUmJIBEiZVx-5A_10_0"/>
      <w:bookmarkStart w:id="867" w:name="Tc_NxaF4lV_nEW8zQ3b7fCuMA_8_0"/>
      <w:bookmarkStart w:id="868" w:name="Tc_jPNEAGH-jEyrRppunrhy7w_7_0"/>
      <w:bookmarkStart w:id="869" w:name="Tc_owQZ6OmIp0WzlAanYheCfA_6_5"/>
      <w:bookmarkStart w:id="870" w:name="Tc_b9FMJTB0MkSa-Gl5CwcK2Q_6_2"/>
      <w:bookmarkStart w:id="871" w:name="Tc_3vIfRU-Yw0ScrC-6riho9g_6_0"/>
      <w:bookmarkStart w:id="872" w:name="Tc_NuZFJVobVk2PbFUnEuywbQ_5_0"/>
      <w:bookmarkStart w:id="873" w:name="Tc_2uhZ43V3zkiOTzwa7ndRMA_4_2"/>
      <w:bookmarkStart w:id="874" w:name="Tc_BOUoYsty1kmazsSF7pi8yA_3_5"/>
      <w:bookmarkStart w:id="875" w:name="Tc_bUgBcKcbD0eZWpQDPX5e0Q_3_2"/>
      <w:bookmarkStart w:id="876" w:name="Tc_ODsb39oCIk2RTAmUjp0viw_2_5"/>
      <w:bookmarkStart w:id="877" w:name="Tc_fDS_9j0uVk-_pBEqH_O7hg_2_2"/>
      <w:bookmarkStart w:id="878" w:name="Tc_B5LpyTb5cU6KCCTzz-LmxA_1_2"/>
      <w:bookmarkStart w:id="879" w:name="_49b25e5b_8c25_4169_902e_110e24caa58e"/>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sz w:val="20"/>
        </w:rPr>
        <w:t>The following is a summary of other information and supplemental cash flow information related to finance and operating leases:</w:t>
      </w:r>
    </w:p>
    <w:p>
      <w:pPr>
        <w:pStyle w:val="TextBody"/>
        <w:bidi w:val="0"/>
        <w:spacing w:before="0" w:after="0"/>
        <w:ind w:left="0" w:right="0" w:hanging="0"/>
        <w:jc w:val="left"/>
        <w:rPr/>
      </w:pPr>
      <w:r>
        <w:rPr/>
        <w:t>​</w:t>
      </w:r>
    </w:p>
    <w:tbl>
      <w:tblPr>
        <w:tblW w:w="7930" w:type="dxa"/>
        <w:jc w:val="left"/>
        <w:tblInd w:w="0" w:type="dxa"/>
        <w:tblLayout w:type="fixed"/>
        <w:tblCellMar>
          <w:top w:w="0" w:type="dxa"/>
          <w:left w:w="0" w:type="dxa"/>
          <w:bottom w:w="0" w:type="dxa"/>
          <w:right w:w="0" w:type="dxa"/>
        </w:tblCellMar>
      </w:tblPr>
      <w:tblGrid>
        <w:gridCol w:w="5866"/>
        <w:gridCol w:w="109"/>
        <w:gridCol w:w="211"/>
        <w:gridCol w:w="571"/>
        <w:gridCol w:w="346"/>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24910" cy="175260"/>
                      <wp:effectExtent l="0" t="0" r="0" b="0"/>
                      <wp:wrapNone/>
                      <wp:docPr id="115" name="Frame115"/>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8" name="Frame1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91160" cy="175260"/>
                      <wp:effectExtent l="0" t="0" r="0" b="0"/>
                      <wp:wrapNone/>
                      <wp:docPr id="121" name="Frame12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April 3, 2026:</w:t>
      </w:r>
    </w:p>
    <w:p>
      <w:pPr>
        <w:pStyle w:val="TextBody"/>
        <w:bidi w:val="0"/>
        <w:spacing w:before="0" w:after="0"/>
        <w:ind w:left="0" w:right="0" w:hanging="0"/>
        <w:jc w:val="left"/>
        <w:rPr/>
      </w:pPr>
      <w:r>
        <w:rPr/>
        <w:t>​</w:t>
      </w:r>
    </w:p>
    <w:tbl>
      <w:tblPr>
        <w:tblW w:w="5028" w:type="dxa"/>
        <w:jc w:val="left"/>
        <w:tblInd w:w="0" w:type="dxa"/>
        <w:tblLayout w:type="fixed"/>
        <w:tblCellMar>
          <w:top w:w="0" w:type="dxa"/>
          <w:left w:w="0" w:type="dxa"/>
          <w:bottom w:w="0" w:type="dxa"/>
          <w:right w:w="0" w:type="dxa"/>
        </w:tblCellMar>
      </w:tblPr>
      <w:tblGrid>
        <w:gridCol w:w="2461"/>
        <w:gridCol w:w="346"/>
        <w:gridCol w:w="211"/>
        <w:gridCol w:w="691"/>
        <w:gridCol w:w="34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62735" cy="175895"/>
                      <wp:effectExtent l="0" t="0" r="0" b="0"/>
                      <wp:wrapNone/>
                      <wp:docPr id="122" name="Frame122"/>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895"/>
                      <wp:effectExtent l="0" t="0" r="0" b="0"/>
                      <wp:wrapNone/>
                      <wp:docPr id="123" name="Frame12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895"/>
                      <wp:effectExtent l="0" t="0" r="0" b="0"/>
                      <wp:wrapNone/>
                      <wp:docPr id="124" name="Frame12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38785" cy="175895"/>
                      <wp:effectExtent l="0" t="0" r="0" b="0"/>
                      <wp:wrapNone/>
                      <wp:docPr id="125" name="Frame125"/>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895"/>
                      <wp:effectExtent l="0" t="0" r="0" b="0"/>
                      <wp:wrapNone/>
                      <wp:docPr id="126" name="Frame12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895"/>
                      <wp:effectExtent l="0" t="0" r="0" b="0"/>
                      <wp:wrapNone/>
                      <wp:docPr id="127" name="Frame12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62585" cy="175895"/>
                      <wp:effectExtent l="0" t="0" r="0" b="0"/>
                      <wp:wrapNone/>
                      <wp:docPr id="128" name="Frame128"/>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1285" cy="175895"/>
                      <wp:effectExtent l="0" t="0" r="0" b="0"/>
                      <wp:wrapNone/>
                      <wp:docPr id="129" name="Frame129"/>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bottom w:val="single" w:sz="2" w:space="0" w:color="000000"/>
            </w:tcBorders>
            <w:tcMar>
              <w:bottom w:w="28" w:type="dxa"/>
            </w:tcMar>
            <w:vAlign w:val="center"/>
          </w:tcPr>
          <w:p>
            <w:pPr>
              <w:pStyle w:val="TableContents"/>
              <w:bidi w:val="0"/>
              <w:spacing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3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4,318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4,797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3,829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2,779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1,963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22,473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2,593</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19,129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2,463</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4,734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1,275</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14,395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1,188</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Under the Plan, the Company may make discretionary contributions to employee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April 3, 2026 and April 4, 2025, the Company made matching contributions of $1.4 million for each period</w:t>
      </w:r>
      <w:r>
        <w:rPr>
          <w:rFonts w:ascii="Times New Roman;Times;serif" w:hAnsi="Times New Roman;Times;serif"/>
          <w:sz w:val="20"/>
          <w:shd w:fill="FFFFFF" w:val="clea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April 3, 2026, the Company had one VIE — Genesys.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880" w:name="Tc_8r3qulHuUkC2bUaQmPtHag_16_12"/>
      <w:bookmarkStart w:id="881" w:name="Tc_OxJaCuK910-7_zXi28HWgA_16_0"/>
      <w:bookmarkStart w:id="882" w:name="Tc_Xd2wG6qXFkG-9YA7MfCdGg_15_12"/>
      <w:bookmarkStart w:id="883" w:name="Tc_mlwmc9123k2Hn6otfguoWQ_15_0"/>
      <w:bookmarkStart w:id="884" w:name="Tc_xlmVcWNFTE-yfCcTYoJalg_14_12"/>
      <w:bookmarkStart w:id="885" w:name="Tc_EmzcE16HgUiBJbS-2-vTwA_14_0"/>
      <w:bookmarkStart w:id="886" w:name="Tc_XJbv_sMcZky9-iXJlK8xgw_13_12"/>
      <w:bookmarkStart w:id="887" w:name="Tc_FX6i9rb6V0GeVtfjaXDBAQ_13_0"/>
      <w:bookmarkStart w:id="888" w:name="Tc_MKzY2Ml9pkq8_xJLZCbnfQ_12_12"/>
      <w:bookmarkStart w:id="889" w:name="Tc_DrV84ug2u066AwPpiRosWw_12_9"/>
      <w:bookmarkStart w:id="890" w:name="Tc_t-jOZz_gAkSQUoIG0DyghQ_12_0"/>
      <w:bookmarkStart w:id="891" w:name="Tc_JgZLcs9xrk6eymWbyA_Pvw_11_12"/>
      <w:bookmarkStart w:id="892" w:name="Tc_MClpLkIWDEauN549FozPDQ_11_6"/>
      <w:bookmarkStart w:id="893" w:name="Tc_HV5USwR98kuV0q0DCv8vlQ_11_3"/>
      <w:bookmarkStart w:id="894" w:name="Tc_URTN22UxGE2o8_aO7S2nUg_11_0"/>
      <w:bookmarkStart w:id="895" w:name="Tc_bneXDfJkqk2DWupMhjjWaw_10_12"/>
      <w:bookmarkStart w:id="896" w:name="Tc_W2-g67e_bkKccHRl8_msqg_10_0"/>
      <w:bookmarkStart w:id="897" w:name="Tc_Jp7KZ7-gaEyk9VLXkQHyNQ_9_12"/>
      <w:bookmarkStart w:id="898" w:name="Tc_0iy7FArP3ESoAxxHaZ9UaA_9_0"/>
      <w:bookmarkStart w:id="899" w:name="Tc_28mNl2iFFkO_Vy0P5FBRzw_8_12"/>
      <w:bookmarkStart w:id="900" w:name="Tc_j74vg56IaUicVCh8z9DdJQ_8_9"/>
      <w:bookmarkStart w:id="901" w:name="Tc_1iWY2xMjqUGpZyzxAerbWA_8_0"/>
      <w:bookmarkStart w:id="902" w:name="Tc_Rb08OIF86kaShZYQVkMcWA_7_12"/>
      <w:bookmarkStart w:id="903" w:name="Tc_pSQrNAy6pkCWF-laGonwHA_7_9"/>
      <w:bookmarkStart w:id="904" w:name="Tc_j_CLZQmThk2F20yCoUzK6w_7_0"/>
      <w:bookmarkStart w:id="905" w:name="Tc_w0YWFAuNG0Cg5ThsIi4EGQ_6_12"/>
      <w:bookmarkStart w:id="906" w:name="Tc_XUsFDuZ0NESwlMrQlXNcOQ_6_9"/>
      <w:bookmarkStart w:id="907" w:name="Tc_TXe7948OpUCHJxX5jYQubA_6_0"/>
      <w:bookmarkStart w:id="908" w:name="Tc_NlY0uomxUEiTU5fD1GRLqA_5_14"/>
      <w:bookmarkStart w:id="909" w:name="Tc_8aqDy7PrzU62lWHag49meQ_5_12"/>
      <w:bookmarkStart w:id="910" w:name="Tc_ZY-uSyjNNUODvsUWQ386qw_5_11"/>
      <w:bookmarkStart w:id="911" w:name="Tc_gR9td1tESE-Z67DpCzYZpw_5_9"/>
      <w:bookmarkStart w:id="912" w:name="Tc_7F9zJNZ0QE-5dgtxwMux6Q_5_8"/>
      <w:bookmarkStart w:id="913" w:name="Tc_Jym4R8W-dkWgoiPJTka6Qw_5_5"/>
      <w:bookmarkStart w:id="914" w:name="Tc_ZNmpm0119kK7tizh6wb6uQ_5_2"/>
      <w:bookmarkStart w:id="915" w:name="Tc_xIH3kjQsAUOSi3mQOSOUFg_5_0"/>
      <w:bookmarkStart w:id="916" w:name="Tc_sb9KCukPaUarpC9W_qLAAg_4_0"/>
      <w:bookmarkStart w:id="917" w:name="Tc_cGzLY8rmFEOWiM-Twni2-Q_3_2"/>
      <w:bookmarkStart w:id="918" w:name="Tc_fXuLVbKsF0W3tKdzQ0GDcw_2_14"/>
      <w:bookmarkStart w:id="919" w:name="Tc_XGoMBTY0hkmuIa1Vy9xf1Q_2_11"/>
      <w:bookmarkStart w:id="920" w:name="Tc_L5ISWlvHS0mqVWOLnnFuRA_2_8"/>
      <w:bookmarkStart w:id="921" w:name="Tc_WY4olPkkfUyQ4geQVh1aCw_2_5"/>
      <w:bookmarkStart w:id="922" w:name="Tc_wtiK5w12xUa1kPuubiTehA_2_2"/>
      <w:bookmarkStart w:id="923" w:name="Tc_RpyKKGvTgEe44lgC19Ic9w_1_14"/>
      <w:bookmarkStart w:id="924" w:name="Tc_m_EZ4cVzbkKuuiO2z4zhlA_1_8"/>
      <w:bookmarkStart w:id="925" w:name="Tc_ZDZzN5egS065UajwiifNPA_1_5"/>
      <w:bookmarkStart w:id="926" w:name="_6ed5f7ee_25fe_4666_b2d7_8c59cfc71556"/>
      <w:bookmarkStart w:id="927" w:name="Tc_KE5pL2u-pkmMbQQzBhGZHQ_16_12"/>
      <w:bookmarkStart w:id="928" w:name="Tc_ov9N2Yrm4UOTfaRgRb67Iw_16_0"/>
      <w:bookmarkStart w:id="929" w:name="Tc_HRxot6xVs0KiFPE1tEiJ3w_15_12"/>
      <w:bookmarkStart w:id="930" w:name="Tc_Is9DYBAqgkCk6zLEr6CbLA_15_0"/>
      <w:bookmarkStart w:id="931" w:name="Tc_3mtJqP5WlUKqG5TC3RYnaA_14_12"/>
      <w:bookmarkStart w:id="932" w:name="Tc_un-kLznSaEyWkYKwQD9sDg_14_0"/>
      <w:bookmarkStart w:id="933" w:name="Tc_eCV3XozQ1kiHE5qnFCqzSA_13_12"/>
      <w:bookmarkStart w:id="934" w:name="Tc_uVvNlNo7eUO_YrhIb5w4Cg_13_0"/>
      <w:bookmarkStart w:id="935" w:name="Tc_msSYvWPczEKgCgmb75A-dg_12_12"/>
      <w:bookmarkStart w:id="936" w:name="Tc_dGjk2zlXaEGMB5m7GuUwQQ_12_9"/>
      <w:bookmarkStart w:id="937" w:name="Tc_xygWUpLGkkGmcSckkHKgBQ_12_0"/>
      <w:bookmarkStart w:id="938" w:name="Tc_sK7S4eyCqUGG-QvQu7zzDw_11_12"/>
      <w:bookmarkStart w:id="939" w:name="Tc_0sJ51PAKeUOq3LEBGtuUnw_11_6"/>
      <w:bookmarkStart w:id="940" w:name="Tc_zZG-PduH9kuHMripKW1V5g_11_3"/>
      <w:bookmarkStart w:id="941" w:name="Tc_EsVRzM1b9Ey7stemDb9Prw_11_0"/>
      <w:bookmarkStart w:id="942" w:name="Tc_q8jwaB6ihUOe4kxCu4Kvlw_10_12"/>
      <w:bookmarkStart w:id="943" w:name="Tc_Dj5L8G6WBk69UVj7IBI-gQ_10_0"/>
      <w:bookmarkStart w:id="944" w:name="Tc_yepH8O1UO0W_vYS-JpnEqw_9_12"/>
      <w:bookmarkStart w:id="945" w:name="Tc_qu3ELWcCeEOZ_qNyDJIh-Q_9_0"/>
      <w:bookmarkStart w:id="946" w:name="Tc_Zxjd7w-ZG0ClNd3SIslOhg_8_12"/>
      <w:bookmarkStart w:id="947" w:name="Tc_NxB-yvN8TkqmvvbjjuFrxg_8_9"/>
      <w:bookmarkStart w:id="948" w:name="Tc_bcuEATACqk-360WpJvK2FQ_8_0"/>
      <w:bookmarkStart w:id="949" w:name="Tc_xnRylG2FakqyCKG8Eg0Evw_7_12"/>
      <w:bookmarkStart w:id="950" w:name="Tc_46_86n0wz0qSpkfturu9mg_7_9"/>
      <w:bookmarkStart w:id="951" w:name="Tc_kvoypfVLfEWegO3lDqt_mg_7_0"/>
      <w:bookmarkStart w:id="952" w:name="Tc_kBjg0C3ax0uhmraq3Mn4Gg_6_12"/>
      <w:bookmarkStart w:id="953" w:name="Tc_CG9udCbQ3kS0HGGuDDPWiw_6_9"/>
      <w:bookmarkStart w:id="954" w:name="Tc_Yk5AM-kmykmg_m9i3XPziQ_6_0"/>
      <w:bookmarkStart w:id="955" w:name="Tc_RS1tt-9OnE6d3j3NgZKh7A_5_14"/>
      <w:bookmarkStart w:id="956" w:name="Tc_cRU2wa5v_EmOjcehdeOSpQ_5_12"/>
      <w:bookmarkStart w:id="957" w:name="Tc_YVVXh4WhekeHxPqy9mMqXg_5_11"/>
      <w:bookmarkStart w:id="958" w:name="Tc_ysrwZhb0xEaHchT3x-E9Ng_5_9"/>
      <w:bookmarkStart w:id="959" w:name="Tc__pYoEAcy-U6oQfKQr-0P8Q_5_8"/>
      <w:bookmarkStart w:id="960" w:name="Tc_snaenmY_30KouTrhQrXN2Q_5_5"/>
      <w:bookmarkStart w:id="961" w:name="Tc_7IYRXy1mqEazhlVo5Bbr9Q_5_2"/>
      <w:bookmarkStart w:id="962" w:name="Tc_OxjHtGaIMUCEEjiQvm9v9w_5_0"/>
      <w:bookmarkStart w:id="963" w:name="Tc_MyBUaxQqgEODtnbHnSWyFg_4_0"/>
      <w:bookmarkStart w:id="964" w:name="Tc_8FrF0Gkdrkq_m4itJyKz2w_3_2"/>
      <w:bookmarkStart w:id="965" w:name="Tc_wBAbmLwiJk-CgVme18HM7w_2_14"/>
      <w:bookmarkStart w:id="966" w:name="Tc_mRPb6KsfT0GMvnNFLMqDYg_2_11"/>
      <w:bookmarkStart w:id="967" w:name="Tc_W7aZ7ptCuEOyQOsNB6WD1A_2_8"/>
      <w:bookmarkStart w:id="968" w:name="Tc_l51ncBcsNECWOq6kFTou5Q_2_5"/>
      <w:bookmarkStart w:id="969" w:name="Tc_Kz5SaP9sgUqAx1Lznim3eA_2_2"/>
      <w:bookmarkStart w:id="970" w:name="Tc_K2nc4DFUU0O9giMVch2n5g_1_14"/>
      <w:bookmarkStart w:id="971" w:name="Tc_wNBHOxC87E29kT5uI5gF6Q_1_8"/>
      <w:bookmarkStart w:id="972" w:name="Tc_gGsNnT662EuYRU9KLLoCqA_1_5"/>
      <w:bookmarkStart w:id="973" w:name="_480b5bb5_6d26_4495_8028_979b089540af"/>
      <w:bookmarkStart w:id="974" w:name="_f0805b8e_f71d_4f70_a650_11d9646143df_5"/>
      <w:bookmarkStart w:id="975" w:name="_f0805b8e_f71d_4f70_a650_11d9646143df_4"/>
      <w:bookmarkStart w:id="976" w:name="_f0805b8e_f71d_4f70_a650_11d9646143df_3"/>
      <w:bookmarkStart w:id="977" w:name="_f0805b8e_f71d_4f70_a650_11d9646143df_2"/>
      <w:bookmarkStart w:id="978" w:name="_f0805b8e_f71d_4f70_a650_11d9646143df"/>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two segments are Energy, and Engineering and Consulting, and the Company’s chief operating decision maker, which continues to be its chief executive officer, receives and reviews financial information in this format.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ASU 2023-07, the Company’s chief operating decision maker (“CODM”) evaluates the performance of each segment based upon the information provided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months ended April 3, 2026 and April 4, 2025. In addition, enterprise-wide service line contract revenue is not included as it is impracticable to report this information for each group of similar services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tbl>
      <w:tblPr>
        <w:tblW w:w="9854"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631"/>
        <w:gridCol w:w="346"/>
        <w:gridCol w:w="479"/>
        <w:gridCol w:w="407"/>
        <w:gridCol w:w="346"/>
        <w:gridCol w:w="196"/>
        <w:gridCol w:w="79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305685" cy="175260"/>
                      <wp:effectExtent l="0" t="0" r="0" b="0"/>
                      <wp:wrapNone/>
                      <wp:docPr id="130" name="Frame130"/>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38785" cy="175260"/>
                      <wp:effectExtent l="0" t="0" r="0" b="0"/>
                      <wp:wrapNone/>
                      <wp:docPr id="133" name="Frame1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9700" cy="175260"/>
                      <wp:effectExtent l="0" t="0" r="0" b="0"/>
                      <wp:wrapNone/>
                      <wp:docPr id="135" name="Frame13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2435" cy="175260"/>
                      <wp:effectExtent l="0" t="0" r="0" b="0"/>
                      <wp:wrapNone/>
                      <wp:docPr id="136" name="Frame13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8" name="Frame1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00685" cy="175260"/>
                      <wp:effectExtent l="0" t="0" r="0" b="0"/>
                      <wp:wrapNone/>
                      <wp:docPr id="139" name="Frame13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04165" cy="175260"/>
                      <wp:effectExtent l="0" t="0" r="0" b="0"/>
                      <wp:wrapNone/>
                      <wp:docPr id="141" name="Frame141"/>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8445" cy="175260"/>
                      <wp:effectExtent l="0" t="0" r="0" b="0"/>
                      <wp:wrapNone/>
                      <wp:docPr id="142" name="Frame142"/>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4" name="Frame1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5460" cy="175260"/>
                      <wp:effectExtent l="0" t="0" r="0" b="0"/>
                      <wp:wrapNone/>
                      <wp:docPr id="145" name="Frame1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77"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April 3,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60,988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62,682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29,276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48,883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36,547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3,278</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50,418</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(2,726)</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13,533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(3,561)</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9,030</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(4,189)</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399,813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65,469</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511,684</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166"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EBITDA” is defined as earnings before interest, taxes, depreciation and amortization.</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rPr/>
      </w:pPr>
      <w:r>
        <w:rPr/>
        <w:t> </w:t>
      </w:r>
    </w:p>
    <w:tbl>
      <w:tblPr>
        <w:tblW w:w="9844"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631"/>
        <w:gridCol w:w="346"/>
        <w:gridCol w:w="479"/>
        <w:gridCol w:w="407"/>
        <w:gridCol w:w="346"/>
        <w:gridCol w:w="196"/>
        <w:gridCol w:w="78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05685" cy="175260"/>
                      <wp:effectExtent l="0" t="0" r="0" b="0"/>
                      <wp:wrapNone/>
                      <wp:docPr id="146" name="Frame146"/>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8785" cy="175260"/>
                      <wp:effectExtent l="0" t="0" r="0" b="0"/>
                      <wp:wrapNone/>
                      <wp:docPr id="149" name="Frame1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9700" cy="175260"/>
                      <wp:effectExtent l="0" t="0" r="0" b="0"/>
                      <wp:wrapNone/>
                      <wp:docPr id="151" name="Frame15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2435" cy="175260"/>
                      <wp:effectExtent l="0" t="0" r="0" b="0"/>
                      <wp:wrapNone/>
                      <wp:docPr id="152" name="Frame152"/>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00685" cy="175260"/>
                      <wp:effectExtent l="0" t="0" r="0" b="0"/>
                      <wp:wrapNone/>
                      <wp:docPr id="155" name="Frame1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04165" cy="175260"/>
                      <wp:effectExtent l="0" t="0" r="0" b="0"/>
                      <wp:wrapNone/>
                      <wp:docPr id="157" name="Frame157"/>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58445" cy="175260"/>
                      <wp:effectExtent l="0" t="0" r="0" b="0"/>
                      <wp:wrapNone/>
                      <wp:docPr id="158" name="Frame158"/>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60" name="Frame1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9110" cy="175260"/>
                      <wp:effectExtent l="0" t="0" r="0" b="0"/>
                      <wp:wrapNone/>
                      <wp:docPr id="161" name="Frame16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7"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April 4,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66,080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67,048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16,541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27,677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43,627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57,661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34,548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1,361</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46,185</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3,955</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4,440</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5,127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(3,204)</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(2,891)</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4,687</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349,662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79,863</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471,158</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211"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 xml:space="preserve">EBITDA” is defined as earnings before interest, taxes, depreciation and amortization.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979" w:name="Tc_kxZq8h3-KEmWcckFnUXyPA_17_8"/>
      <w:bookmarkStart w:id="980" w:name="Tc_o7fhMWctZU67SxEx_uQhnQ_17_5"/>
      <w:bookmarkStart w:id="981" w:name="Tc_w7owkObTuEOXbLUTmBDgbQ_17_2"/>
      <w:bookmarkStart w:id="982" w:name="Tc_3f73rMk2lU2Vri-chyPQTQ_17_0"/>
      <w:bookmarkStart w:id="983" w:name="Tc_03lLaxQnGkyQMIzdC0k_Jw_16_0"/>
      <w:bookmarkStart w:id="984" w:name="Tc_ae4PsfjMYEC4X4HyKb0e0g_14_8"/>
      <w:bookmarkStart w:id="985" w:name="Tc_EupbwPQjbUScXIht2AJpNA_14_5"/>
      <w:bookmarkStart w:id="986" w:name="Tc_xqHLpbXOtUa6PfPreiagKQ_14_2"/>
      <w:bookmarkStart w:id="987" w:name="Tc_JdLyfEcVxkWPv9VLivCOcw_14_0"/>
      <w:bookmarkStart w:id="988" w:name="Tc_fa7BCkwVK0-EdQLXeGa3zg_13_0"/>
      <w:bookmarkStart w:id="989" w:name="Tc_kJZHPwFcg0mbiDUp_v5TOw_12_0"/>
      <w:bookmarkStart w:id="990" w:name="Tc_ZIiw-Pm83Eqc9gJ89ljr5Q_11_8"/>
      <w:bookmarkStart w:id="991" w:name="Tc_uzeK98pEP0yZi4-usDR8dQ_11_5"/>
      <w:bookmarkStart w:id="992" w:name="Tc_nj5x1MuPb0mhzsyO6bKwnQ_11_2"/>
      <w:bookmarkStart w:id="993" w:name="Tc_YVmCjbXdkE-MbqUfA4nnvw_11_0"/>
      <w:bookmarkStart w:id="994" w:name="Tc_Sbrb-VYzGE-9tfI3AVI5gw_10_0"/>
      <w:bookmarkStart w:id="995" w:name="Tc_7oHpXolSVU20xc-SjbrrKQ_8_8"/>
      <w:bookmarkStart w:id="996" w:name="Tc_3hrwUQMvjEubGWyxK2ASVQ_8_5"/>
      <w:bookmarkStart w:id="997" w:name="Tc_V2ttxqZ9U0Se0b6mK1hdQA_8_2"/>
      <w:bookmarkStart w:id="998" w:name="Tc_88wMqG7jW0mNkVoQbM1Hhg_8_0"/>
      <w:bookmarkStart w:id="999" w:name="Tc_s5M96ePX-k-c2A3U5JO1yA_7_0"/>
      <w:bookmarkStart w:id="1000" w:name="Tc_O7xcPw_OskeGRV428zipdA_6_0"/>
      <w:bookmarkStart w:id="1001" w:name="Tc_cxLWfqdKwEGdc_0aFp_ECg_5_8"/>
      <w:bookmarkStart w:id="1002" w:name="Tc_nK_LetsGLU6etfGdFp8d_A_5_5"/>
      <w:bookmarkStart w:id="1003" w:name="Tc_0Htg9Y_0AE-3RMXj_z9cNw_5_2"/>
      <w:bookmarkStart w:id="1004" w:name="Tc_q20McUXW70eNRtOcY-E-Zg_5_0"/>
      <w:bookmarkStart w:id="1005" w:name="Tc_cENOuBQec0yctM4FYEWyBA_4_0"/>
      <w:bookmarkStart w:id="1006" w:name="Tc_Gi96-AVAyU2gdNGiHTXMpw_3_2"/>
      <w:bookmarkStart w:id="1007" w:name="Tc_o45kHZwSx0m_yDmyDPYunQ_2_8"/>
      <w:bookmarkStart w:id="1008" w:name="Tc_dWrup3C5aUegA88tvGkiRQ_2_5"/>
      <w:bookmarkStart w:id="1009" w:name="Tc_h7XUULoVpky2eAERW13VDg_2_2"/>
      <w:bookmarkStart w:id="1010" w:name="Tc_X8vzNK1Fd0OD-r9Rdg_Qjw_1_2"/>
      <w:bookmarkStart w:id="1011" w:name="_5ce13bce_5090_4d07_9d96_ef4ff43b1ade"/>
      <w:bookmarkStart w:id="1012" w:name="Tc_TJYDoZTwnEGhfCdjfOPZMw_17_8"/>
      <w:bookmarkStart w:id="1013" w:name="Tc_YWzerkqiDkOIZ_Wi82ezvg_17_5"/>
      <w:bookmarkStart w:id="1014" w:name="Tc_KI3ixhcBXEmsjfym8rmTaQ_17_2"/>
      <w:bookmarkStart w:id="1015" w:name="Tc_3UI_iFbbsUqJgy7_1G78CA_17_0"/>
      <w:bookmarkStart w:id="1016" w:name="Tc_vgu_dRnADEOFhAczkFUooA_16_0"/>
      <w:bookmarkStart w:id="1017" w:name="Tc_ryRrUEIS7UWB9dmeQ_gQ9A_14_8"/>
      <w:bookmarkStart w:id="1018" w:name="Tc__lcIRYfpBUKmCUn7HXVo5g_14_5"/>
      <w:bookmarkStart w:id="1019" w:name="Tc_hjqrkh1LJE2IPdUyRvb5fA_14_2"/>
      <w:bookmarkStart w:id="1020" w:name="Tc_GN8LZsxeLEekZQQt5SnGZQ_14_0"/>
      <w:bookmarkStart w:id="1021" w:name="Tc_6yhcFjkv9EebkR1OpK1ofQ_13_0"/>
      <w:bookmarkStart w:id="1022" w:name="Tc_YwSmY1RuxU2QKxBtaigVqQ_12_0"/>
      <w:bookmarkStart w:id="1023" w:name="Tc_oM0f2QwY6ka0copqNQfwWw_11_8"/>
      <w:bookmarkStart w:id="1024" w:name="Tc_oHAgx_c4E0alzZBCJCTkmw_11_5"/>
      <w:bookmarkStart w:id="1025" w:name="Tc_F4S0gLhzg0WP0o-XaGLa_A_11_2"/>
      <w:bookmarkStart w:id="1026" w:name="Tc_OdgA1Wz_jUqdqqzayr2dww_11_0"/>
      <w:bookmarkStart w:id="1027" w:name="Tc_tAUT3mmfV0iPLSrs-UCQzw_10_0"/>
      <w:bookmarkStart w:id="1028" w:name="Tc_aXolcgoCYUeta1DXn4ZZew_8_8"/>
      <w:bookmarkStart w:id="1029" w:name="Tc_zHhVXDXE4ESon-gkFxs0bg_8_5"/>
      <w:bookmarkStart w:id="1030" w:name="Tc_KzH5z2xOvUawf4MzY93xcw_8_2"/>
      <w:bookmarkStart w:id="1031" w:name="Tc_m0436zSdXUuwNYzS0dzSHw_8_0"/>
      <w:bookmarkStart w:id="1032" w:name="Tc_c0PtUHL4AUS7BeBmW3vOaQ_7_0"/>
      <w:bookmarkStart w:id="1033" w:name="Tc_BvHWbY2OdEy0Nl7-02PDJw_6_0"/>
      <w:bookmarkStart w:id="1034" w:name="Tc_VTFhigCabkiyq7KWc9Fr4A_5_8"/>
      <w:bookmarkStart w:id="1035" w:name="Tc_ocxjj7JnH0uaPqWGUOjsvg_5_5"/>
      <w:bookmarkStart w:id="1036" w:name="Tc_RotFqsdeckGO9Z8ofOXt4w_5_2"/>
      <w:bookmarkStart w:id="1037" w:name="Tc_M7p_YrZa_k6o-Q55kUiH_A_5_0"/>
      <w:bookmarkStart w:id="1038" w:name="Tc_PqiZYLZPTEGXiV7lS18hAg_4_0"/>
      <w:bookmarkStart w:id="1039" w:name="Tc_FNiONoeHLUud84JPtIEvjQ_3_2"/>
      <w:bookmarkStart w:id="1040" w:name="Tc_OXhAxi6ft0-I9UWc_j3a_Q_2_8"/>
      <w:bookmarkStart w:id="1041" w:name="Tc_xdU4dbhuu0SFerOSENAOZg_2_5"/>
      <w:bookmarkStart w:id="1042" w:name="Tc_dYVDhQ8BK02jAZ4zZfLC1g_2_2"/>
      <w:bookmarkStart w:id="1043" w:name="Tc_zhMOUgq7I0KKJKvEc-rjtQ_1_2"/>
      <w:bookmarkStart w:id="1044" w:name="_bdfc8955_9955_4268_8b06_3cffbdbe1f12"/>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sz w:val="20"/>
        </w:rPr>
        <w:t>The following tables provide information about disaggregated revenue by contract type, client type and geographical region:</w:t>
      </w:r>
    </w:p>
    <w:p>
      <w:pPr>
        <w:pStyle w:val="TextBody"/>
        <w:bidi w:val="0"/>
        <w:spacing w:before="0" w:after="0"/>
        <w:ind w:left="0" w:right="0" w:hanging="0"/>
        <w:jc w:val="left"/>
        <w:rPr/>
      </w:pPr>
      <w:r>
        <w:rPr/>
        <w:t>​</w:t>
      </w:r>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34085" cy="175260"/>
                      <wp:effectExtent l="0" t="0" r="0" b="0"/>
                      <wp:wrapNone/>
                      <wp:docPr id="162" name="Frame16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4460" cy="175260"/>
                      <wp:effectExtent l="0" t="0" r="0" b="0"/>
                      <wp:wrapNone/>
                      <wp:docPr id="164" name="Frame1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8785" cy="175260"/>
                      <wp:effectExtent l="0" t="0" r="0" b="0"/>
                      <wp:wrapNone/>
                      <wp:docPr id="165" name="Frame1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1295" cy="175260"/>
                      <wp:effectExtent l="0" t="0" r="0" b="0"/>
                      <wp:wrapNone/>
                      <wp:docPr id="167" name="Frame16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18490" cy="175260"/>
                      <wp:effectExtent l="0" t="0" r="0" b="0"/>
                      <wp:wrapNone/>
                      <wp:docPr id="168" name="Frame168"/>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67360" cy="175260"/>
                      <wp:effectExtent l="0" t="0" r="0" b="0"/>
                      <wp:wrapNone/>
                      <wp:docPr id="171" name="Frame17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12,700</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49,617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56,670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65,651</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67,544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19,389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43,846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69,036</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64,733</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1" w:after="0"/>
        <w:ind w:left="0" w:right="0" w:hanging="0"/>
        <w:jc w:val="left"/>
        <w:rPr/>
      </w:pPr>
      <w:r>
        <w:rPr/>
        <w:t> </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34085" cy="175260"/>
                      <wp:effectExtent l="0" t="0" r="0" b="0"/>
                      <wp:wrapNone/>
                      <wp:docPr id="172" name="Frame17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1295" cy="175260"/>
                      <wp:effectExtent l="0" t="0" r="0" b="0"/>
                      <wp:wrapNone/>
                      <wp:docPr id="177" name="Frame17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18490" cy="175260"/>
                      <wp:effectExtent l="0" t="0" r="0" b="0"/>
                      <wp:wrapNone/>
                      <wp:docPr id="178" name="Frame178"/>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9110" cy="175260"/>
                      <wp:effectExtent l="0" t="0" r="0" b="0"/>
                      <wp:wrapNone/>
                      <wp:docPr id="181" name="Frame18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66,939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48,324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72,596</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64,409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64,464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152,386</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321" w:type="dxa"/>
        <w:jc w:val="left"/>
        <w:tblInd w:w="0" w:type="dxa"/>
        <w:tblLayout w:type="fixed"/>
        <w:tblCellMar>
          <w:top w:w="28" w:type="dxa"/>
          <w:left w:w="28" w:type="dxa"/>
          <w:bottom w:w="28" w:type="dxa"/>
          <w:right w:w="28" w:type="dxa"/>
        </w:tblCellMar>
      </w:tblPr>
      <w:tblGrid>
        <w:gridCol w:w="124"/>
        <w:gridCol w:w="271"/>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was not material for the three months ended April 3, 2026 and April 4, 2025. </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consolidated revenue was derived from its operations in the U.S. The Company operates through a network of offices spread across 22 U.S. states, the District of Columbia, the Commonwealth of Puerto Rico, and Canada. Revenues from the Company’s Puerto Rican and Canadian operations were not material for the three months ended April 3, 2026, nor for the three months ended April 4,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April 3, 2026 and April 4, 2025, the Company’s top 10 customers accounted for 49.1%, and 53.8%, respectively, of the Company’s consolidated contract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April 3, 2026, the Company had no individual customers that accounted for more than 10% of its consolidated contract revenue. </w:t>
      </w:r>
      <w:r>
        <w:rPr>
          <w:rFonts w:ascii="Times New Roman;Times;serif" w:hAnsi="Times New Roman;Times;serif"/>
          <w:sz w:val="20"/>
          <w:shd w:fill="FFFFFF" w:val="clear"/>
        </w:rPr>
        <w:t>For the three months ended April 4, 2025, the Company derived </w:t>
      </w:r>
      <w:r>
        <w:rPr>
          <w:rFonts w:ascii="Times New Roman;Times;serif" w:hAnsi="Times New Roman;Times;serif"/>
          <w:sz w:val="20"/>
        </w:rPr>
        <w:t>24.1%</w:t>
      </w:r>
      <w:r>
        <w:rPr>
          <w:rFonts w:ascii="Times New Roman;Times;serif" w:hAnsi="Times New Roman;Times;serif"/>
          <w:sz w:val="20"/>
          <w:shd w:fill="FFFFFF" w:val="clear"/>
        </w:rPr>
        <w:t xml:space="preserve"> of its consolidated contract revenue from two customers, Clark County School District and Southern California Edison.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 segment basis, the Company had individual customers that accounted for more than 10% of its segment contract revenues. </w:t>
      </w:r>
      <w:r>
        <w:rPr>
          <w:rFonts w:ascii="Times New Roman;Times;serif" w:hAnsi="Times New Roman;Times;serif"/>
          <w:sz w:val="20"/>
          <w:shd w:fill="FFFFFF" w:val="clear"/>
        </w:rPr>
        <w:t>For the three months ended April 3, 2026, the Company derived </w:t>
      </w:r>
      <w:r>
        <w:rPr>
          <w:rFonts w:ascii="Times New Roman;Times;serif" w:hAnsi="Times New Roman;Times;serif"/>
          <w:sz w:val="20"/>
        </w:rPr>
        <w:t>22.4%</w:t>
      </w:r>
      <w:r>
        <w:rPr>
          <w:rFonts w:ascii="Times New Roman;Times;serif" w:hAnsi="Times New Roman;Times;serif"/>
          <w:sz w:val="20"/>
          <w:shd w:fill="FFFFFF" w:val="clear"/>
        </w:rPr>
        <w:t xml:space="preserve"> of its Energy segment revenues from two customers, Southern California Edison and New York Power Authority, and no single customer accounted for 10% or more of the Company’s Engineering and Consulting segment revenues. For the three months ended April 4, 2025, the Company derived </w:t>
      </w:r>
      <w:r>
        <w:rPr>
          <w:rFonts w:ascii="Times New Roman;Times;serif" w:hAnsi="Times New Roman;Times;serif"/>
          <w:sz w:val="20"/>
        </w:rPr>
        <w:t>29.1%</w:t>
      </w:r>
      <w:r>
        <w:rPr>
          <w:rFonts w:ascii="Times New Roman;Times;serif" w:hAnsi="Times New Roman;Times;serif"/>
          <w:sz w:val="20"/>
          <w:shd w:fill="FFFFFF" w:val="clear"/>
        </w:rPr>
        <w:t xml:space="preserve"> of its Energy segment revenues from two customers, Clark County School District and Southern California Edison, and no single customer accounted for 10% or more of the Company’s Engineering and Consulting segment revenues.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On a geographical basis, the Company’s largest clients are based in California, and New York. For the three months ended April 3, 2026 and April 4, 2025, services provided to clients in California accounted for </w:t>
      </w:r>
      <w:r>
        <w:rPr>
          <w:rFonts w:ascii="Times New Roman;Times;serif" w:hAnsi="Times New Roman;Times;serif"/>
          <w:sz w:val="20"/>
        </w:rPr>
        <w:t>46.0%</w:t>
      </w:r>
      <w:r>
        <w:rPr>
          <w:rFonts w:ascii="Times New Roman;Times;serif" w:hAnsi="Times New Roman;Times;serif"/>
          <w:sz w:val="20"/>
          <w:shd w:fill="FFFFFF" w:val="clear"/>
        </w:rPr>
        <w:t xml:space="preserve"> and </w:t>
      </w:r>
      <w:r>
        <w:rPr>
          <w:rFonts w:ascii="Times New Roman;Times;serif" w:hAnsi="Times New Roman;Times;serif"/>
          <w:sz w:val="20"/>
        </w:rPr>
        <w:t>39.8%</w:t>
      </w:r>
      <w:r>
        <w:rPr>
          <w:rFonts w:ascii="Times New Roman;Times;serif" w:hAnsi="Times New Roman;Times;serif"/>
          <w:sz w:val="20"/>
          <w:shd w:fill="FFFFFF" w:val="clear"/>
        </w:rPr>
        <w:t xml:space="preserve">, respectively, of the Company’s consolidated contract revenue, and services provided to clients in New York accounted for </w:t>
      </w:r>
      <w:r>
        <w:rPr>
          <w:rFonts w:ascii="Times New Roman;Times;serif" w:hAnsi="Times New Roman;Times;serif"/>
          <w:sz w:val="20"/>
        </w:rPr>
        <w:t>19.4%</w:t>
      </w:r>
      <w:r>
        <w:rPr>
          <w:rFonts w:ascii="Times New Roman;Times;serif" w:hAnsi="Times New Roman;Times;serif"/>
          <w:sz w:val="20"/>
          <w:shd w:fill="FFFFFF" w:val="clear"/>
        </w:rPr>
        <w:t xml:space="preserve"> and </w:t>
      </w:r>
      <w:r>
        <w:rPr>
          <w:rFonts w:ascii="Times New Roman;Times;serif" w:hAnsi="Times New Roman;Times;serif"/>
          <w:sz w:val="20"/>
        </w:rPr>
        <w:t>21.7%</w:t>
      </w:r>
      <w:r>
        <w:rPr>
          <w:rFonts w:ascii="Times New Roman;Times;serif" w:hAnsi="Times New Roman;Times;serif"/>
          <w:sz w:val="20"/>
          <w:shd w:fill="FFFFFF" w:val="clear"/>
        </w:rPr>
        <w:t>, respectively, of the Company’s consolidated contract revenue.</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end of fiscal year 2025, the Company’s total valuation allowance for future utilization of deferred tax assets was $1.1 million. As of April 3, 2026, the Company assessed all available positive and negative evidence available to determine whether, based on the weight of that evidence, there was a change in judgment related to the utilization of deferred tax assets in future years. The Company concluded that as of April 3, 2026, the valuation allowance for the Company’s deferred tax assets was appropriate in accordance with ASC 740. Consequently, there was no change to the valuation allowance during the three months ended April 3,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months ended April 3, 2026, and the three months ended April 4, 2025,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Company’s estimates and determination of an effective tax rate for the year, the Company recorded an income tax benefit of $1.3 million for the three months ended April 3, 2026, compared to an income tax expense of $0.5 million for the three months ended April 4, 2025, respectively. During the three months ended April 3, 2026, the difference between the effective tax rate and the federal statutory rate was primarily attributable to state taxes, non-deductible executive compensation, deductions related to stock-compensation, research and development tax credits, and the commercial energy-efficiency building deduction. During the three months ended April 4,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045" w:name="Tc_8UziN1D0y0yDpVLPQPkO0g_11_5"/>
      <w:bookmarkStart w:id="1046" w:name="Tc_CjBeitxEJkul1cHocIKPUw_11_2"/>
      <w:bookmarkStart w:id="1047" w:name="Tc_SxgUS0i0vUW1gvFjhf8O5Q_11_0"/>
      <w:bookmarkStart w:id="1048" w:name="Tc_r3fcazzuCUKsd_8DkmsrLg_10_5"/>
      <w:bookmarkStart w:id="1049" w:name="Tc_vco_MXj6AEGy6GJwr9M5-A_10_2"/>
      <w:bookmarkStart w:id="1050" w:name="Tc_I6-Q9roO9UaHOc9ifZz8wQ_10_0"/>
      <w:bookmarkStart w:id="1051" w:name="Tc_AU02UtW1f0mM5Nm1PGJWvw_9_0"/>
      <w:bookmarkStart w:id="1052" w:name="Tc__6kqWLpIkE6r6nR4fg5ohQ_8_0"/>
      <w:bookmarkStart w:id="1053" w:name="Tc_WgYQ6l-4BEWwDzLfzYYHSw_7_0"/>
      <w:bookmarkStart w:id="1054" w:name="Tc_8VBtQr0cO0y25cnKl_YQrw_6_0"/>
      <w:bookmarkStart w:id="1055" w:name="Tc_UOKur8ByJEWsAg1Qe1ycOA_5_5"/>
      <w:bookmarkStart w:id="1056" w:name="Tc_fOcA9PN3qEO-Pv6j9ZwD6Q_5_2"/>
      <w:bookmarkStart w:id="1057" w:name="Tc_I0C0NMX05Eu3r43YY5XvjA_5_0"/>
      <w:bookmarkStart w:id="1058" w:name="Tc_cPZxW10rRUK0UGKSlOUVZQ_4_2"/>
      <w:bookmarkStart w:id="1059" w:name="Tc_YSmu0LMS8ESQEQbEkUrZLQ_3_5"/>
      <w:bookmarkStart w:id="1060" w:name="Tc_bejZu8aqY02HeQ1WfM7z8w_3_2"/>
      <w:bookmarkStart w:id="1061" w:name="Tc_z06NUXX_aU-dOXPU17WrxQ_2_5"/>
      <w:bookmarkStart w:id="1062" w:name="Tc_RIStEflUskqe0thg5qgWDg_2_2"/>
      <w:bookmarkStart w:id="1063" w:name="Tc_qmaCfL87yEGi_UsLbJSffw_1_2"/>
      <w:bookmarkStart w:id="1064" w:name="_d6162344_f958_4411_9488_f538b1cbcc31"/>
      <w:bookmarkStart w:id="1065" w:name="_2a1d0ec2_c041_4215_9911_0c5f6d950541"/>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8206" w:type="dxa"/>
        <w:jc w:val="left"/>
        <w:tblInd w:w="0" w:type="dxa"/>
        <w:tblLayout w:type="fixed"/>
        <w:tblCellMar>
          <w:top w:w="0" w:type="dxa"/>
          <w:left w:w="0" w:type="dxa"/>
          <w:bottom w:w="0" w:type="dxa"/>
          <w:right w:w="0" w:type="dxa"/>
        </w:tblCellMar>
      </w:tblPr>
      <w:tblGrid>
        <w:gridCol w:w="4861"/>
        <w:gridCol w:w="346"/>
        <w:gridCol w:w="292"/>
        <w:gridCol w:w="937"/>
        <w:gridCol w:w="479"/>
        <w:gridCol w:w="292"/>
        <w:gridCol w:w="999"/>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86735" cy="175260"/>
                      <wp:effectExtent l="0" t="0" r="0" b="0"/>
                      <wp:wrapNone/>
                      <wp:docPr id="182" name="Frame182"/>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85420" cy="175260"/>
                      <wp:effectExtent l="0" t="0" r="0" b="0"/>
                      <wp:wrapNone/>
                      <wp:docPr id="184" name="Frame18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94995" cy="175260"/>
                      <wp:effectExtent l="0" t="0" r="0" b="0"/>
                      <wp:wrapNone/>
                      <wp:docPr id="185" name="Frame185"/>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04165" cy="175260"/>
                      <wp:effectExtent l="0" t="0" r="0" b="0"/>
                      <wp:wrapNone/>
                      <wp:docPr id="186" name="Frame186"/>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5420" cy="175260"/>
                      <wp:effectExtent l="0" t="0" r="0" b="0"/>
                      <wp:wrapNone/>
                      <wp:docPr id="187" name="Frame18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34365" cy="175260"/>
                      <wp:effectExtent l="0" t="0" r="0" b="0"/>
                      <wp:wrapNone/>
                      <wp:docPr id="188" name="Frame188"/>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479"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9"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99"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4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14,740</w:t>
            </w:r>
          </w:p>
        </w:tc>
        <w:tc>
          <w:tcPr>
            <w:tcW w:w="47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 </w:t>
            </w:r>
          </w:p>
        </w:tc>
        <w:tc>
          <w:tcPr>
            <w:tcW w:w="9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15,390</w:t>
            </w:r>
          </w:p>
        </w:tc>
        <w:tc>
          <w:tcPr>
            <w:tcW w:w="47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47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47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0.32</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April 3, 2026, the Company did not exclude any shares subject to outstanding equity awards from the calculation of diluted shares. For the three months ended April 4, 2025, the Company excluded 47,000 common shares subject to outstanding equity awards from the calculation of diluted shares because their impact would have been anti-dilutive.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12. BUSINESS COMBINATIONS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 of Compass Municipal Advisors,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January 2, 2026, (the “Compass Closing Date”), the Company acquired all the equity of Compass Municipal Advisors, LLC. (“Compass”). Compass is a full service municipal advisory firm providing a broad range of financial services to municipalities across the Southeast. Compass’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Company’s </w:t>
      </w:r>
      <w:r>
        <w:rPr>
          <w:rFonts w:ascii="Times New Roman;Times;serif" w:hAnsi="Times New Roman;Times;serif"/>
          <w:b w:val="false"/>
          <w:i w:val="false"/>
          <w:caps w:val="false"/>
          <w:smallCaps w:val="false"/>
          <w:sz w:val="20"/>
        </w:rPr>
        <w:t>Engineering and Consulting</w:t>
      </w:r>
      <w:r>
        <w:rPr>
          <w:rFonts w:ascii="Times New Roman;Times;serif" w:hAnsi="Times New Roman;Times;serif"/>
          <w:sz w:val="24"/>
        </w:rPr>
        <w:t xml:space="preserve"> </w:t>
      </w:r>
      <w:r>
        <w:rPr>
          <w:rFonts w:ascii="Times New Roman;Times;serif" w:hAnsi="Times New Roman;Times;serif"/>
          <w:sz w:val="20"/>
        </w:rPr>
        <w:t>segment beginning in the last day of the Company’s fourth quarter of fiscal year 2025.</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agreed to pay (i) $3.5</w:t>
      </w:r>
      <w:r>
        <w:rPr>
          <w:rFonts w:ascii="Times New Roman;Times;serif" w:hAnsi="Times New Roman;Times;serif"/>
          <w:sz w:val="24"/>
        </w:rPr>
        <w:t> </w:t>
      </w:r>
      <w:r>
        <w:rPr>
          <w:rFonts w:ascii="Times New Roman;Times;serif" w:hAnsi="Times New Roman;Times;serif"/>
          <w:sz w:val="20"/>
        </w:rPr>
        <w:t>million in cash on the Compass Closing Date (subject to holdbacks and adjustments) and (ii) up to $1.0</w:t>
      </w:r>
      <w:r>
        <w:rPr>
          <w:rFonts w:ascii="Times New Roman;Times;serif" w:hAnsi="Times New Roman;Times;serif"/>
          <w:sz w:val="24"/>
        </w:rPr>
        <w:t> </w:t>
      </w:r>
      <w:r>
        <w:rPr>
          <w:rFonts w:ascii="Times New Roman;Times;serif" w:hAnsi="Times New Roman;Times;serif"/>
          <w:sz w:val="20"/>
        </w:rPr>
        <w:t>million in cash if Compass exceeds certain financial targets during the one year</w:t>
      </w:r>
      <w:r>
        <w:rPr>
          <w:rFonts w:ascii="Times New Roman;Times;serif" w:hAnsi="Times New Roman;Times;serif"/>
          <w:sz w:val="24"/>
        </w:rPr>
        <w:t> </w:t>
      </w:r>
      <w:r>
        <w:rPr>
          <w:rFonts w:ascii="Times New Roman;Times;serif" w:hAnsi="Times New Roman;Times;serif"/>
          <w:sz w:val="20"/>
        </w:rPr>
        <w:t>after the Compass Closing Date; for a potential maximum purchase price of $4.5</w:t>
      </w:r>
      <w:r>
        <w:rPr>
          <w:rFonts w:ascii="Times New Roman;Times;serif" w:hAnsi="Times New Roman;Times;serif"/>
          <w:sz w:val="24"/>
        </w:rPr>
        <w:t> </w:t>
      </w:r>
      <w:r>
        <w:rPr>
          <w:rFonts w:ascii="Times New Roman;Times;serif" w:hAnsi="Times New Roman;Times;serif"/>
          <w:sz w:val="20"/>
        </w:rPr>
        <w:t>million. The Company used cash on hand to fund the initial purchase price on the Compass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Compass’ assembled workforce. The Company estimates that the entire goodwill balance resulting from the acquisition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April 3, 2026, the purchase price allocation is preliminary and subject to change within the measurement period (not to exceed twelve months following the Compass Closing Date) and is primarily comprised of $2.0 million in customer relationships, and $2.0 million in goodwill.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April 3, 2026, Compass’ contribution to revenue and net income were not material to the Company’s consolidated financial statements. In addition, the proforma financial information has not been presented because the impact of the acquisition was not material to the condensed financial statements.</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28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Condensed Consolidated Financial Statements are issued.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Burton Energy Group,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May 4, 2026</w:t>
      </w:r>
      <w:r>
        <w:rPr>
          <w:rFonts w:ascii="Times New Roman;Times;serif" w:hAnsi="Times New Roman;Times;serif"/>
          <w:sz w:val="24"/>
        </w:rPr>
        <w:t> </w:t>
      </w:r>
      <w:r>
        <w:rPr>
          <w:rFonts w:ascii="Times New Roman;Times;serif" w:hAnsi="Times New Roman;Times;serif"/>
          <w:sz w:val="20"/>
        </w:rPr>
        <w:t>(the “Burton Closing Date”), the Company, through its wholly owned subsidiary, WES, acquired all of the equity of Burton Energy Group, LLC. (“Burton”), pursuant to the terms of the Equity Purchase Agreement, dated as of May 4, 2026</w:t>
      </w:r>
      <w:r>
        <w:rPr>
          <w:rFonts w:ascii="Times New Roman;Times;serif" w:hAnsi="Times New Roman;Times;serif"/>
          <w:sz w:val="24"/>
        </w:rPr>
        <w:t xml:space="preserve"> </w:t>
      </w:r>
      <w:r>
        <w:rPr>
          <w:rFonts w:ascii="Times New Roman;Times;serif" w:hAnsi="Times New Roman;Times;serif"/>
          <w:sz w:val="20"/>
        </w:rPr>
        <w:t>(the “Burton Equity Purchase Agreement”), by and among the Company, WES, and each of the shareholders of Burton (the “Burton Shareholders”). Burton provides comprehensive energy management and energy efficiency consulting for multi-site corporations, helping them reduce energy, water, and waste costs through utility data management and rate optimization, energy procurement and risk management, energy and water conservation/audits, and turnkey HVAC and EMS program management. Burton’s financial information will be included within the Energy segment beginning in the second quarter of fiscal year 2026 and the Company expects to finalize the purchase price allocation related to this transaction by the end of the first quarter of fiscal year 2027.</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Pursuant to the terms of the Burton Equity Purchase Agreement, the Company agreed to pay up to $74.0</w:t>
      </w:r>
      <w:r>
        <w:rPr>
          <w:rFonts w:ascii="Times New Roman;Times;serif" w:hAnsi="Times New Roman;Times;serif"/>
          <w:sz w:val="24"/>
        </w:rPr>
        <w:t> </w:t>
      </w:r>
      <w:r>
        <w:rPr>
          <w:rFonts w:ascii="Times New Roman;Times;serif" w:hAnsi="Times New Roman;Times;serif"/>
          <w:sz w:val="20"/>
        </w:rPr>
        <w:t>million for the purchase of all the equity of Burton, consisting of (i) $52.0</w:t>
      </w:r>
      <w:r>
        <w:rPr>
          <w:rFonts w:ascii="Times New Roman;Times;serif" w:hAnsi="Times New Roman;Times;serif"/>
          <w:sz w:val="24"/>
        </w:rPr>
        <w:t> </w:t>
      </w:r>
      <w:r>
        <w:rPr>
          <w:rFonts w:ascii="Times New Roman;Times;serif" w:hAnsi="Times New Roman;Times;serif"/>
          <w:sz w:val="20"/>
        </w:rPr>
        <w:t>million in cash paid on the Burton Closing Date (subject to holdbacks and adjustments), (ii) $10.0</w:t>
      </w:r>
      <w:r>
        <w:rPr>
          <w:rFonts w:ascii="Times New Roman;Times;serif" w:hAnsi="Times New Roman;Times;serif"/>
          <w:sz w:val="24"/>
        </w:rPr>
        <w:t> </w:t>
      </w:r>
      <w:r>
        <w:rPr>
          <w:rFonts w:ascii="Times New Roman;Times;serif" w:hAnsi="Times New Roman;Times;serif"/>
          <w:sz w:val="20"/>
        </w:rPr>
        <w:t>million in restricted shares of the Company’s common stock, based on the volume weighted average closing price per share of the Company’s common stock for the twenty</w:t>
      </w:r>
      <w:r>
        <w:rPr>
          <w:rFonts w:ascii="Times New Roman;Times;serif" w:hAnsi="Times New Roman;Times;serif"/>
          <w:sz w:val="24"/>
        </w:rPr>
        <w:t> </w:t>
      </w:r>
      <w:r>
        <w:rPr>
          <w:rFonts w:ascii="Times New Roman;Times;serif" w:hAnsi="Times New Roman;Times;serif"/>
          <w:sz w:val="20"/>
        </w:rPr>
        <w:t>trading days immediately preceding the third trading day prior to the Burton Closing Date, and (iii) up to $12.0</w:t>
      </w:r>
      <w:r>
        <w:rPr>
          <w:rFonts w:ascii="Times New Roman;Times;serif" w:hAnsi="Times New Roman;Times;serif"/>
          <w:sz w:val="24"/>
        </w:rPr>
        <w:t> </w:t>
      </w:r>
      <w:r>
        <w:rPr>
          <w:rFonts w:ascii="Times New Roman;Times;serif" w:hAnsi="Times New Roman;Times;serif"/>
          <w:sz w:val="20"/>
        </w:rPr>
        <w:t>million in cash if Burton exceeds certain financial targets during the two years</w:t>
      </w:r>
      <w:r>
        <w:rPr>
          <w:rFonts w:ascii="Times New Roman;Times;serif" w:hAnsi="Times New Roman;Times;serif"/>
          <w:sz w:val="24"/>
        </w:rPr>
        <w:t> </w:t>
      </w:r>
      <w:r>
        <w:rPr>
          <w:rFonts w:ascii="Times New Roman;Times;serif" w:hAnsi="Times New Roman;Times;serif"/>
          <w:sz w:val="20"/>
        </w:rPr>
        <w:t>after the Burton Closing Date, as more fully described below (such potential payments of up to $12.0</w:t>
      </w:r>
      <w:r>
        <w:rPr>
          <w:rFonts w:ascii="Times New Roman;Times;serif" w:hAnsi="Times New Roman;Times;serif"/>
          <w:sz w:val="24"/>
        </w:rPr>
        <w:t> </w:t>
      </w:r>
      <w:r>
        <w:rPr>
          <w:rFonts w:ascii="Times New Roman;Times;serif" w:hAnsi="Times New Roman;Times;serif"/>
          <w:sz w:val="20"/>
        </w:rPr>
        <w:t>million being referred to as “Burton Earnout Payments” and $12.0</w:t>
      </w:r>
      <w:r>
        <w:rPr>
          <w:rFonts w:ascii="Times New Roman;Times;serif" w:hAnsi="Times New Roman;Times;serif"/>
          <w:sz w:val="24"/>
        </w:rPr>
        <w:t> </w:t>
      </w:r>
      <w:r>
        <w:rPr>
          <w:rFonts w:ascii="Times New Roman;Times;serif" w:hAnsi="Times New Roman;Times;serif"/>
          <w:sz w:val="20"/>
        </w:rPr>
        <w:t>million in respect thereof, being referred to as the “Burton Maximum Payout”). The Company issued 131,626</w:t>
      </w:r>
      <w:r>
        <w:rPr>
          <w:rFonts w:ascii="Times New Roman;Times;serif" w:hAnsi="Times New Roman;Times;serif"/>
          <w:sz w:val="24"/>
        </w:rPr>
        <w:t xml:space="preserve"> </w:t>
      </w:r>
      <w:r>
        <w:rPr>
          <w:rFonts w:ascii="Times New Roman;Times;serif" w:hAnsi="Times New Roman;Times;serif"/>
          <w:sz w:val="20"/>
        </w:rPr>
        <w:t>shares of the Company’s common stock and the shares have not been registered under the Securities Act of 1933, as amended (the “Securities Act”), and were issued and sold in reliance upon the exemption from registration contained in Section 4(a)(2)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the Burton Earnout Payments to be paid will be determined based on Burton’s earnings before interest, taxes, depreciation and amortization (“Burton EBITDA”). The Burton Shareholders will receive Burton Earnout Payments in each of the two years after the Burton Closing Date (the “Burton Earnout Period”) based on the amount by which Burton EBITDA exceeds certain targets. The amounts due to the Burton Shareholders as Burton Earnout Payments will in no event, individually or in the aggregate, exceed the Burton Maximum Payout. Burton Earnout Payments will be made in annual installments for each of the two years of the Burton Earnout Period. In addition, the Burton Earnout Payments will be subject to certain subordination provisions in favor of the lenders under the Company’s Amended and Restated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Burton Equity Purchase Agreement contains customary representations and warranties regarding the Company, WES, Burton, and the Burton Shareholders, indemnification provisions, and other provisions customary for transactions of this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borrowed $30.0 million from its revolving credit facility and used cash on hand to fund the initial purchase price.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066" w:name="ITEM7MANAGEMENTSDISCUSSION_533905"/>
      <w:bookmarkStart w:id="1067" w:name="_6a9dca37_eee3_4e34_b17e_19347f20cd14"/>
      <w:bookmarkEnd w:id="1066"/>
      <w:bookmarkEnd w:id="1067"/>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technical services company focused on energy and infrastructure solutions. Our solutions include energy planning and analytics, consulting, software, public finance, engineering, and program implementation. We serve utilities, state and local governments, and commercial customers in the United States and Canada.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Energy segment addresses power grid resiliency, efficiency, and reliability. Services include in-depth energy planning studies, economic analysis, modeling and forecasting software, decarbonization, program design and implementation, energy efficiency, turnkey energy and infrastructure projects, grid modernization, and utility-scale electrical engineering and construction management. Clients in this segment are investor-owned and municipal utilities, commercial clients including investors and hyperscalers, and state and local governments.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&amp; Consulting segment addresses sustainability and growth in civil infrastructure. We often serve as a municipality’s engineering department. Services include municipal and civil engineering, building and safety, code enforcement, fire plan and inspection, city engineering, construction management, design engineering, planning, and financial and municipal advisory services. Clients in this segment are state and local governments, school districts, and utility districts.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were founded in 1964 and are headquartered in Anaheim, California.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First Quarter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304"/>
        <w:gridCol w:w="406"/>
        <w:gridCol w:w="196"/>
        <w:gridCol w:w="691"/>
        <w:gridCol w:w="406"/>
        <w:gridCol w:w="529"/>
        <w:gridCol w:w="241"/>
        <w:gridCol w:w="406"/>
        <w:gridCol w:w="196"/>
        <w:gridCol w:w="691"/>
        <w:gridCol w:w="406"/>
        <w:gridCol w:w="529"/>
        <w:gridCol w:w="241"/>
        <w:gridCol w:w="406"/>
        <w:gridCol w:w="196"/>
        <w:gridCol w:w="796"/>
        <w:gridCol w:w="406"/>
        <w:gridCol w:w="871"/>
        <w:gridCol w:w="288"/>
      </w:tblGrid>
      <w:tr>
        <w:trPr/>
        <w:tc>
          <w:tcPr>
            <w:tcW w:w="2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63040" cy="175260"/>
                      <wp:effectExtent l="0" t="0" r="0" b="0"/>
                      <wp:wrapNone/>
                      <wp:docPr id="189" name="Frame189"/>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7810" cy="175260"/>
                      <wp:effectExtent l="0" t="0" r="0" b="0"/>
                      <wp:wrapNone/>
                      <wp:docPr id="190" name="Frame19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4460" cy="175260"/>
                      <wp:effectExtent l="0" t="0" r="0" b="0"/>
                      <wp:wrapNone/>
                      <wp:docPr id="191"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810" cy="175260"/>
                      <wp:effectExtent l="0" t="0" r="0" b="0"/>
                      <wp:wrapNone/>
                      <wp:docPr id="193" name="Frame19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35915" cy="175260"/>
                      <wp:effectExtent l="0" t="0" r="0" b="0"/>
                      <wp:wrapNone/>
                      <wp:docPr id="194" name="Frame19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3035" cy="175260"/>
                      <wp:effectExtent l="0" t="0" r="0" b="0"/>
                      <wp:wrapNone/>
                      <wp:docPr id="195" name="Frame19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7810" cy="175260"/>
                      <wp:effectExtent l="0" t="0" r="0" b="0"/>
                      <wp:wrapNone/>
                      <wp:docPr id="196" name="Frame19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57810" cy="175260"/>
                      <wp:effectExtent l="0" t="0" r="0" b="0"/>
                      <wp:wrapNone/>
                      <wp:docPr id="199" name="Frame19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35915" cy="175260"/>
                      <wp:effectExtent l="0" t="0" r="0" b="0"/>
                      <wp:wrapNone/>
                      <wp:docPr id="200" name="Frame20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53035" cy="175260"/>
                      <wp:effectExtent l="0" t="0" r="0" b="0"/>
                      <wp:wrapNone/>
                      <wp:docPr id="201" name="Frame20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7810" cy="175260"/>
                      <wp:effectExtent l="0" t="0" r="0" b="0"/>
                      <wp:wrapNone/>
                      <wp:docPr id="202" name="Frame20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3" name="Frame2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4"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7810" cy="175260"/>
                      <wp:effectExtent l="0" t="0" r="0" b="0"/>
                      <wp:wrapNone/>
                      <wp:docPr id="205" name="Frame20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53085" cy="175260"/>
                      <wp:effectExtent l="0" t="0" r="0" b="0"/>
                      <wp:wrapNone/>
                      <wp:docPr id="206" name="Frame20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2880" cy="175260"/>
                      <wp:effectExtent l="0" t="0" r="0" b="0"/>
                      <wp:wrapNone/>
                      <wp:docPr id="207" name="Frame20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406" w:type="dxa"/>
            <w:tcBorders/>
            <w:vAlign w:val="center"/>
          </w:tcPr>
          <w:p>
            <w:pPr>
              <w:pStyle w:val="TableContents"/>
              <w:bidi w:val="0"/>
              <w:spacing w:before="0" w:after="0"/>
              <w:ind w:left="0" w:right="0" w:hanging="0"/>
              <w:jc w:val="center"/>
              <w:rPr/>
            </w:pPr>
            <w:r>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7"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52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52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c>
          <w:tcPr>
            <w:tcW w:w="406" w:type="dxa"/>
            <w:tcBorders/>
            <w:shd w:fill="CCEEFF" w:val="clear"/>
            <w:vAlign w:val="center"/>
          </w:tcPr>
          <w:p>
            <w:pPr>
              <w:pStyle w:val="TableContents"/>
              <w:bidi w:val="0"/>
              <w:spacing w:before="0" w:after="0"/>
              <w:ind w:left="0" w:right="0" w:hanging="0"/>
              <w:jc w:val="right"/>
              <w:rPr/>
            </w:pPr>
            <w:r>
              <w:rP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rPr/>
            </w:pPr>
            <w:r>
              <w:rP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c>
          <w:tcPr>
            <w:tcW w:w="406" w:type="dxa"/>
            <w:tcBorders/>
            <w:shd w:fill="CCEEFF" w:val="clear"/>
            <w:vAlign w:val="center"/>
          </w:tcPr>
          <w:p>
            <w:pPr>
              <w:pStyle w:val="TableContents"/>
              <w:bidi w:val="0"/>
              <w:spacing w:before="0" w:after="0"/>
              <w:ind w:left="0" w:right="0" w:hanging="0"/>
              <w:jc w:val="right"/>
              <w:rPr/>
            </w:pPr>
            <w:r>
              <w:rP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rPr/>
            </w:pPr>
            <w:r>
              <w:rP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2,728</w:t>
            </w:r>
          </w:p>
        </w:tc>
        <w:tc>
          <w:tcPr>
            <w:tcW w:w="406" w:type="dxa"/>
            <w:tcBorders/>
            <w:shd w:fill="CCEEFF" w:val="clear"/>
            <w:vAlign w:val="center"/>
          </w:tcPr>
          <w:p>
            <w:pPr>
              <w:pStyle w:val="TableContents"/>
              <w:bidi w:val="0"/>
              <w:spacing w:before="0" w:after="0"/>
              <w:ind w:left="0" w:right="0" w:hanging="0"/>
              <w:jc w:val="right"/>
              <w:rPr/>
            </w:pPr>
            <w:r>
              <w:rPr/>
              <w:t>  ​ ​ ​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29,276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18.9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27,677</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18.2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62,682</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40.4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67,048</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44.0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(4,366)</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91,958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59.3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94,725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62.2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(2,767)</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40.7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57,661</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37.8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5,495</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9.5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33,001</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21.3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31,108</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20.4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3,692</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52.2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4,440</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22.7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11,367</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7.3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10,027</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6.6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13.4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55,864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36.0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50,625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33.2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5,239</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10.3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7,292</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(1,802)</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7,252</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5,193</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3.4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(1,784)</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N/M</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4,687</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3,843</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rFonts w:ascii="Times New Roman;Times;serif" w:hAnsi="Times New Roman;Times;serif"/>
          <w:sz w:val="16"/>
        </w:rPr>
      </w:pPr>
      <w:r>
        <w:rPr>
          <w:rFonts w:ascii="Times New Roman;Times;serif" w:hAnsi="Times New Roman;Times;serif"/>
          <w:i/>
          <w:color w:val="212529"/>
          <w:sz w:val="16"/>
          <w:shd w:fill="FFFFFF" w:val="clear"/>
        </w:rPr>
        <w:t>N/M = Not meaningful</w:t>
      </w:r>
      <w:r>
        <w:rPr>
          <w:rFonts w:ascii="Times New Roman;Times;serif" w:hAnsi="Times New Roman;Times;serif"/>
          <w:color w:val="212529"/>
          <w:sz w:val="16"/>
          <w:shd w:fill="FFFFFF" w:val="clea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about disaggregated revenue of our two segments, Energy and Engineering and Consulting, by contract type, client type and geographical region:</w:t>
      </w:r>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34085" cy="175260"/>
                      <wp:effectExtent l="0" t="0" r="0" b="0"/>
                      <wp:wrapNone/>
                      <wp:docPr id="208" name="Frame20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24460" cy="175260"/>
                      <wp:effectExtent l="0" t="0" r="0" b="0"/>
                      <wp:wrapNone/>
                      <wp:docPr id="210"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38785" cy="175260"/>
                      <wp:effectExtent l="0" t="0" r="0" b="0"/>
                      <wp:wrapNone/>
                      <wp:docPr id="211" name="Frame2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1295" cy="175260"/>
                      <wp:effectExtent l="0" t="0" r="0" b="0"/>
                      <wp:wrapNone/>
                      <wp:docPr id="213" name="Frame21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18490" cy="175260"/>
                      <wp:effectExtent l="0" t="0" r="0" b="0"/>
                      <wp:wrapNone/>
                      <wp:docPr id="214" name="Frame214"/>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4460" cy="175260"/>
                      <wp:effectExtent l="0" t="0" r="0" b="0"/>
                      <wp:wrapNone/>
                      <wp:docPr id="216" name="Frame2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67360" cy="175260"/>
                      <wp:effectExtent l="0" t="0" r="0" b="0"/>
                      <wp:wrapNone/>
                      <wp:docPr id="217" name="Frame21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12,700</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49,617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56,670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65,651</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67,544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19,389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21,235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43,846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69,036</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64,733</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64,843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127,968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155,114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934085" cy="175260"/>
                      <wp:effectExtent l="0" t="0" r="0" b="0"/>
                      <wp:wrapNone/>
                      <wp:docPr id="218" name="Frame21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24460" cy="175260"/>
                      <wp:effectExtent l="0" t="0" r="0" b="0"/>
                      <wp:wrapNone/>
                      <wp:docPr id="220" name="Frame2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38785" cy="175260"/>
                      <wp:effectExtent l="0" t="0" r="0" b="0"/>
                      <wp:wrapNone/>
                      <wp:docPr id="221" name="Frame2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1295" cy="175260"/>
                      <wp:effectExtent l="0" t="0" r="0" b="0"/>
                      <wp:wrapNone/>
                      <wp:docPr id="223" name="Frame22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18490" cy="175260"/>
                      <wp:effectExtent l="0" t="0" r="0" b="0"/>
                      <wp:wrapNone/>
                      <wp:docPr id="224" name="Frame224"/>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460" cy="175260"/>
                      <wp:effectExtent l="0" t="0" r="0" b="0"/>
                      <wp:wrapNone/>
                      <wp:docPr id="226" name="Frame2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9110" cy="175260"/>
                      <wp:effectExtent l="0" t="0" r="0" b="0"/>
                      <wp:wrapNone/>
                      <wp:docPr id="227" name="Frame22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April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47,707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53,962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66,939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13,515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48,324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72,596</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64,409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64,464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152,386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126,248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152,386</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8417" w:type="dxa"/>
        <w:jc w:val="left"/>
        <w:tblInd w:w="0" w:type="dxa"/>
        <w:tblLayout w:type="fixed"/>
        <w:tblCellMar>
          <w:top w:w="0" w:type="dxa"/>
          <w:left w:w="0" w:type="dxa"/>
          <w:bottom w:w="0" w:type="dxa"/>
          <w:right w:w="0" w:type="dxa"/>
        </w:tblCellMar>
      </w:tblPr>
      <w:tblGrid>
        <w:gridCol w:w="286"/>
        <w:gridCol w:w="81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8131" w:type="dxa"/>
            <w:tcBorders/>
            <w:vAlign w:val="center"/>
          </w:tcPr>
          <w:p>
            <w:pPr>
              <w:pStyle w:val="TableContents"/>
              <w:bidi w:val="0"/>
              <w:spacing w:before="0" w:after="283"/>
              <w:jc w:val="left"/>
              <w:rPr/>
            </w:pPr>
            <w:r>
              <w:rPr>
                <w:rFonts w:ascii="Times New Roman;Times;serif" w:hAnsi="Times New Roman;Times;serif"/>
                <w:b w:val="false"/>
                <w:i/>
                <w:sz w:val="16"/>
              </w:rPr>
              <w:t>Revenue from our foreign operations was not material for the three months ended April 3, 2026 and April 4, 2025</w:t>
            </w:r>
            <w:r>
              <w:rPr>
                <w:rFonts w:ascii="Times New Roman;Times;serif" w:hAnsi="Times New Roman;Times;serif"/>
                <w:b w:val="false"/>
                <w:i w:val="false"/>
                <w:caps w:val="false"/>
                <w:smallCaps w:val="false"/>
                <w:sz w:val="18"/>
              </w:rPr>
              <w:t xml:space="preserve">. </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April 3, 2026 Compared to Three Months Ended April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$2.7 million, or 1.8%, in the three months ended April 3, 2026, compared to the three months ended April 4, 2025, as a result of increased demand for our services in both our Energy segment and our Engineering and Consulting segment while being partially offset by the impact of having one fewer week in our first fiscal quarter of fiscal year 2026 as compared to our first fiscal quarter of fiscal year 2025. When removing the impact of the additional week in the first quarter of fiscal year 2025, contract revenue increased 9.6% in the three months ended April 3, 2026, compared to the adjusted three months ended April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$1.7 million, or 1.4%, in the three months ended April 3, 2026, compared to the three months ended April 4, 2025, primarily as a result of increased productivity under our energy efficiency and electrification utility programs, combined with increased revenues from our acquisition of Alternative Power Generation, Inc. (“APG”), partially offset by the impact of having one fewer week in our first fiscal quarter of fiscal year 2026 as compared to our first fiscal quarter of fiscal year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$1.0 million, or 3.9%, in the three months ended April 3, 2026, compared to the three months ended April 4, 2025, primarily due to increased demand for services provided to our clients, combined with the incremental revenues from our acquisition of Alpha Inspections, Inc. (“Alpha”) and Compass Municipal Advisors, LLC. (“Compass”), while being partially offset by the impact of having one fewer week in our first fiscal quarter of fiscal year 2026 as compared to our first fiscal quarter of fiscal year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 xml:space="preserve">Direct costs of consolidated contract revenue decreased $2.8 million, or 2.9%, for the three months ended April 3, 2026, compared to the three months </w:t>
      </w:r>
      <w:r>
        <w:rPr>
          <w:rFonts w:ascii="Times New Roman;Times;serif" w:hAnsi="Times New Roman;Times;serif"/>
          <w:sz w:val="20"/>
        </w:rPr>
        <w:t>ended April 4, 2025, primarily as a result of the change of mix in contract revenues as described above, while being partially offset by the impact of having one fewer week in our first fiscal quarter of fiscal year 2026 as compared to our first fiscal quarter of fiscal year 2025. As a percentage of contract revenue, subcontractor services and other direct costs decreased to 40.4% in the three months ended April 3, 2026 from 44.0% in the three months ended April 4, 2025. Direct salaries and wages increased $1.6 million, or 5.8%, to support the increased volume of projects in the three months ended April 3, 2026, compared to the three months ended April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in our Energy segment </w:t>
      </w:r>
      <w:r>
        <w:rPr>
          <w:rFonts w:ascii="Times New Roman;Times;serif" w:hAnsi="Times New Roman;Times;serif"/>
          <w:sz w:val="20"/>
          <w:shd w:fill="FFFFFF" w:val="clear"/>
        </w:rPr>
        <w:t xml:space="preserve">decreased $3.5 million, or 4.3%, for the three months ended April 3, 2026, compared to the three months ended April 4, 2025. </w:t>
      </w:r>
      <w:r>
        <w:rPr>
          <w:rFonts w:ascii="Times New Roman;Times;serif" w:hAnsi="Times New Roman;Times;serif"/>
          <w:sz w:val="20"/>
        </w:rPr>
        <w:t>Direct costs of contract revenue for the Engineering and Consulting segment increased $0.8 million, or 6.3%, in the three months ended April 3, 2026, compared to the three months ended April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9.5% to $63.2 million, or 40.7% gross margin, for the three months ended April 3, 2026, compared to gross profit of $57.7 million, or 37.8% gross margin, for the three months ended April 4, 2025. The increase in our gross margin was primarily driven by the improved productivity under our energy efficiency and electrification utility programs and the mix of revenues as described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$5.2 million, or 10.3%, to $55.9 million in the three months ended April 3, 2026, compared to $50.6 million for the three months ended April 4, 2025. G&amp;A expenses consisted of an increase of $2.9 million, or 7.7%, in the Energy segment </w:t>
      </w:r>
      <w:r>
        <w:rPr>
          <w:rFonts w:ascii="Times New Roman;Times;serif" w:hAnsi="Times New Roman;Times;serif"/>
          <w:sz w:val="20"/>
          <w:shd w:fill="FFFFFF" w:val="clear"/>
        </w:rPr>
        <w:t>combined with an increase of</w:t>
      </w:r>
      <w:r>
        <w:rPr>
          <w:rFonts w:ascii="Times New Roman;Times;serif" w:hAnsi="Times New Roman;Times;serif"/>
          <w:sz w:val="20"/>
        </w:rPr>
        <w:t xml:space="preserve"> $0.4 million, or 3.5%, in the Engineering and Consulting segment, and the remaining increase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$1.9 million in salaries and wages, payroll taxes and employee benefits, an increase of $1.3 million in stock-based compensation, </w:t>
      </w:r>
      <w:r>
        <w:rPr>
          <w:rFonts w:ascii="Times New Roman;Times;serif" w:hAnsi="Times New Roman;Times;serif"/>
          <w:sz w:val="20"/>
          <w:shd w:fill="FFFFFF" w:val="clear"/>
        </w:rPr>
        <w:t>an increase of $1.0 million in depreciation and amortization</w:t>
      </w:r>
      <w:r>
        <w:rPr>
          <w:rFonts w:ascii="Times New Roman;Times;serif" w:hAnsi="Times New Roman;Times;serif"/>
          <w:sz w:val="20"/>
        </w:rPr>
        <w:t xml:space="preserve">, and an increase of $1.3 million in other general and administrative expenses. The increase 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w:t>
      </w:r>
      <w:r>
        <w:rPr>
          <w:rFonts w:ascii="Times New Roman;Times;serif" w:hAnsi="Times New Roman;Times;serif"/>
          <w:sz w:val="20"/>
          <w:shd w:fill="FFFFFF" w:val="clear"/>
        </w:rPr>
        <w:t>The increase in stock-based compensation expenses was primarily related to new stock grants to current employees, executives, and Board of directors at a higher stock price. The increase in depreciation and amortization was primarily related to higher amortization of intangible assets from recent acquisitions. </w:t>
      </w:r>
      <w:r>
        <w:rPr>
          <w:rFonts w:ascii="Times New Roman;Times;serif" w:hAnsi="Times New Roman;Times;serif"/>
          <w:sz w:val="20"/>
        </w:rPr>
        <w:t>The increase in other general and administrative expenses was primarily due to increases in interest accretion related to our prior acquisitions, combined with increased professional service fees and computer-related expenses.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3.6% to $7.3 million for the three months ended April 3, 2026, compared to an operating income of $7.0 million for the three months ended April 4, 2025, as a result of the factors noted above, including being partially offset by the impact of having one fewer week in our first fiscal quarter of fiscal year 2026 as compared to our first fiscal quarter of fiscal year 2025. When removing the impact of the additional week in the first quarter of fiscal year 2025, operating income increased 11.6% in the three months ended April 3, 2026, compared to the adjusted three months ended April 4,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$1.8 million, or 97.8%, for the three months ended April 3, 2026, compared to the three months ended April 4, 2025, primarily due to the lower interest expense resulting from the reduced interest rate spread derived from lower debt leverage levels under our credit facilities, combined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absence of a one-time charge related to a facility lease modification that we had in the first quarter of fiscal year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$1.3 million for the three months ended April 3, 2026, an effective tax benefit rate of 17.6% on income before income tax expense, compared to an income tax expense of $0.5 million for the three months ended April 4, 2025, an effective tax expense rate of 9.7% on income before tax expense. The reduction in the effective tax rate resulted from increases in discrete items related to stock compensation deductions.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$8.5 million for the three months ended April 3, 2026, as compared to a net income of $4.7 million for the three months ended April 4, 2025. The increase in net income was primarily attributable to the increase in income from operations combined with a reduction in Total Other Expense, net and a lower effective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34035" cy="175260"/>
                      <wp:effectExtent l="0" t="0" r="0" b="0"/>
                      <wp:wrapNone/>
                      <wp:docPr id="232" name="Frame2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4,</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(24,365)</w:t>
            </w:r>
          </w:p>
        </w:tc>
        <w:tc>
          <w:tcPr>
            <w:tcW w:w="346" w:type="dxa"/>
            <w:tcBorders/>
            <w:vAlign w:val="center"/>
          </w:tcPr>
          <w:p>
            <w:pPr>
              <w:pStyle w:val="TableContents"/>
              <w:bidi w:val="0"/>
              <w:spacing w:before="0" w:after="0"/>
              <w:ind w:left="0" w:right="0" w:hanging="0"/>
              <w:jc w:val="righ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(34,764)</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(35,794)</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 xml:space="preserve">available borrowings under our Revolving Credit Facility and Delayed Draw Term Loan under the Amended and Restated Credit Agreement (the “Credit Facilities”, such agreement, the “Amended and Restated Credit Agreement”). We believe that these sources will be sufficient to finance our operating activities for at least the next 12 months.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As of April 3, 2026</w:t>
      </w:r>
      <w:r>
        <w:rPr>
          <w:rFonts w:ascii="Times New Roman;Times;serif" w:hAnsi="Times New Roman;Times;serif"/>
          <w:sz w:val="20"/>
        </w:rPr>
        <w:t xml:space="preserve">, </w:t>
      </w:r>
      <w:r>
        <w:rPr>
          <w:rFonts w:ascii="Times New Roman;Times;serif" w:hAnsi="Times New Roman;Times;serif"/>
          <w:sz w:val="20"/>
          <w:shd w:fill="FFFFFF" w:val="clear"/>
        </w:rPr>
        <w:t>we had a fully drawn $50.0 million term loan with $48.1 million outstanding, a $100.0 million Revolving Credit Facility with no borrowed amounts outstanding</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and $1.6 million in letters of credit issued. We also had a $50.0 million Delayed Draw Term Loan. The Delayed Draw Term Loan must be drawn before May 2027. The Credit Facilities are each scheduled to mature on May 5, 2030. In addition to the Credit Facilities, we had $28.3 million of unrestricted cash and cash equivalents as of April 3, 2026. Unhedged borrowings under our Credit Facilities, exclusive of the effects of upfront fees, undrawn fees and issuance cost amortization, bore interest at an annual rate of 5.3% as of April 3, 2026.</w:t>
      </w:r>
      <w:r>
        <w:rPr>
          <w:rFonts w:ascii="Times New Roman;Times;serif" w:hAnsi="Times New Roman;Times;serif"/>
          <w:sz w:val="20"/>
        </w:rPr>
        <w:t xml:space="preserve"> </w:t>
      </w:r>
      <w:r>
        <w:rPr>
          <w:rFonts w:ascii="Times New Roman;Times;serif" w:hAnsi="Times New Roman;Times;serif"/>
          <w:sz w:val="20"/>
          <w:shd w:fill="FFFFFF" w:val="clear"/>
        </w:rPr>
        <w:t xml:space="preserve">See Part I, Item 1, Note 6, “Debt Obligations”, of the Notes to Condensed Consolidated Financial Statements included in this Quarterly Report on Form 10-Q, and Part II, Item 8, Note 5, “Debt Obligations”, of the Notes to Consolidated Financial Statements included in our Annual Report on Form 10-K </w:t>
      </w:r>
      <w:r>
        <w:rPr>
          <w:rFonts w:ascii="Times New Roman;Times;serif" w:hAnsi="Times New Roman;Times;serif"/>
          <w:sz w:val="20"/>
        </w:rPr>
        <w:t>for the fiscal year ended January 2, 2026</w:t>
      </w:r>
      <w:r>
        <w:rPr>
          <w:rFonts w:ascii="Times New Roman;Times;serif" w:hAnsi="Times New Roman;Times;serif"/>
          <w:sz w:val="20"/>
          <w:shd w:fill="FFFFFF" w:val="clear"/>
        </w:rPr>
        <w:t>, for information regarding our indebtedness, including information about the Amended and Restated Credit Agreement and repayments, principal repayment terms, interest rates, covenants, and other key terms of our outstanding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29, 2026, we borrowed $30.0 million under our revolving credit facility to fund a portion of the purchase price of the equity of Burton Energy Group, LLC. (“Burton”).</w:t>
      </w:r>
    </w:p>
    <w:p>
      <w:pPr>
        <w:pStyle w:val="TextBody"/>
        <w:bidi w:val="0"/>
        <w:spacing w:before="0" w:after="24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Cash flows used in operating activities were $24.4 million for the three months ended April 3, 2026, as compared to cash flows provided by operating activities of $3.3 million for the three months ended April 4, 2025. Cash flows from operating activities primarily consists of net income, adjusted for non-cash charges, such as depreciation and amortization and stock-based compensation, plus or minus changes in current operating assets and liabilities. Cash flows used in operating activities for the three months ended April 3, 2026, resulted primarily from differences in billings and collections of cash under our major projects. Cash flows provided by operating activities for the three months ended April 4, 2025, resulted primarily from the increase in earnings and working capital requirements.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w:t>
      </w:r>
      <w:r>
        <w:rPr>
          <w:rFonts w:ascii="Times New Roman;Times;serif" w:hAnsi="Times New Roman;Times;serif"/>
          <w:sz w:val="20"/>
          <w:shd w:fill="FFFFFF" w:val="clear"/>
        </w:rPr>
        <w:t>sh flows used in investing activities were $2.6 million for the three months ended April 3, 2026, as compared to cash flows used in investing activities of $34.8 million for the three months ended April 4, 2025. Cash flows used in investing activities for the three months ended April 3, 2026 were primarily due to cash paid for the development of proprietary software and the purchase of computers and equipment. Cash flows used in investing activities for the three months ended April 4, 2025 were primarily due to cash paid for acquisitions, combined with cash paid for the development of proprietary software and the purchase of computers and equipment.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financing activities were $5.4 million for the three months ended April 3, 2026, as compared to cash flows used in financing activities of $4.3 million for the three months ended April 4, 2025. </w:t>
      </w:r>
    </w:p>
    <w:p>
      <w:pPr>
        <w:pStyle w:val="TextBody"/>
        <w:bidi w:val="0"/>
        <w:spacing w:before="180" w:after="180"/>
        <w:ind w:left="0" w:right="0" w:firstLine="720"/>
        <w:jc w:val="left"/>
        <w:rPr>
          <w:rFonts w:ascii="Times New Roman;Times;serif" w:hAnsi="Times New Roman;Times;serif"/>
          <w:sz w:val="20"/>
        </w:rPr>
      </w:pPr>
      <w:r>
        <w:rPr>
          <w:rFonts w:ascii="Times New Roman;Times;serif" w:hAnsi="Times New Roman;Times;serif"/>
          <w:sz w:val="20"/>
        </w:rPr>
        <w:t>For the three months ended April 3, 2026, cash flows used in financing activities were primarily attributable to the $8.8 million cash used to pay withholding taxes on stock grants, $2.8 million payment on contingent consideration, and $0.6 million cash used to pay down our Revolving Credit Facility. Cash flows used in financing activities were partially offset by the receipt of $5.3 million of restricted cash for the distribution of utility incentives to their customers, and $1.9 million of proceeds from sales of common stock under the employee stock purchase plan. Cash flows used in financing activities for the three months ended April 4, 2025 were primarily attributable to the $2.9 million cash used to pay withholding taxes on stock grants, the repayments of $2.5 million under our Term Loan, partially offset by $1.5 million of proceeds from sales of common stock under 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April 3, 2026:</w:t>
      </w:r>
    </w:p>
    <w:tbl>
      <w:tblPr>
        <w:tblW w:w="10146" w:type="dxa"/>
        <w:jc w:val="left"/>
        <w:tblInd w:w="0" w:type="dxa"/>
        <w:tblLayout w:type="fixed"/>
        <w:tblCellMar>
          <w:top w:w="0" w:type="dxa"/>
          <w:left w:w="0" w:type="dxa"/>
          <w:bottom w:w="0" w:type="dxa"/>
          <w:right w:w="0" w:type="dxa"/>
        </w:tblCellMar>
      </w:tblPr>
      <w:tblGrid>
        <w:gridCol w:w="3436"/>
        <w:gridCol w:w="346"/>
        <w:gridCol w:w="211"/>
        <w:gridCol w:w="676"/>
        <w:gridCol w:w="346"/>
        <w:gridCol w:w="214"/>
        <w:gridCol w:w="687"/>
        <w:gridCol w:w="346"/>
        <w:gridCol w:w="239"/>
        <w:gridCol w:w="766"/>
        <w:gridCol w:w="346"/>
        <w:gridCol w:w="239"/>
        <w:gridCol w:w="766"/>
        <w:gridCol w:w="346"/>
        <w:gridCol w:w="267"/>
        <w:gridCol w:w="724"/>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81860" cy="175260"/>
                      <wp:effectExtent l="0" t="0" r="0" b="0"/>
                      <wp:wrapNone/>
                      <wp:docPr id="233" name="Frame23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5890" cy="175260"/>
                      <wp:effectExtent l="0" t="0" r="0" b="0"/>
                      <wp:wrapNone/>
                      <wp:docPr id="238" name="Frame23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6245" cy="175260"/>
                      <wp:effectExtent l="0" t="0" r="0" b="0"/>
                      <wp:wrapNone/>
                      <wp:docPr id="239" name="Frame23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1765" cy="175260"/>
                      <wp:effectExtent l="0" t="0" r="0" b="0"/>
                      <wp:wrapNone/>
                      <wp:docPr id="241" name="Frame24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86410" cy="175260"/>
                      <wp:effectExtent l="0" t="0" r="0" b="0"/>
                      <wp:wrapNone/>
                      <wp:docPr id="242" name="Frame24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51765" cy="175260"/>
                      <wp:effectExtent l="0" t="0" r="0" b="0"/>
                      <wp:wrapNone/>
                      <wp:docPr id="244" name="Frame24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86410" cy="175260"/>
                      <wp:effectExtent l="0" t="0" r="0" b="0"/>
                      <wp:wrapNone/>
                      <wp:docPr id="245" name="Frame24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69545" cy="175260"/>
                      <wp:effectExtent l="0" t="0" r="0" b="0"/>
                      <wp:wrapNone/>
                      <wp:docPr id="247" name="Frame24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59740" cy="175260"/>
                      <wp:effectExtent l="0" t="0" r="0" b="0"/>
                      <wp:wrapNone/>
                      <wp:docPr id="248" name="Frame248"/>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21285" cy="175260"/>
                      <wp:effectExtent l="0" t="0" r="0" b="0"/>
                      <wp:wrapNone/>
                      <wp:docPr id="249" name="Frame24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73"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47,854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9,766</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3,436</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46,607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shd w:fill="FFFFFF" w:val="clear"/>
              </w:rPr>
              <w:t xml:space="preserve">Debt includes $47.9 million outstanding on our Term Loan A (“TLA”), net of issuance costs, </w:t>
            </w:r>
            <w:r>
              <w:rPr>
                <w:rFonts w:ascii="Times New Roman;Times;serif" w:hAnsi="Times New Roman;Times;serif"/>
                <w:b w:val="false"/>
                <w:i w:val="false"/>
                <w:caps w:val="false"/>
                <w:smallCaps w:val="false"/>
                <w:sz w:val="18"/>
              </w:rPr>
              <w:t>no borrowed amounts outstanding on our Revolving Credit Facility</w:t>
            </w:r>
            <w:r>
              <w:rPr>
                <w:rFonts w:ascii="Times New Roman;Times;serif" w:hAnsi="Times New Roman;Times;serif"/>
                <w:b w:val="false"/>
                <w:i w:val="false"/>
                <w:caps w:val="false"/>
                <w:smallCaps w:val="false"/>
                <w:sz w:val="18"/>
                <w:shd w:fill="FFFFFF" w:val="clear"/>
              </w:rPr>
              <w:t xml:space="preserve">, and no borrowed amounts outstanding on our Delayed Draw Term Loan as of April 3, 2026. </w:t>
            </w:r>
            <w:r>
              <w:rPr>
                <w:rFonts w:ascii="Times New Roman;Times;serif" w:hAnsi="Times New Roman;Times;serif"/>
                <w:b w:val="false"/>
                <w:i w:val="false"/>
                <w:caps w:val="false"/>
                <w:smallCaps w:val="false"/>
                <w:sz w:val="18"/>
              </w:rPr>
              <w:t>We have assumed no future borrowings or repayments after April 3, 2026 (other than at maturity) for purposes of this table. Our TLA and Revolving Credit Facility are scheduled to mature on May 5, 2030.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TLA and Revolving Credit Facility bear interest at a variable rate. Future interest payments on our Credit Facility are estimated using floating rates in effect as of April 3, 2026.</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contingent obligations to make earnout payments in connection with our acquisitions of Enica, APG, </w:t>
      </w:r>
      <w:r>
        <w:rPr>
          <w:rFonts w:ascii="Times New Roman;Times;serif" w:hAnsi="Times New Roman;Times;serif"/>
          <w:sz w:val="20"/>
          <w:shd w:fill="FFFFFF" w:val="clear"/>
        </w:rPr>
        <w:t xml:space="preserve">and Compass, </w:t>
      </w:r>
      <w:r>
        <w:rPr>
          <w:rFonts w:ascii="Times New Roman;Times;serif" w:hAnsi="Times New Roman;Times;serif"/>
          <w:sz w:val="20"/>
        </w:rPr>
        <w:t>subject to their future financial performance. We are contingently obligated to pay up to $6.0 million in cash if Enica exceeds certain financial targets during the two years after the Enica closing date of October 23, 2024. We are contingently obligated to pay up to $18.0 million in cash if APG exceeds certain financial targets during the three years after the APG closing date of March 3, 2025. We are contingently obligated to pay up to $1.0 million in cash if Compass exceeds certain financial targets during the one year after the Compass closing date of January 2, 2026. As of April 3, 2026, we had contingent consideration payable of $18.5 million related to the acquisitions of Enica, APG and Compass. Through the three months ended April 3, 2026, our statement of operations includes $0.9 million of interest accretion (excluding fair value adjustments) related to the contingent consideration.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on May 4, 2026, we completed the acquisition of Burton. Pursuant to the terms of the Burton Equity Purchase Agreement, we are contingently obligated to pay up to $12.0 million in cash if Burton exceeds certain financial targets during the two years after May 4, 2026.</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of the Notes to Condensed Consolidated Financial Statements included in this Quarterly Report on Form 10-Q, and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our Annual Report on Form 10-K for the fiscal year ended January 2, 2026, for information regarding our indebtedness, including information about new borrowings and repayments, principal repayment terms, interest rates, covenants, and other key terms of our outstanding indebtedness.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Certain Federal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Federal policies related to tariffs and renewable energy incentives have been subject to frequent and significant changes from executive orders issued by the new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April 3, 2026, 20% of our contracts are time-and-materials contracts, 36% are unit-based contracts, and 44% are fixed price contracts, compared to 20% are time-and-materials contracts, 35% are unit-based contracts, and 45% are fixed price contracts, as of April 4,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January 2, 2026. Please refer to Part II, Item 7 of our Annual Report on Form 10-K for the fiscal year ended January 2, 2026 for a discussion of our critical accounting policies and estimates.</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68" w:name="ITEM7AQUANTITATIVEANDQUALITATIVE_562372"/>
      <w:bookmarkStart w:id="1069" w:name="_2a7e5da0_e327_4324_ab49_c8439a991a80"/>
      <w:bookmarkEnd w:id="1068"/>
      <w:bookmarkEnd w:id="106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April 3, 2026, we had cash and cash equivalents of $28.3 million. This amount represents cash on hand in business checking accounts with our banks.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 (“TLA”) and borrowings, if any, under our Revolving Credit Facility, each of which bears interest at variable rates. As of April 3, 2026, the Company had a fully drawn $50.0 million TLA with $48.1 million outstanding, a $100.0 million Revolving Credit Facility with no borrowed amounts, and $1.6 million in letters of credit issued, and a $50.0 million Delayed Draw Term Loan with no borrowed amounts. Each of our TLA, Revolving Credit Facility and Delayed Draw Term Loan mature on May 5, 2030 and are governed by our Amended and Restated Credit Agreement.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April 3, 2026, a one percentage point increase in the effective interest rate would change our annual interest expense by approximately $0.5 million in fiscal year 2026. </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70" w:name="Item4ControlsandProcedures_72182"/>
      <w:bookmarkStart w:id="1071" w:name="_9b81b797_b3a8_47d8_aac5_0c8ab7cbf912"/>
      <w:bookmarkEnd w:id="1070"/>
      <w:bookmarkEnd w:id="1071"/>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w:t>
      </w:r>
      <w:r>
        <w:rPr>
          <w:rFonts w:ascii="Times New Roman;Times;serif" w:hAnsi="Times New Roman;Times;serif"/>
          <w:sz w:val="20"/>
          <w:shd w:fill="FFFFFF" w:val="clear"/>
        </w:rPr>
        <w:t>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principal executive officer and principal financial officer, of the effectiveness of our disclosure controls and procedures as of April 3, 2026. Based on that evaluation, our principal executive officer and principal financial officer concluded that our disclosure controls and procedures were effective, at a reasonable assurance level, as of April 3, 2026.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January 2, 2026, we completed the acquisition of Compass Municipal Advisors, LLC. (“Compass”).</w:t>
      </w:r>
      <w:r>
        <w:rPr>
          <w:rFonts w:ascii="Times New Roman;Times;serif" w:hAnsi="Times New Roman;Times;serif"/>
          <w:sz w:val="20"/>
          <w:shd w:fill="FFFFFF" w:val="clear"/>
        </w:rPr>
        <w:t xml:space="preserve"> </w:t>
      </w:r>
      <w:r>
        <w:rPr>
          <w:rFonts w:ascii="Times New Roman;Times;serif" w:hAnsi="Times New Roman;Times;serif"/>
          <w:sz w:val="20"/>
        </w:rPr>
        <w:t>Prior to the acquisition, Compass was a privately-held company and was not subject to the Sarbanes-Oxley Act of 2002, the rules and regulations of the SEC, or other corporate governance requirements applicable to public reporting companies. As part of our ongoing integration activities, we are continuing to incorporate our controls and procedures into Compass, and, if needed, to augment our company-wide controls to reflect the risks that may be inherent in the acquisition of this privately-held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our integration of Compass, there have been no changes in our internal control over financial reporting during the quarter ended April 3, 2026, that have materially affected, or are reasonably likely to materially affect, our internal control over financial reporting.</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72" w:name="PARTIIOTHERINFORMATION_167293"/>
      <w:bookmarkStart w:id="1073" w:name="_c36e6a15_8413_4c31_89c3_41217204d8f6"/>
      <w:bookmarkEnd w:id="1072"/>
      <w:bookmarkEnd w:id="107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74" w:name="ITEM3LEGALPROCEEDINGS_429119"/>
      <w:bookmarkEnd w:id="1074"/>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5" w:name="_100d7218_a79e_4606_a956_b0de5015e821"/>
      <w:bookmarkStart w:id="1076" w:name="ITEM1ARiskFactors"/>
      <w:bookmarkEnd w:id="1075"/>
      <w:bookmarkEnd w:id="1076"/>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January 2, 2026.</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77" w:name="Item_2"/>
      <w:bookmarkStart w:id="1078" w:name="_39d74739_cc39_4f13_acc4_d2fbe9c33d15"/>
      <w:bookmarkEnd w:id="1077"/>
      <w:bookmarkEnd w:id="1078"/>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fiscal quarter ended April 3, 2026,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2052"/>
        <w:gridCol w:w="1287"/>
        <w:gridCol w:w="1093"/>
        <w:gridCol w:w="4062"/>
        <w:gridCol w:w="1711"/>
      </w:tblGrid>
      <w:tr>
        <w:trPr/>
        <w:tc>
          <w:tcPr>
            <w:tcW w:w="2052" w:type="dxa"/>
            <w:tcBorders/>
            <w:vAlign w:val="center"/>
          </w:tcPr>
          <w:p>
            <w:pPr>
              <w:pStyle w:val="TableContents"/>
              <w:bidi w:val="0"/>
              <w:spacing w:before="0" w:after="283"/>
              <w:ind w:left="0" w:right="0" w:hanging="0"/>
              <w:jc w:val="left"/>
              <w:rPr>
                <w:sz w:val="4"/>
                <w:szCs w:val="4"/>
              </w:rPr>
            </w:pPr>
            <w:r>
              <w:rPr>
                <w:sz w:val="4"/>
                <w:szCs w:val="4"/>
              </w:rPr>
            </w:r>
          </w:p>
        </w:tc>
        <w:tc>
          <w:tcPr>
            <w:tcW w:w="1287" w:type="dxa"/>
            <w:tcBorders/>
            <w:vAlign w:val="center"/>
          </w:tcPr>
          <w:p>
            <w:pPr>
              <w:pStyle w:val="TableContents"/>
              <w:bidi w:val="0"/>
              <w:spacing w:before="0" w:after="283"/>
              <w:ind w:left="0" w:right="0" w:hanging="0"/>
              <w:jc w:val="left"/>
              <w:rPr>
                <w:sz w:val="4"/>
                <w:szCs w:val="4"/>
              </w:rPr>
            </w:pPr>
            <w:r>
              <w:rPr>
                <w:sz w:val="4"/>
                <w:szCs w:val="4"/>
              </w:rPr>
            </w:r>
          </w:p>
        </w:tc>
        <w:tc>
          <w:tcPr>
            <w:tcW w:w="1093" w:type="dxa"/>
            <w:tcBorders/>
            <w:vAlign w:val="center"/>
          </w:tcPr>
          <w:p>
            <w:pPr>
              <w:pStyle w:val="TableContents"/>
              <w:bidi w:val="0"/>
              <w:spacing w:before="0" w:after="0"/>
              <w:ind w:left="0" w:right="0" w:hanging="0"/>
              <w:jc w:val="left"/>
              <w:rPr/>
            </w:pPr>
            <w:r>
              <w:rPr/>
              <w:t>​</w:t>
            </w:r>
          </w:p>
        </w:tc>
        <w:tc>
          <w:tcPr>
            <w:tcW w:w="4062"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4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205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 2026 – January 30, 2026</w:t>
            </w:r>
          </w:p>
        </w:tc>
        <w:tc>
          <w:tcPr>
            <w:tcW w:w="128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093"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4062"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1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2026 – February 27, 2026</w:t>
            </w:r>
          </w:p>
        </w:tc>
        <w:tc>
          <w:tcPr>
            <w:tcW w:w="128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w:t>
            </w:r>
          </w:p>
        </w:tc>
        <w:tc>
          <w:tcPr>
            <w:tcW w:w="109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$127.09</w:t>
            </w:r>
          </w:p>
        </w:tc>
        <w:tc>
          <w:tcPr>
            <w:tcW w:w="4062"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1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05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2026 – April 3, 2026</w:t>
            </w:r>
          </w:p>
        </w:tc>
        <w:tc>
          <w:tcPr>
            <w:tcW w:w="128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108,181</w:t>
            </w:r>
          </w:p>
        </w:tc>
        <w:tc>
          <w:tcPr>
            <w:tcW w:w="1093"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$81.11</w:t>
            </w:r>
          </w:p>
        </w:tc>
        <w:tc>
          <w:tcPr>
            <w:tcW w:w="406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1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2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28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108,321</w:t>
            </w:r>
          </w:p>
        </w:tc>
        <w:tc>
          <w:tcPr>
            <w:tcW w:w="10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$81.17</w:t>
            </w:r>
          </w:p>
        </w:tc>
        <w:tc>
          <w:tcPr>
            <w:tcW w:w="40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9" w:name="ITEM3_Defaults"/>
      <w:bookmarkStart w:id="1080" w:name="_d24599d0_f21a_47a9_b35b_051587768a23"/>
      <w:bookmarkEnd w:id="1079"/>
      <w:bookmarkEnd w:id="1080"/>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81" w:name="ITEM4_MineSafety"/>
      <w:bookmarkStart w:id="1082" w:name="_88f45a3a_be59_4529_8ccb_0f0b51eadaaf"/>
      <w:bookmarkEnd w:id="1081"/>
      <w:bookmarkEnd w:id="1082"/>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083" w:name="ITEM5_OtherInfo"/>
      <w:bookmarkStart w:id="1084" w:name="_48457056_01c0_4f25_a026_eb689684704c"/>
      <w:bookmarkEnd w:id="1083"/>
      <w:bookmarkEnd w:id="1084"/>
      <w:r>
        <w:rPr>
          <w:rFonts w:ascii="Times New Roman;Times;serif" w:hAnsi="Times New Roman;Times;serif"/>
          <w:b/>
          <w:sz w:val="20"/>
        </w:rPr>
        <w:t>ITEM 5. Other Information</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i/>
          <w:sz w:val="20"/>
        </w:rPr>
        <w:t>We are providing the following disclosure in lieu of filing a Current Report on Form 8-K relating to Item 1.01 Entry into a Material Definitive Agreement and Item 3.02 Unregistered Sales of Equity Securities</w:t>
      </w:r>
      <w:r>
        <w:rPr>
          <w:rFonts w:ascii="Times New Roman;Times;serif" w:hAnsi="Times New Roman;Times;serif"/>
          <w:i/>
          <w:sz w:val="24"/>
        </w:rPr>
        <w:t>:</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i/>
          <w:sz w:val="20"/>
        </w:rPr>
        <w:t>Item 1.01 Entry into a Material Definitive Agreement</w:t>
        <w:br/>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May 4, 2026 (the “Burton Closing Date”), the Company, through its wholly owned subsidiary, WES, acquired all of the equity of Burton, pursuant to the terms of the Equity Purchase Agreement, dated as of May 4, 2026 (the “Burton Equity Purchase Agreement”), by and among the Company, WES, and each of the shareholders of Burton (the “Burton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Burton Equity Purchase Agreement, the Company agreed to pay up to $74.0 million for the purchase of all the equity of Burton, consisting of (i) $52.0 million in cash paid on the Burton Closing Date (subject to holdbacks and adjustments), (ii) $10.0 million in shares of the Company’s common stock, based on the volume weighted closing average price per share of the Company’s common stock for the twenty trading days immediately preceding the third trading day prior to the Burton Closing Date, and (iii) up to $12.0 million in cash if Burton exceeds certain financial targets during the two years after the Burton Closing Date, as more fully described below (such potential payments of up to $12.0 million being referred to as “Burton Earnout Payments” and $12.0 million in respect thereof, being referred to as the “Burton Maximum Payout”). The Company issued 131,626 shares of the Company’s common stock and the shares have not been registered under the Securities Act of 1933, as amended (the “Securities Act”), and were issued and sold in reliance upon the exemption from registration contained in Section 4(a)(2) of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the Burton Earnout Payments to be paid will be determined based on Burton’s earnings before interest, taxes, depreciation and amortization (“Burton EBITDA”). The Burton Shareholders will receive Burton Earnout Payments in each of the two years after the Burton Closing Date (the “Burton Earnout Period”) based on the amount by which Burton EBITDA exceeds certain targets. The amounts due to the Burton Shareholders as Burton Earnout Payments will in no event, individually or in the aggregate, exceed the Burton Maximum Payout. Burton Earnout Payments will be made in annual installments for each of the two years of the Burton Earnout Period. In addition, the Burton Earnout Payments will be subject to certain subordination provisions in favor of the lenders under the Company’s Amended and Restated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Burton Equity Purchase Agreement contains customary representations and warranties regarding the Company, WES, Burton, and the Burton Shareholders, indemnification provisions, and other provisions customary for transactions of this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borrowed $30.0 million from its revolving credit facility and used cash on hand to fund the initial purchase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Burton provides comprehensive energy management and energy efficiency consulting for multi-site corporations, helping them reduce energy, water, and waste costs through utility data management and rate optimization, energy procurement and risk management, energy and water conservation/audits, and turnkey HVAC and EMS program management. Burton’s financial information will be included within the Energy segment beginning in the second quarter of fiscal year 2026 and the Company expects to finalize the purchase price allocation related to this transaction by the end of the first quarter of fiscal year 2027.</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Item 3.02 Unregistered Sales of Equity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information described in Item 1.01 above is hereby incorporated herein by reference.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foregoing description of the Burton Equity Purchase Agreement is qualified in its entirety by reference to the full text of the Burton Equity Purchase Agreement, a copy of which is filed as Exhibit 2.2 to this Quarterly Report on Form 10-Q.</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85" w:name="ITEM15EXHIBITS_40412"/>
      <w:bookmarkStart w:id="1086" w:name="_05e018b9_af8f_4f20_afd5_f759924efcb5"/>
      <w:bookmarkEnd w:id="1085"/>
      <w:bookmarkEnd w:id="1086"/>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89"/>
        <w:gridCol w:w="109"/>
        <w:gridCol w:w="9307"/>
      </w:tblGrid>
      <w:tr>
        <w:trPr/>
        <w:tc>
          <w:tcPr>
            <w:tcW w:w="78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0190" cy="29210"/>
                      <wp:effectExtent l="0" t="0" r="0" b="0"/>
                      <wp:wrapNone/>
                      <wp:docPr id="250" name="Frame250"/>
                      <a:graphic xmlns:a="http://schemas.openxmlformats.org/drawingml/2006/main">
                        <a:graphicData uri="http://schemas.microsoft.com/office/word/2010/wordprocessingShape">
                          <wps:wsp>
                            <wps:cNvSpPr txBox="1"/>
                            <wps:spPr>
                              <a:xfrm>
                                <a:off x="0" y="0"/>
                                <a:ext cx="250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954655" cy="29210"/>
                      <wp:effectExtent l="0" t="0" r="0" b="0"/>
                      <wp:wrapNone/>
                      <wp:docPr id="251" name="Frame251"/>
                      <a:graphic xmlns:a="http://schemas.openxmlformats.org/drawingml/2006/main">
                        <a:graphicData uri="http://schemas.microsoft.com/office/word/2010/wordprocessingShape">
                          <wps:wsp>
                            <wps:cNvSpPr txBox="1"/>
                            <wps:spPr>
                              <a:xfrm>
                                <a:off x="0" y="0"/>
                                <a:ext cx="2954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89"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0" w:after="0"/>
              <w:ind w:left="0" w:right="0" w:hanging="0"/>
              <w:jc w:val="center"/>
              <w:rPr/>
            </w:pPr>
            <w:r>
              <w:rPr/>
              <w:t>​</w:t>
            </w:r>
          </w:p>
        </w:tc>
        <w:tc>
          <w:tcPr>
            <w:tcW w:w="9307"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89"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2.1</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Stock Purchase Agreement, dated as of March 3, 2025, by and among Willdan Group, Inc., Willdan Energy Solutions, Inc. and each of the stockholders of APG. (incorporated by reference to Exhibit 2.1 to Willdan Group, Inc.’s Quarterly Report on Form 10-Q, filed with the SEC on May 9, 2025).</w:t>
              </w:r>
            </w:hyperlink>
          </w:p>
        </w:tc>
      </w:tr>
      <w:tr>
        <w:trPr/>
        <w:tc>
          <w:tcPr>
            <w:tcW w:w="789"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2.2</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403xex2d2.htm">
              <w:r>
                <w:rPr>
                  <w:rStyle w:val="InternetLink"/>
                  <w:rFonts w:ascii="Times New Roman;Times;serif" w:hAnsi="Times New Roman;Times;serif"/>
                  <w:b w:val="false"/>
                  <w:i w:val="false"/>
                  <w:caps w:val="false"/>
                  <w:smallCaps w:val="false"/>
                  <w:sz w:val="20"/>
                </w:rPr>
                <w:t>Equity Purchase Agreement, dated as of May 4, 2026, by and among Willdan Group, Inc., Willdan Energy Solutions, Inc., and each of the shareholders of Burton Energy Group, LLC.</w:t>
              </w:r>
            </w:hyperlink>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18"/>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18"/>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18"/>
              </w:rPr>
              <w:t xml:space="preserve"> </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18"/>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rPr>
            </w:pPr>
            <w:r>
              <w:rPr>
                <w:rFonts w:ascii="Times New Roman;Times;serif" w:hAnsi="Times New Roman;Times;serif"/>
                <w:sz w:val="19"/>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shd w:fill="FFFFFF" w:val="clear"/>
              </w:rPr>
            </w:pPr>
            <w:r>
              <w:rPr>
                <w:rFonts w:ascii="Times New Roman;Times;serif" w:hAnsi="Times New Roman;Times;serif"/>
                <w:sz w:val="19"/>
                <w:shd w:fill="FFFFFF" w:val="clear"/>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403x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403xex31d2.htm">
              <w:r>
                <w:rPr>
                  <w:rStyle w:val="InternetLink"/>
                  <w:rFonts w:ascii="Times New Roman;Times;serif" w:hAnsi="Times New Roman;Times;serif"/>
                  <w:b w:val="false"/>
                  <w:i w:val="false"/>
                  <w:caps w:val="false"/>
                  <w:smallCaps w:val="false"/>
                  <w:sz w:val="18"/>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403xex32d1.htm">
              <w:r>
                <w:rPr>
                  <w:rStyle w:val="InternetLink"/>
                  <w:rFonts w:ascii="Times New Roman;Times;serif" w:hAnsi="Times New Roman;Times;serif"/>
                  <w:b w:val="false"/>
                  <w:i w:val="false"/>
                  <w:caps w:val="false"/>
                  <w:smallCaps w:val="false"/>
                  <w:sz w:val="18"/>
                </w:rPr>
                <w:t>Certifications of Chief Executive Officer and Chief Financial Officer pursuant to 18 U.S.C. 1350, as adopted pursuant to § 906 of the Sarbanes-Oxley Act of 2002</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Instance Document (the instance document does not appear in the Interactive Data File because its XBRL tags are embedded within the Inline XBRL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Schema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Calculation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Definition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Label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Presentation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is the type of information the Company customarily treats as private or confidential.</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8"/>
        </w:rPr>
        <w:t>Indicates a management contract or compensating plan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087" w:name="SIGNATURES"/>
      <w:bookmarkStart w:id="1088" w:name="_d1f22b43_b0bc_415a_a8a1_1ee339398007"/>
      <w:bookmarkEnd w:id="1087"/>
      <w:bookmarkEnd w:id="1088"/>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414"/>
        <w:gridCol w:w="861"/>
      </w:tblGrid>
      <w:tr>
        <w:trPr/>
        <w:tc>
          <w:tcPr>
            <w:tcW w:w="124" w:type="dxa"/>
            <w:tcBorders/>
            <w:vAlign w:val="center"/>
          </w:tcPr>
          <w:p>
            <w:pPr>
              <w:pStyle w:val="TableContents"/>
              <w:bidi w:val="0"/>
              <w:spacing w:before="0" w:after="120"/>
              <w:ind w:left="0" w:right="0" w:hanging="0"/>
              <w:jc w:val="left"/>
              <w:rPr/>
            </w:pPr>
            <w:r>
              <w:rPr/>
              <w:t>​</w:t>
            </w:r>
          </w:p>
        </w:tc>
        <w:tc>
          <w:tcPr>
            <w:tcW w:w="6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072890" cy="29210"/>
                      <wp:effectExtent l="0" t="0" r="0" b="0"/>
                      <wp:wrapNone/>
                      <wp:docPr id="252" name="Frame252"/>
                      <a:graphic xmlns:a="http://schemas.openxmlformats.org/drawingml/2006/main">
                        <a:graphicData uri="http://schemas.microsoft.com/office/word/2010/wordprocessingShape">
                          <wps:wsp>
                            <wps:cNvSpPr txBox="1"/>
                            <wps:spPr>
                              <a:xfrm>
                                <a:off x="0" y="0"/>
                                <a:ext cx="40728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46735" cy="175260"/>
                      <wp:effectExtent l="0" t="0" r="0" b="0"/>
                      <wp:wrapNone/>
                      <wp:docPr id="253" name="Frame253"/>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41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c>
          <w:tcPr>
            <w:tcW w:w="861"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314" w:before="0" w:after="0"/>
        <w:ind w:left="0" w:right="0" w:hanging="0"/>
        <w:jc w:val="right"/>
        <w:rPr>
          <w:rFonts w:ascii="Arial;Helvetica;sans-serif" w:hAnsi="Arial;Helvetica;sans-serif"/>
          <w:b/>
          <w:sz w:val="20"/>
        </w:rPr>
      </w:pPr>
      <w:bookmarkStart w:id="1089" w:name="wldn-20260403xex2d2.htm"/>
      <w:bookmarkStart w:id="1090" w:name="kswldn20260403xex2d2"/>
      <w:bookmarkEnd w:id="1089"/>
      <w:bookmarkEnd w:id="1090"/>
      <w:r>
        <w:rPr>
          <w:rFonts w:ascii="Arial;Helvetica;sans-serif" w:hAnsi="Arial;Helvetica;sans-serif"/>
          <w:b/>
          <w:sz w:val="20"/>
        </w:rPr>
        <w:t>Exhibit 2.2</w:t>
      </w:r>
      <w:r>
        <w:br w:type="page"/>
      </w:r>
    </w:p>
    <w:p>
      <w:pPr>
        <w:pStyle w:val="TextBody"/>
        <w:pBdr>
          <w:bottom w:val="double" w:sz="6" w:space="1" w:color="000000"/>
        </w:pBdr>
        <w:bidi w:val="0"/>
        <w:spacing w:lineRule="auto" w:line="314" w:before="0" w:after="0"/>
        <w:ind w:left="0" w:right="0" w:hanging="0"/>
        <w:jc w:val="center"/>
        <w:rPr/>
      </w:pPr>
      <w:r>
        <w:rPr/>
        <w:t>​</w:t>
      </w:r>
    </w:p>
    <w:p>
      <w:pPr>
        <w:pStyle w:val="TextBody"/>
        <w:bidi w:val="0"/>
        <w:spacing w:lineRule="auto" w:line="314" w:before="240" w:after="0"/>
        <w:ind w:left="0" w:right="0" w:hanging="0"/>
        <w:jc w:val="center"/>
        <w:rPr/>
      </w:pPr>
      <w:r>
        <w:rPr/>
        <w:t>​</w:t>
      </w:r>
    </w:p>
    <w:p>
      <w:pPr>
        <w:pStyle w:val="TextBody"/>
        <w:bidi w:val="0"/>
        <w:spacing w:lineRule="auto" w:line="314" w:before="240" w:after="0"/>
        <w:ind w:left="0" w:right="0" w:hanging="0"/>
        <w:jc w:val="center"/>
        <w:rPr/>
      </w:pPr>
      <w:r>
        <w:rPr/>
        <w:t>​</w:t>
      </w:r>
    </w:p>
    <w:p>
      <w:pPr>
        <w:pStyle w:val="TextBody"/>
        <w:bidi w:val="0"/>
        <w:spacing w:lineRule="auto" w:line="285" w:before="240" w:after="0"/>
        <w:ind w:left="0" w:right="0" w:hanging="0"/>
        <w:jc w:val="center"/>
        <w:rPr>
          <w:rFonts w:ascii="Times New Roman;Times;serif" w:hAnsi="Times New Roman;Times;serif"/>
          <w:b/>
          <w:sz w:val="24"/>
        </w:rPr>
      </w:pPr>
      <w:r>
        <w:rPr>
          <w:rFonts w:ascii="Times New Roman;Times;serif" w:hAnsi="Times New Roman;Times;serif"/>
          <w:b/>
          <w:sz w:val="24"/>
        </w:rPr>
        <w:t>MEMBERSHIP INTEREST PURCHASE AGREEMENT</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among</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WILLDAN ENERGY SOLUTIONS, INC.</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WILLDAN GROUP, INC.</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THE SHAREHOLDERS OF BURTON ENERGY GROUP, LLC.</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pPr>
      <w:r>
        <w:rPr/>
        <w:t>​</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Dated as of</w:t>
      </w:r>
    </w:p>
    <w:p>
      <w:pPr>
        <w:pStyle w:val="TextBody"/>
        <w:bidi w:val="0"/>
        <w:spacing w:lineRule="auto" w:line="314"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May 4, 2026</w:t>
      </w:r>
    </w:p>
    <w:p>
      <w:pPr>
        <w:pStyle w:val="TextBody"/>
        <w:pBdr>
          <w:bottom w:val="double" w:sz="6" w:space="1" w:color="000000"/>
        </w:pBdr>
        <w:bidi w:val="0"/>
        <w:spacing w:lineRule="auto" w:line="314" w:before="240" w:after="0"/>
        <w:ind w:left="0" w:right="0" w:hanging="0"/>
        <w:jc w:val="center"/>
        <w:rPr/>
      </w:pPr>
      <w:r>
        <w:rPr/>
        <w:t>​</w:t>
      </w:r>
    </w:p>
    <w:p>
      <w:pPr>
        <w:pStyle w:val="TextBody"/>
        <w:bidi w:val="0"/>
        <w:spacing w:lineRule="auto" w:line="314"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TABLE OF CONTENTS</w:t>
      </w:r>
    </w:p>
    <w:p>
      <w:pPr>
        <w:pStyle w:val="TextBody"/>
        <w:bidi w:val="0"/>
        <w:spacing w:lineRule="auto" w:line="285" w:before="0" w:after="0"/>
        <w:ind w:left="0" w:right="0" w:hanging="0"/>
        <w:jc w:val="right"/>
        <w:rPr>
          <w:rFonts w:ascii="Times New Roman;Times;serif" w:hAnsi="Times New Roman;Times;serif"/>
          <w:sz w:val="24"/>
        </w:rPr>
      </w:pPr>
      <w:r>
        <w:rPr>
          <w:rFonts w:ascii="Times New Roman;Times;serif" w:hAnsi="Times New Roman;Times;serif"/>
          <w:sz w:val="24"/>
        </w:rPr>
        <w:t>Page</w:t>
      </w:r>
    </w:p>
    <w:p>
      <w:pPr>
        <w:pStyle w:val="TextBody"/>
        <w:pBdr/>
        <w:bidi w:val="0"/>
        <w:spacing w:lineRule="auto" w:line="314" w:before="0" w:after="0"/>
        <w:ind w:left="0" w:right="0" w:hanging="0"/>
        <w:jc w:val="left"/>
        <w:rPr/>
      </w:pPr>
      <w:hyperlink w:anchor="_Toc228467053">
        <w:r>
          <w:rPr>
            <w:rStyle w:val="InternetLink"/>
            <w:rFonts w:ascii="Times New Roman;Times;serif" w:hAnsi="Times New Roman;Times;serif"/>
            <w:b w:val="false"/>
            <w:i w:val="false"/>
            <w:caps/>
            <w:sz w:val="22"/>
            <w:shd w:fill="FFFFFF" w:val="clear"/>
          </w:rPr>
          <w:t>Article I</w:t>
        </w:r>
      </w:hyperlink>
      <w:hyperlink w:anchor="_Toc228467053">
        <w:r>
          <w:rPr>
            <w:webHidden/>
          </w:rPr>
          <w:fldChar w:fldCharType="begin"/>
        </w:r>
        <w:r>
          <w:rPr>
            <w:webHidden/>
          </w:rPr>
          <w:instrText xml:space="preserve">PAGEREF _Toc228467053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053">
        <w:r>
          <w:rPr>
            <w:webHidden/>
          </w:rPr>
          <w:fldChar w:fldCharType="begin"/>
        </w:r>
        <w:r>
          <w:rPr>
            <w:webHidden/>
          </w:rPr>
          <w:instrText xml:space="preserve">PAGEREF _Toc228467053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DEFINITIONS; CONSTRUCTION</w:t>
        </w:r>
        <w:r>
          <w:rPr>
            <w:webHidden/>
          </w:rPr>
          <w:fldChar w:fldCharType="end"/>
        </w:r>
      </w:hyperlink>
      <w:hyperlink w:anchor="_Toc228467053">
        <w:r>
          <w:rPr>
            <w:webHidden/>
          </w:rPr>
          <w:fldChar w:fldCharType="begin"/>
        </w:r>
        <w:r>
          <w:rPr>
            <w:webHidden/>
          </w:rPr>
          <w:instrText xml:space="preserve">PAGEREF _Toc228467053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w:t>
        </w:r>
        <w:r>
          <w:rPr>
            <w:webHidden/>
          </w:rPr>
          <w:fldChar w:fldCharType="end"/>
        </w:r>
      </w:hyperlink>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895"/>
                <wp:effectExtent l="0" t="0" r="0" b="0"/>
                <wp:wrapNone/>
                <wp:docPr id="254" name="Frame2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54">
        <w:r>
          <w:rPr>
            <w:rStyle w:val="InternetLink"/>
            <w:rFonts w:ascii="Times New Roman;Times;serif" w:hAnsi="Times New Roman;Times;serif"/>
            <w:b w:val="false"/>
            <w:i w:val="false"/>
            <w:caps w:val="false"/>
            <w:smallCaps w:val="false"/>
            <w:sz w:val="22"/>
            <w:shd w:fill="FFFFFF" w:val="clear"/>
          </w:rPr>
          <w:t>Section 1.1</w:t>
        </w:r>
      </w:hyperlink>
      <w:r>
        <w:rPr>
          <w:rFonts w:ascii="Times New Roman;Times;serif" w:hAnsi="Times New Roman;Times;serif"/>
          <w:sz w:val="22"/>
          <w:shd w:fill="FFFFFF" w:val="clear"/>
        </w:rPr>
        <w:tab/>
      </w:r>
      <w:hyperlink w:anchor="_Toc228467054">
        <w:r>
          <w:rPr>
            <w:rStyle w:val="InternetLink"/>
            <w:rFonts w:ascii="Times New Roman;Times;serif" w:hAnsi="Times New Roman;Times;serif"/>
            <w:b w:val="false"/>
            <w:i w:val="false"/>
            <w:caps w:val="false"/>
            <w:smallCaps w:val="false"/>
            <w:sz w:val="22"/>
            <w:shd w:fill="FFFFFF" w:val="clear"/>
          </w:rPr>
          <w:t>Definitions</w:t>
        </w:r>
      </w:hyperlink>
      <w:hyperlink w:anchor="_Toc228467054">
        <w:r>
          <w:rPr>
            <w:webHidden/>
          </w:rPr>
          <w:fldChar w:fldCharType="begin"/>
        </w:r>
        <w:r>
          <w:rPr>
            <w:webHidden/>
          </w:rPr>
          <w:instrText xml:space="preserve">PAGEREF _Toc228467054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w:t>
        </w:r>
        <w:r>
          <w:rPr>
            <w:webHidden/>
          </w:rPr>
          <w:fldChar w:fldCharType="end"/>
        </w:r>
      </w:hyperlink>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895"/>
                <wp:effectExtent l="0" t="0" r="0" b="0"/>
                <wp:wrapNone/>
                <wp:docPr id="255" name="Frame2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55">
        <w:r>
          <w:rPr>
            <w:rStyle w:val="InternetLink"/>
            <w:rFonts w:ascii="Times New Roman;Times;serif" w:hAnsi="Times New Roman;Times;serif"/>
            <w:b w:val="false"/>
            <w:i w:val="false"/>
            <w:caps w:val="false"/>
            <w:smallCaps w:val="false"/>
            <w:sz w:val="22"/>
            <w:shd w:fill="FFFFFF" w:val="clear"/>
          </w:rPr>
          <w:t>Section 1.2</w:t>
        </w:r>
      </w:hyperlink>
      <w:r>
        <w:rPr>
          <w:rFonts w:ascii="Times New Roman;Times;serif" w:hAnsi="Times New Roman;Times;serif"/>
          <w:sz w:val="22"/>
          <w:shd w:fill="FFFFFF" w:val="clear"/>
        </w:rPr>
        <w:tab/>
      </w:r>
      <w:hyperlink w:anchor="_Toc228467055">
        <w:r>
          <w:rPr>
            <w:rStyle w:val="InternetLink"/>
            <w:rFonts w:ascii="Times New Roman;Times;serif" w:hAnsi="Times New Roman;Times;serif"/>
            <w:b w:val="false"/>
            <w:i w:val="false"/>
            <w:caps w:val="false"/>
            <w:smallCaps w:val="false"/>
            <w:sz w:val="22"/>
            <w:shd w:fill="FFFFFF" w:val="clear"/>
          </w:rPr>
          <w:t>Construction</w:t>
        </w:r>
      </w:hyperlink>
      <w:hyperlink w:anchor="_Toc228467055">
        <w:r>
          <w:rPr>
            <w:webHidden/>
          </w:rPr>
          <w:fldChar w:fldCharType="begin"/>
        </w:r>
        <w:r>
          <w:rPr>
            <w:webHidden/>
          </w:rPr>
          <w:instrText xml:space="preserve">PAGEREF _Toc228467055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12</w:t>
        </w:r>
        <w:r>
          <w:rPr>
            <w:webHidden/>
          </w:rPr>
          <w:fldChar w:fldCharType="end"/>
        </w:r>
      </w:hyperlink>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895"/>
                <wp:effectExtent l="0" t="0" r="0" b="0"/>
                <wp:wrapNone/>
                <wp:docPr id="256" name="Frame2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56">
        <w:r>
          <w:rPr>
            <w:rStyle w:val="InternetLink"/>
            <w:rFonts w:ascii="Times New Roman;Times;serif" w:hAnsi="Times New Roman;Times;serif"/>
            <w:b w:val="false"/>
            <w:i w:val="false"/>
            <w:caps w:val="false"/>
            <w:smallCaps w:val="false"/>
            <w:sz w:val="22"/>
            <w:shd w:fill="FFFFFF" w:val="clear"/>
          </w:rPr>
          <w:t>Section 1.3</w:t>
        </w:r>
      </w:hyperlink>
      <w:r>
        <w:rPr>
          <w:rFonts w:ascii="Times New Roman;Times;serif" w:hAnsi="Times New Roman;Times;serif"/>
          <w:sz w:val="22"/>
          <w:shd w:fill="FFFFFF" w:val="clear"/>
        </w:rPr>
        <w:tab/>
      </w:r>
      <w:hyperlink w:anchor="_Toc228467056">
        <w:r>
          <w:rPr>
            <w:rStyle w:val="InternetLink"/>
            <w:rFonts w:ascii="Times New Roman;Times;serif" w:hAnsi="Times New Roman;Times;serif"/>
            <w:b w:val="false"/>
            <w:i w:val="false"/>
            <w:caps w:val="false"/>
            <w:smallCaps w:val="false"/>
            <w:sz w:val="22"/>
            <w:shd w:fill="FFFFFF" w:val="clear"/>
          </w:rPr>
          <w:t>Other Definitions</w:t>
        </w:r>
      </w:hyperlink>
      <w:hyperlink w:anchor="_Toc228467056">
        <w:r>
          <w:rPr>
            <w:webHidden/>
          </w:rPr>
          <w:fldChar w:fldCharType="begin"/>
        </w:r>
        <w:r>
          <w:rPr>
            <w:webHidden/>
          </w:rPr>
          <w:instrText xml:space="preserve">PAGEREF _Toc228467056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12</w:t>
        </w:r>
        <w:r>
          <w:rPr>
            <w:webHidden/>
          </w:rPr>
          <w:fldChar w:fldCharType="end"/>
        </w:r>
      </w:hyperlink>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895"/>
                <wp:effectExtent l="0" t="0" r="0" b="0"/>
                <wp:wrapNone/>
                <wp:docPr id="257" name="Frame2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057">
        <w:r>
          <w:rPr>
            <w:rStyle w:val="InternetLink"/>
            <w:rFonts w:ascii="Times New Roman;Times;serif" w:hAnsi="Times New Roman;Times;serif"/>
            <w:b w:val="false"/>
            <w:i w:val="false"/>
            <w:caps/>
            <w:sz w:val="22"/>
            <w:shd w:fill="FFFFFF" w:val="clear"/>
          </w:rPr>
          <w:t>Article II</w:t>
        </w:r>
      </w:hyperlink>
      <w:hyperlink w:anchor="_Toc228467057">
        <w:r>
          <w:rPr>
            <w:webHidden/>
          </w:rPr>
          <w:fldChar w:fldCharType="begin"/>
        </w:r>
        <w:r>
          <w:rPr>
            <w:webHidden/>
          </w:rPr>
          <w:instrText xml:space="preserve">PAGEREF _Toc228467057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057">
        <w:r>
          <w:rPr>
            <w:webHidden/>
          </w:rPr>
          <w:fldChar w:fldCharType="begin"/>
        </w:r>
        <w:r>
          <w:rPr>
            <w:webHidden/>
          </w:rPr>
          <w:instrText xml:space="preserve">PAGEREF _Toc228467057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PURCHASE AND SALE</w:t>
        </w:r>
        <w:r>
          <w:rPr>
            <w:webHidden/>
          </w:rPr>
          <w:fldChar w:fldCharType="end"/>
        </w:r>
      </w:hyperlink>
      <w:hyperlink w:anchor="_Toc228467057">
        <w:r>
          <w:rPr>
            <w:webHidden/>
          </w:rPr>
          <w:fldChar w:fldCharType="begin"/>
        </w:r>
        <w:r>
          <w:rPr>
            <w:webHidden/>
          </w:rPr>
          <w:instrText xml:space="preserve">PAGEREF _Toc228467057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895"/>
                <wp:effectExtent l="0" t="0" r="0" b="0"/>
                <wp:wrapNone/>
                <wp:docPr id="258" name="Frame2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58">
        <w:r>
          <w:rPr>
            <w:rStyle w:val="InternetLink"/>
            <w:rFonts w:ascii="Times New Roman;Times;serif" w:hAnsi="Times New Roman;Times;serif"/>
            <w:b w:val="false"/>
            <w:i w:val="false"/>
            <w:caps w:val="false"/>
            <w:smallCaps w:val="false"/>
            <w:sz w:val="22"/>
            <w:shd w:fill="FFFFFF" w:val="clear"/>
          </w:rPr>
          <w:t>Section 2.1</w:t>
        </w:r>
      </w:hyperlink>
      <w:r>
        <w:rPr>
          <w:rFonts w:ascii="Times New Roman;Times;serif" w:hAnsi="Times New Roman;Times;serif"/>
          <w:sz w:val="22"/>
          <w:shd w:fill="FFFFFF" w:val="clear"/>
        </w:rPr>
        <w:tab/>
      </w:r>
      <w:hyperlink w:anchor="_Toc228467058">
        <w:r>
          <w:rPr>
            <w:rStyle w:val="InternetLink"/>
            <w:rFonts w:ascii="Times New Roman;Times;serif" w:hAnsi="Times New Roman;Times;serif"/>
            <w:b w:val="false"/>
            <w:i w:val="false"/>
            <w:caps w:val="false"/>
            <w:smallCaps w:val="false"/>
            <w:sz w:val="22"/>
            <w:shd w:fill="FFFFFF" w:val="clear"/>
          </w:rPr>
          <w:t>Agreement to Purchase and Sell; Closing</w:t>
        </w:r>
      </w:hyperlink>
      <w:hyperlink w:anchor="_Toc228467058">
        <w:r>
          <w:rPr>
            <w:webHidden/>
          </w:rPr>
          <w:fldChar w:fldCharType="begin"/>
        </w:r>
        <w:r>
          <w:rPr>
            <w:webHidden/>
          </w:rPr>
          <w:instrText xml:space="preserve">PAGEREF _Toc228467058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895"/>
                <wp:effectExtent l="0" t="0" r="0" b="0"/>
                <wp:wrapNone/>
                <wp:docPr id="259" name="Frame2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5.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59">
        <w:r>
          <w:rPr>
            <w:rStyle w:val="InternetLink"/>
            <w:rFonts w:ascii="Times New Roman;Times;serif" w:hAnsi="Times New Roman;Times;serif"/>
            <w:b w:val="false"/>
            <w:i w:val="false"/>
            <w:caps w:val="false"/>
            <w:smallCaps w:val="false"/>
            <w:sz w:val="22"/>
            <w:shd w:fill="FFFFFF" w:val="clear"/>
          </w:rPr>
          <w:t>Section 2.2</w:t>
        </w:r>
      </w:hyperlink>
      <w:r>
        <w:rPr>
          <w:rFonts w:ascii="Times New Roman;Times;serif" w:hAnsi="Times New Roman;Times;serif"/>
          <w:sz w:val="22"/>
          <w:shd w:fill="FFFFFF" w:val="clear"/>
        </w:rPr>
        <w:tab/>
      </w:r>
      <w:hyperlink w:anchor="_Toc228467059">
        <w:r>
          <w:rPr>
            <w:rStyle w:val="InternetLink"/>
            <w:rFonts w:ascii="Times New Roman;Times;serif" w:hAnsi="Times New Roman;Times;serif"/>
            <w:b w:val="false"/>
            <w:i w:val="false"/>
            <w:caps w:val="false"/>
            <w:smallCaps w:val="false"/>
            <w:sz w:val="22"/>
            <w:shd w:fill="FFFFFF" w:val="clear"/>
          </w:rPr>
          <w:t>Consideration</w:t>
        </w:r>
      </w:hyperlink>
      <w:hyperlink w:anchor="_Toc228467059">
        <w:r>
          <w:rPr>
            <w:webHidden/>
          </w:rPr>
          <w:fldChar w:fldCharType="begin"/>
        </w:r>
        <w:r>
          <w:rPr>
            <w:webHidden/>
          </w:rPr>
          <w:instrText xml:space="preserve">PAGEREF _Toc228467059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895"/>
                <wp:effectExtent l="0" t="0" r="0" b="0"/>
                <wp:wrapNone/>
                <wp:docPr id="260" name="Frame2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0">
        <w:r>
          <w:rPr>
            <w:rStyle w:val="InternetLink"/>
            <w:rFonts w:ascii="Times New Roman;Times;serif" w:hAnsi="Times New Roman;Times;serif"/>
            <w:b w:val="false"/>
            <w:i w:val="false"/>
            <w:caps w:val="false"/>
            <w:smallCaps w:val="false"/>
            <w:sz w:val="22"/>
            <w:shd w:fill="FFFFFF" w:val="clear"/>
          </w:rPr>
          <w:t>Section 2.3</w:t>
        </w:r>
      </w:hyperlink>
      <w:r>
        <w:rPr>
          <w:rFonts w:ascii="Times New Roman;Times;serif" w:hAnsi="Times New Roman;Times;serif"/>
          <w:sz w:val="22"/>
          <w:shd w:fill="FFFFFF" w:val="clear"/>
        </w:rPr>
        <w:tab/>
      </w:r>
      <w:hyperlink w:anchor="_Toc228467060">
        <w:r>
          <w:rPr>
            <w:rStyle w:val="InternetLink"/>
            <w:rFonts w:ascii="Times New Roman;Times;serif" w:hAnsi="Times New Roman;Times;serif"/>
            <w:b w:val="false"/>
            <w:i w:val="false"/>
            <w:caps w:val="false"/>
            <w:smallCaps w:val="false"/>
            <w:sz w:val="22"/>
            <w:shd w:fill="FFFFFF" w:val="clear"/>
          </w:rPr>
          <w:t>Delivery of Certificates Evidencing Purchased Interests</w:t>
        </w:r>
      </w:hyperlink>
      <w:hyperlink w:anchor="_Toc228467060">
        <w:r>
          <w:rPr>
            <w:webHidden/>
          </w:rPr>
          <w:fldChar w:fldCharType="begin"/>
        </w:r>
        <w:r>
          <w:rPr>
            <w:webHidden/>
          </w:rPr>
          <w:instrText xml:space="preserve">PAGEREF _Toc228467060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14</w:t>
        </w:r>
        <w:r>
          <w:rPr>
            <w:webHidden/>
          </w:rPr>
          <w:fldChar w:fldCharType="end"/>
        </w:r>
      </w:hyperlink>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895"/>
                <wp:effectExtent l="0" t="0" r="0" b="0"/>
                <wp:wrapNone/>
                <wp:docPr id="261" name="Frame2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9.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1">
        <w:r>
          <w:rPr>
            <w:rStyle w:val="InternetLink"/>
            <w:rFonts w:ascii="Times New Roman;Times;serif" w:hAnsi="Times New Roman;Times;serif"/>
            <w:b w:val="false"/>
            <w:i w:val="false"/>
            <w:caps w:val="false"/>
            <w:smallCaps w:val="false"/>
            <w:sz w:val="22"/>
            <w:shd w:fill="FFFFFF" w:val="clear"/>
          </w:rPr>
          <w:t>Section 2.4</w:t>
        </w:r>
      </w:hyperlink>
      <w:r>
        <w:rPr>
          <w:rFonts w:ascii="Times New Roman;Times;serif" w:hAnsi="Times New Roman;Times;serif"/>
          <w:sz w:val="22"/>
          <w:shd w:fill="FFFFFF" w:val="clear"/>
        </w:rPr>
        <w:tab/>
      </w:r>
      <w:hyperlink w:anchor="_Toc228467061">
        <w:r>
          <w:rPr>
            <w:rStyle w:val="InternetLink"/>
            <w:rFonts w:ascii="Times New Roman;Times;serif" w:hAnsi="Times New Roman;Times;serif"/>
            <w:b w:val="false"/>
            <w:i w:val="false"/>
            <w:caps w:val="false"/>
            <w:smallCaps w:val="false"/>
            <w:sz w:val="22"/>
            <w:shd w:fill="FFFFFF" w:val="clear"/>
          </w:rPr>
          <w:t>Adjustment to Initial Purchase Price</w:t>
        </w:r>
      </w:hyperlink>
      <w:hyperlink w:anchor="_Toc228467061">
        <w:r>
          <w:rPr>
            <w:webHidden/>
          </w:rPr>
          <w:fldChar w:fldCharType="begin"/>
        </w:r>
        <w:r>
          <w:rPr>
            <w:webHidden/>
          </w:rPr>
          <w:instrText xml:space="preserve">PAGEREF _Toc228467061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15</w:t>
        </w:r>
        <w:r>
          <w:rPr>
            <w:webHidden/>
          </w:rPr>
          <w:fldChar w:fldCharType="end"/>
        </w:r>
      </w:hyperlink>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895"/>
                <wp:effectExtent l="0" t="0" r="0" b="0"/>
                <wp:wrapNone/>
                <wp:docPr id="262" name="Frame2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3.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2">
        <w:r>
          <w:rPr>
            <w:rStyle w:val="InternetLink"/>
            <w:rFonts w:ascii="Times New Roman;Times;serif" w:hAnsi="Times New Roman;Times;serif"/>
            <w:b w:val="false"/>
            <w:i w:val="false"/>
            <w:caps w:val="false"/>
            <w:smallCaps w:val="false"/>
            <w:sz w:val="22"/>
            <w:shd w:fill="FFFFFF" w:val="clear"/>
          </w:rPr>
          <w:t>Section 2.5</w:t>
        </w:r>
      </w:hyperlink>
      <w:r>
        <w:rPr>
          <w:rFonts w:ascii="Times New Roman;Times;serif" w:hAnsi="Times New Roman;Times;serif"/>
          <w:sz w:val="22"/>
          <w:shd w:fill="FFFFFF" w:val="clear"/>
        </w:rPr>
        <w:tab/>
      </w:r>
      <w:hyperlink w:anchor="_Toc228467062">
        <w:r>
          <w:rPr>
            <w:rStyle w:val="InternetLink"/>
            <w:rFonts w:ascii="Times New Roman;Times;serif" w:hAnsi="Times New Roman;Times;serif"/>
            <w:b w:val="false"/>
            <w:i w:val="false"/>
            <w:caps w:val="false"/>
            <w:smallCaps w:val="false"/>
            <w:sz w:val="22"/>
            <w:shd w:fill="FFFFFF" w:val="clear"/>
          </w:rPr>
          <w:t>Earn-Out Consideration</w:t>
        </w:r>
      </w:hyperlink>
      <w:hyperlink w:anchor="_Toc228467062">
        <w:r>
          <w:rPr>
            <w:webHidden/>
          </w:rPr>
          <w:fldChar w:fldCharType="begin"/>
        </w:r>
        <w:r>
          <w:rPr>
            <w:webHidden/>
          </w:rPr>
          <w:instrText xml:space="preserve">PAGEREF _Toc228467062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17</w:t>
        </w:r>
        <w:r>
          <w:rPr>
            <w:webHidden/>
          </w:rPr>
          <w:fldChar w:fldCharType="end"/>
        </w:r>
      </w:hyperlink>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895"/>
                <wp:effectExtent l="0" t="0" r="0" b="0"/>
                <wp:wrapNone/>
                <wp:docPr id="263" name="Frame2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3">
        <w:r>
          <w:rPr>
            <w:rStyle w:val="InternetLink"/>
            <w:rFonts w:ascii="Times New Roman;Times;serif" w:hAnsi="Times New Roman;Times;serif"/>
            <w:b w:val="false"/>
            <w:i w:val="false"/>
            <w:caps w:val="false"/>
            <w:smallCaps w:val="false"/>
            <w:sz w:val="22"/>
            <w:shd w:fill="FFFFFF" w:val="clear"/>
          </w:rPr>
          <w:t>Section 2.6</w:t>
        </w:r>
      </w:hyperlink>
      <w:r>
        <w:rPr>
          <w:rFonts w:ascii="Times New Roman;Times;serif" w:hAnsi="Times New Roman;Times;serif"/>
          <w:sz w:val="22"/>
          <w:shd w:fill="FFFFFF" w:val="clear"/>
        </w:rPr>
        <w:tab/>
      </w:r>
      <w:hyperlink w:anchor="_Toc228467063">
        <w:r>
          <w:rPr>
            <w:rStyle w:val="InternetLink"/>
            <w:rFonts w:ascii="Times New Roman;Times;serif" w:hAnsi="Times New Roman;Times;serif"/>
            <w:b w:val="false"/>
            <w:i w:val="false"/>
            <w:caps w:val="false"/>
            <w:smallCaps w:val="false"/>
            <w:sz w:val="22"/>
            <w:shd w:fill="FFFFFF" w:val="clear"/>
          </w:rPr>
          <w:t>Withholding</w:t>
        </w:r>
      </w:hyperlink>
      <w:hyperlink w:anchor="_Toc228467063">
        <w:r>
          <w:rPr>
            <w:webHidden/>
          </w:rPr>
          <w:fldChar w:fldCharType="begin"/>
        </w:r>
        <w:r>
          <w:rPr>
            <w:webHidden/>
          </w:rPr>
          <w:instrText xml:space="preserve">PAGEREF _Toc228467063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21</w:t>
        </w:r>
        <w:r>
          <w:rPr>
            <w:webHidden/>
          </w:rPr>
          <w:fldChar w:fldCharType="end"/>
        </w:r>
      </w:hyperlink>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895"/>
                <wp:effectExtent l="0" t="0" r="0" b="0"/>
                <wp:wrapNone/>
                <wp:docPr id="264" name="Frame2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4">
        <w:r>
          <w:rPr>
            <w:rStyle w:val="InternetLink"/>
            <w:rFonts w:ascii="Times New Roman;Times;serif" w:hAnsi="Times New Roman;Times;serif"/>
            <w:b w:val="false"/>
            <w:i w:val="false"/>
            <w:caps w:val="false"/>
            <w:smallCaps w:val="false"/>
            <w:sz w:val="22"/>
            <w:shd w:fill="FFFFFF" w:val="clear"/>
          </w:rPr>
          <w:t>Section 2.7</w:t>
        </w:r>
      </w:hyperlink>
      <w:r>
        <w:rPr>
          <w:rFonts w:ascii="Times New Roman;Times;serif" w:hAnsi="Times New Roman;Times;serif"/>
          <w:sz w:val="22"/>
          <w:shd w:fill="FFFFFF" w:val="clear"/>
        </w:rPr>
        <w:tab/>
      </w:r>
      <w:hyperlink w:anchor="_Toc228467064">
        <w:r>
          <w:rPr>
            <w:rStyle w:val="InternetLink"/>
            <w:rFonts w:ascii="Times New Roman;Times;serif" w:hAnsi="Times New Roman;Times;serif"/>
            <w:b w:val="false"/>
            <w:i w:val="false"/>
            <w:caps w:val="false"/>
            <w:smallCaps w:val="false"/>
            <w:sz w:val="22"/>
            <w:shd w:fill="FFFFFF" w:val="clear"/>
          </w:rPr>
          <w:t>No Further Ownership in Purchased Interests</w:t>
        </w:r>
      </w:hyperlink>
      <w:hyperlink w:anchor="_Toc228467064">
        <w:r>
          <w:rPr>
            <w:webHidden/>
          </w:rPr>
          <w:fldChar w:fldCharType="begin"/>
        </w:r>
        <w:r>
          <w:rPr>
            <w:webHidden/>
          </w:rPr>
          <w:instrText xml:space="preserve">PAGEREF _Toc228467064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21</w:t>
        </w:r>
        <w:r>
          <w:rPr>
            <w:webHidden/>
          </w:rPr>
          <w:fldChar w:fldCharType="end"/>
        </w:r>
      </w:hyperlink>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895"/>
                <wp:effectExtent l="0" t="0" r="0" b="0"/>
                <wp:wrapNone/>
                <wp:docPr id="265" name="Frame2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3.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065">
        <w:r>
          <w:rPr>
            <w:rStyle w:val="InternetLink"/>
            <w:rFonts w:ascii="Times New Roman;Times;serif" w:hAnsi="Times New Roman;Times;serif"/>
            <w:b w:val="false"/>
            <w:i w:val="false"/>
            <w:caps/>
            <w:sz w:val="22"/>
            <w:shd w:fill="FFFFFF" w:val="clear"/>
          </w:rPr>
          <w:t>Article III</w:t>
        </w:r>
      </w:hyperlink>
      <w:hyperlink w:anchor="_Toc228467065">
        <w:r>
          <w:rPr>
            <w:webHidden/>
          </w:rPr>
          <w:fldChar w:fldCharType="begin"/>
        </w:r>
        <w:r>
          <w:rPr>
            <w:webHidden/>
          </w:rPr>
          <w:instrText xml:space="preserve">PAGEREF _Toc228467065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065">
        <w:r>
          <w:rPr>
            <w:webHidden/>
          </w:rPr>
          <w:fldChar w:fldCharType="begin"/>
        </w:r>
        <w:r>
          <w:rPr>
            <w:webHidden/>
          </w:rPr>
          <w:instrText xml:space="preserve">PAGEREF _Toc228467065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REPRESENTATIONS AND WARRANTIES RELATING TO THE COMPANY</w:t>
        </w:r>
        <w:r>
          <w:rPr>
            <w:webHidden/>
          </w:rPr>
          <w:fldChar w:fldCharType="end"/>
        </w:r>
      </w:hyperlink>
      <w:hyperlink w:anchor="_Toc228467065">
        <w:r>
          <w:rPr>
            <w:webHidden/>
          </w:rPr>
          <w:fldChar w:fldCharType="begin"/>
        </w:r>
        <w:r>
          <w:rPr>
            <w:webHidden/>
          </w:rPr>
          <w:instrText xml:space="preserve">PAGEREF _Toc228467065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22</w:t>
        </w:r>
        <w:r>
          <w:rPr>
            <w:webHidden/>
          </w:rPr>
          <w:fldChar w:fldCharType="end"/>
        </w:r>
      </w:hyperlink>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895"/>
                <wp:effectExtent l="0" t="0" r="0" b="0"/>
                <wp:wrapNone/>
                <wp:docPr id="266" name="Frame2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9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6">
        <w:r>
          <w:rPr>
            <w:rStyle w:val="InternetLink"/>
            <w:rFonts w:ascii="Times New Roman;Times;serif" w:hAnsi="Times New Roman;Times;serif"/>
            <w:b w:val="false"/>
            <w:i w:val="false"/>
            <w:caps w:val="false"/>
            <w:smallCaps w:val="false"/>
            <w:sz w:val="22"/>
            <w:shd w:fill="FFFFFF" w:val="clear"/>
          </w:rPr>
          <w:t>Section 3.1</w:t>
        </w:r>
      </w:hyperlink>
      <w:r>
        <w:rPr>
          <w:rFonts w:ascii="Times New Roman;Times;serif" w:hAnsi="Times New Roman;Times;serif"/>
          <w:sz w:val="22"/>
          <w:shd w:fill="FFFFFF" w:val="clear"/>
        </w:rPr>
        <w:tab/>
      </w:r>
      <w:hyperlink w:anchor="_Toc228467066">
        <w:r>
          <w:rPr>
            <w:rStyle w:val="InternetLink"/>
            <w:rFonts w:ascii="Times New Roman;Times;serif" w:hAnsi="Times New Roman;Times;serif"/>
            <w:b w:val="false"/>
            <w:i w:val="false"/>
            <w:caps w:val="false"/>
            <w:smallCaps w:val="false"/>
            <w:sz w:val="22"/>
            <w:shd w:fill="FFFFFF" w:val="clear"/>
          </w:rPr>
          <w:t>Organization</w:t>
        </w:r>
      </w:hyperlink>
      <w:hyperlink w:anchor="_Toc228467066">
        <w:r>
          <w:rPr>
            <w:webHidden/>
          </w:rPr>
          <w:fldChar w:fldCharType="begin"/>
        </w:r>
        <w:r>
          <w:rPr>
            <w:webHidden/>
          </w:rPr>
          <w:instrText xml:space="preserve">PAGEREF _Toc228467066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22</w:t>
        </w:r>
        <w:r>
          <w:rPr>
            <w:webHidden/>
          </w:rPr>
          <w:fldChar w:fldCharType="end"/>
        </w:r>
      </w:hyperlink>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895"/>
                <wp:effectExtent l="0" t="0" r="0" b="0"/>
                <wp:wrapNone/>
                <wp:docPr id="267" name="Frame2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7">
        <w:r>
          <w:rPr>
            <w:rStyle w:val="InternetLink"/>
            <w:rFonts w:ascii="Times New Roman;Times;serif" w:hAnsi="Times New Roman;Times;serif"/>
            <w:b w:val="false"/>
            <w:i w:val="false"/>
            <w:caps w:val="false"/>
            <w:smallCaps w:val="false"/>
            <w:sz w:val="22"/>
            <w:shd w:fill="FFFFFF" w:val="clear"/>
          </w:rPr>
          <w:t>Section 3.2</w:t>
        </w:r>
      </w:hyperlink>
      <w:r>
        <w:rPr>
          <w:rFonts w:ascii="Times New Roman;Times;serif" w:hAnsi="Times New Roman;Times;serif"/>
          <w:sz w:val="22"/>
          <w:shd w:fill="FFFFFF" w:val="clear"/>
        </w:rPr>
        <w:tab/>
      </w:r>
      <w:hyperlink w:anchor="_Toc228467067">
        <w:r>
          <w:rPr>
            <w:rStyle w:val="InternetLink"/>
            <w:rFonts w:ascii="Times New Roman;Times;serif" w:hAnsi="Times New Roman;Times;serif"/>
            <w:b w:val="false"/>
            <w:i w:val="false"/>
            <w:caps w:val="false"/>
            <w:smallCaps w:val="false"/>
            <w:sz w:val="22"/>
            <w:shd w:fill="FFFFFF" w:val="clear"/>
          </w:rPr>
          <w:t>Authorization</w:t>
        </w:r>
      </w:hyperlink>
      <w:hyperlink w:anchor="_Toc228467067">
        <w:r>
          <w:rPr>
            <w:webHidden/>
          </w:rPr>
          <w:fldChar w:fldCharType="begin"/>
        </w:r>
        <w:r>
          <w:rPr>
            <w:webHidden/>
          </w:rPr>
          <w:instrText xml:space="preserve">PAGEREF _Toc228467067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22</w:t>
        </w:r>
        <w:r>
          <w:rPr>
            <w:webHidden/>
          </w:rPr>
          <w:fldChar w:fldCharType="end"/>
        </w:r>
      </w:hyperlink>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895"/>
                <wp:effectExtent l="0" t="0" r="0" b="0"/>
                <wp:wrapNone/>
                <wp:docPr id="268" name="Frame2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8">
        <w:r>
          <w:rPr>
            <w:rStyle w:val="InternetLink"/>
            <w:rFonts w:ascii="Times New Roman;Times;serif" w:hAnsi="Times New Roman;Times;serif"/>
            <w:b w:val="false"/>
            <w:i w:val="false"/>
            <w:caps w:val="false"/>
            <w:smallCaps w:val="false"/>
            <w:sz w:val="22"/>
            <w:shd w:fill="FFFFFF" w:val="clear"/>
          </w:rPr>
          <w:t>Section 3.3</w:t>
        </w:r>
      </w:hyperlink>
      <w:r>
        <w:rPr>
          <w:rFonts w:ascii="Times New Roman;Times;serif" w:hAnsi="Times New Roman;Times;serif"/>
          <w:sz w:val="22"/>
          <w:shd w:fill="FFFFFF" w:val="clear"/>
        </w:rPr>
        <w:tab/>
      </w:r>
      <w:hyperlink w:anchor="_Toc228467068">
        <w:r>
          <w:rPr>
            <w:rStyle w:val="InternetLink"/>
            <w:rFonts w:ascii="Times New Roman;Times;serif" w:hAnsi="Times New Roman;Times;serif"/>
            <w:b w:val="false"/>
            <w:i w:val="false"/>
            <w:caps w:val="false"/>
            <w:smallCaps w:val="false"/>
            <w:sz w:val="22"/>
            <w:shd w:fill="FFFFFF" w:val="clear"/>
          </w:rPr>
          <w:t>Purchased Interests</w:t>
        </w:r>
      </w:hyperlink>
      <w:hyperlink w:anchor="_Toc228467068">
        <w:r>
          <w:rPr>
            <w:webHidden/>
          </w:rPr>
          <w:fldChar w:fldCharType="begin"/>
        </w:r>
        <w:r>
          <w:rPr>
            <w:webHidden/>
          </w:rPr>
          <w:instrText xml:space="preserve">PAGEREF _Toc228467068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22</w:t>
        </w:r>
        <w:r>
          <w:rPr>
            <w:webHidden/>
          </w:rPr>
          <w:fldChar w:fldCharType="end"/>
        </w:r>
      </w:hyperlink>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895"/>
                <wp:effectExtent l="0" t="0" r="0" b="0"/>
                <wp:wrapNone/>
                <wp:docPr id="269" name="Frame2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69">
        <w:r>
          <w:rPr>
            <w:rStyle w:val="InternetLink"/>
            <w:rFonts w:ascii="Times New Roman;Times;serif" w:hAnsi="Times New Roman;Times;serif"/>
            <w:b w:val="false"/>
            <w:i w:val="false"/>
            <w:caps w:val="false"/>
            <w:smallCaps w:val="false"/>
            <w:sz w:val="22"/>
            <w:shd w:fill="FFFFFF" w:val="clear"/>
          </w:rPr>
          <w:t>Section 3.4</w:t>
        </w:r>
      </w:hyperlink>
      <w:r>
        <w:rPr>
          <w:rFonts w:ascii="Times New Roman;Times;serif" w:hAnsi="Times New Roman;Times;serif"/>
          <w:sz w:val="22"/>
          <w:shd w:fill="FFFFFF" w:val="clear"/>
        </w:rPr>
        <w:tab/>
      </w:r>
      <w:hyperlink w:anchor="_Toc228467069">
        <w:r>
          <w:rPr>
            <w:rStyle w:val="InternetLink"/>
            <w:rFonts w:ascii="Times New Roman;Times;serif" w:hAnsi="Times New Roman;Times;serif"/>
            <w:b w:val="false"/>
            <w:i w:val="false"/>
            <w:caps w:val="false"/>
            <w:smallCaps w:val="false"/>
            <w:sz w:val="22"/>
            <w:shd w:fill="FFFFFF" w:val="clear"/>
          </w:rPr>
          <w:t>Absence of Restrictions and Conflicts</w:t>
        </w:r>
      </w:hyperlink>
      <w:hyperlink w:anchor="_Toc228467069">
        <w:r>
          <w:rPr>
            <w:webHidden/>
          </w:rPr>
          <w:fldChar w:fldCharType="begin"/>
        </w:r>
        <w:r>
          <w:rPr>
            <w:webHidden/>
          </w:rPr>
          <w:instrText xml:space="preserve">PAGEREF _Toc228467069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23</w:t>
        </w:r>
        <w:r>
          <w:rPr>
            <w:webHidden/>
          </w:rPr>
          <w:fldChar w:fldCharType="end"/>
        </w:r>
      </w:hyperlink>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895"/>
                <wp:effectExtent l="0" t="0" r="0" b="0"/>
                <wp:wrapNone/>
                <wp:docPr id="270" name="Frame2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0">
        <w:r>
          <w:rPr>
            <w:rStyle w:val="InternetLink"/>
            <w:rFonts w:ascii="Times New Roman;Times;serif" w:hAnsi="Times New Roman;Times;serif"/>
            <w:b w:val="false"/>
            <w:i w:val="false"/>
            <w:caps w:val="false"/>
            <w:smallCaps w:val="false"/>
            <w:sz w:val="22"/>
            <w:shd w:fill="FFFFFF" w:val="clear"/>
          </w:rPr>
          <w:t>Section 3.5</w:t>
        </w:r>
      </w:hyperlink>
      <w:r>
        <w:rPr>
          <w:rFonts w:ascii="Times New Roman;Times;serif" w:hAnsi="Times New Roman;Times;serif"/>
          <w:sz w:val="22"/>
          <w:shd w:fill="FFFFFF" w:val="clear"/>
        </w:rPr>
        <w:tab/>
      </w:r>
      <w:hyperlink w:anchor="_Toc228467070">
        <w:r>
          <w:rPr>
            <w:rStyle w:val="InternetLink"/>
            <w:rFonts w:ascii="Times New Roman;Times;serif" w:hAnsi="Times New Roman;Times;serif"/>
            <w:b w:val="false"/>
            <w:i w:val="false"/>
            <w:caps w:val="false"/>
            <w:smallCaps w:val="false"/>
            <w:sz w:val="22"/>
            <w:shd w:fill="FFFFFF" w:val="clear"/>
          </w:rPr>
          <w:t>Real Property</w:t>
        </w:r>
      </w:hyperlink>
      <w:hyperlink w:anchor="_Toc228467070">
        <w:r>
          <w:rPr>
            <w:webHidden/>
          </w:rPr>
          <w:fldChar w:fldCharType="begin"/>
        </w:r>
        <w:r>
          <w:rPr>
            <w:webHidden/>
          </w:rPr>
          <w:instrText xml:space="preserve">PAGEREF _Toc228467070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24</w:t>
        </w:r>
        <w:r>
          <w:rPr>
            <w:webHidden/>
          </w:rPr>
          <w:fldChar w:fldCharType="end"/>
        </w:r>
      </w:hyperlink>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895"/>
                <wp:effectExtent l="0" t="0" r="0" b="0"/>
                <wp:wrapNone/>
                <wp:docPr id="271" name="Frame2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1">
        <w:r>
          <w:rPr>
            <w:rStyle w:val="InternetLink"/>
            <w:rFonts w:ascii="Times New Roman;Times;serif" w:hAnsi="Times New Roman;Times;serif"/>
            <w:b w:val="false"/>
            <w:i w:val="false"/>
            <w:caps w:val="false"/>
            <w:smallCaps w:val="false"/>
            <w:sz w:val="22"/>
            <w:shd w:fill="FFFFFF" w:val="clear"/>
          </w:rPr>
          <w:t>Section 3.6</w:t>
        </w:r>
      </w:hyperlink>
      <w:r>
        <w:rPr>
          <w:rFonts w:ascii="Times New Roman;Times;serif" w:hAnsi="Times New Roman;Times;serif"/>
          <w:sz w:val="22"/>
          <w:shd w:fill="FFFFFF" w:val="clear"/>
        </w:rPr>
        <w:tab/>
      </w:r>
      <w:hyperlink w:anchor="_Toc228467071">
        <w:r>
          <w:rPr>
            <w:rStyle w:val="InternetLink"/>
            <w:rFonts w:ascii="Times New Roman;Times;serif" w:hAnsi="Times New Roman;Times;serif"/>
            <w:b w:val="false"/>
            <w:i w:val="false"/>
            <w:caps w:val="false"/>
            <w:smallCaps w:val="false"/>
            <w:sz w:val="22"/>
            <w:shd w:fill="FFFFFF" w:val="clear"/>
          </w:rPr>
          <w:t>Title to Assets; Related Matters</w:t>
        </w:r>
      </w:hyperlink>
      <w:hyperlink w:anchor="_Toc228467071">
        <w:r>
          <w:rPr>
            <w:webHidden/>
          </w:rPr>
          <w:fldChar w:fldCharType="begin"/>
        </w:r>
        <w:r>
          <w:rPr>
            <w:webHidden/>
          </w:rPr>
          <w:instrText xml:space="preserve">PAGEREF _Toc228467071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24</w:t>
        </w:r>
        <w:r>
          <w:rPr>
            <w:webHidden/>
          </w:rPr>
          <w:fldChar w:fldCharType="end"/>
        </w:r>
      </w:hyperlink>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895"/>
                <wp:effectExtent l="0" t="0" r="0" b="0"/>
                <wp:wrapNone/>
                <wp:docPr id="272" name="Frame2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2">
        <w:r>
          <w:rPr>
            <w:rStyle w:val="InternetLink"/>
            <w:rFonts w:ascii="Times New Roman;Times;serif" w:hAnsi="Times New Roman;Times;serif"/>
            <w:b w:val="false"/>
            <w:i w:val="false"/>
            <w:caps w:val="false"/>
            <w:smallCaps w:val="false"/>
            <w:sz w:val="22"/>
            <w:shd w:fill="FFFFFF" w:val="clear"/>
          </w:rPr>
          <w:t>Section 3.7</w:t>
        </w:r>
      </w:hyperlink>
      <w:r>
        <w:rPr>
          <w:rFonts w:ascii="Times New Roman;Times;serif" w:hAnsi="Times New Roman;Times;serif"/>
          <w:sz w:val="22"/>
          <w:shd w:fill="FFFFFF" w:val="clear"/>
        </w:rPr>
        <w:tab/>
      </w:r>
      <w:hyperlink w:anchor="_Toc228467072">
        <w:r>
          <w:rPr>
            <w:rStyle w:val="InternetLink"/>
            <w:rFonts w:ascii="Times New Roman;Times;serif" w:hAnsi="Times New Roman;Times;serif"/>
            <w:b w:val="false"/>
            <w:i w:val="false"/>
            <w:caps w:val="false"/>
            <w:smallCaps w:val="false"/>
            <w:sz w:val="22"/>
            <w:shd w:fill="FFFFFF" w:val="clear"/>
          </w:rPr>
          <w:t>Financial Statements</w:t>
        </w:r>
      </w:hyperlink>
      <w:hyperlink w:anchor="_Toc228467072">
        <w:r>
          <w:rPr>
            <w:webHidden/>
          </w:rPr>
          <w:fldChar w:fldCharType="begin"/>
        </w:r>
        <w:r>
          <w:rPr>
            <w:webHidden/>
          </w:rPr>
          <w:instrText xml:space="preserve">PAGEREF _Toc228467072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25</w:t>
        </w:r>
        <w:r>
          <w:rPr>
            <w:webHidden/>
          </w:rPr>
          <w:fldChar w:fldCharType="end"/>
        </w:r>
      </w:hyperlink>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895"/>
                <wp:effectExtent l="0" t="0" r="0" b="0"/>
                <wp:wrapNone/>
                <wp:docPr id="273" name="Frame2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3">
        <w:r>
          <w:rPr>
            <w:rStyle w:val="InternetLink"/>
            <w:rFonts w:ascii="Times New Roman;Times;serif" w:hAnsi="Times New Roman;Times;serif"/>
            <w:b w:val="false"/>
            <w:i w:val="false"/>
            <w:caps w:val="false"/>
            <w:smallCaps w:val="false"/>
            <w:sz w:val="22"/>
            <w:shd w:fill="FFFFFF" w:val="clear"/>
          </w:rPr>
          <w:t>Section 3.8</w:t>
        </w:r>
      </w:hyperlink>
      <w:r>
        <w:rPr>
          <w:rFonts w:ascii="Times New Roman;Times;serif" w:hAnsi="Times New Roman;Times;serif"/>
          <w:sz w:val="22"/>
          <w:shd w:fill="FFFFFF" w:val="clear"/>
        </w:rPr>
        <w:tab/>
      </w:r>
      <w:hyperlink w:anchor="_Toc228467073">
        <w:r>
          <w:rPr>
            <w:rStyle w:val="InternetLink"/>
            <w:rFonts w:ascii="Times New Roman;Times;serif" w:hAnsi="Times New Roman;Times;serif"/>
            <w:b w:val="false"/>
            <w:i w:val="false"/>
            <w:caps w:val="false"/>
            <w:smallCaps w:val="false"/>
            <w:sz w:val="22"/>
            <w:shd w:fill="FFFFFF" w:val="clear"/>
          </w:rPr>
          <w:t>Accounts Receivable</w:t>
        </w:r>
      </w:hyperlink>
      <w:hyperlink w:anchor="_Toc228467073">
        <w:r>
          <w:rPr>
            <w:webHidden/>
          </w:rPr>
          <w:fldChar w:fldCharType="begin"/>
        </w:r>
        <w:r>
          <w:rPr>
            <w:webHidden/>
          </w:rPr>
          <w:instrText xml:space="preserve">PAGEREF _Toc228467073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25</w:t>
        </w:r>
        <w:r>
          <w:rPr>
            <w:webHidden/>
          </w:rPr>
          <w:fldChar w:fldCharType="end"/>
        </w:r>
      </w:hyperlink>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895"/>
                <wp:effectExtent l="0" t="0" r="0" b="0"/>
                <wp:wrapNone/>
                <wp:docPr id="274" name="Frame2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4">
        <w:r>
          <w:rPr>
            <w:rStyle w:val="InternetLink"/>
            <w:rFonts w:ascii="Times New Roman;Times;serif" w:hAnsi="Times New Roman;Times;serif"/>
            <w:b w:val="false"/>
            <w:i w:val="false"/>
            <w:caps w:val="false"/>
            <w:smallCaps w:val="false"/>
            <w:sz w:val="22"/>
            <w:shd w:fill="FFFFFF" w:val="clear"/>
          </w:rPr>
          <w:t>Section 3.9</w:t>
        </w:r>
      </w:hyperlink>
      <w:r>
        <w:rPr>
          <w:rFonts w:ascii="Times New Roman;Times;serif" w:hAnsi="Times New Roman;Times;serif"/>
          <w:sz w:val="22"/>
          <w:shd w:fill="FFFFFF" w:val="clear"/>
        </w:rPr>
        <w:tab/>
      </w:r>
      <w:hyperlink w:anchor="_Toc228467074">
        <w:r>
          <w:rPr>
            <w:rStyle w:val="InternetLink"/>
            <w:rFonts w:ascii="Times New Roman;Times;serif" w:hAnsi="Times New Roman;Times;serif"/>
            <w:b w:val="false"/>
            <w:i w:val="false"/>
            <w:caps w:val="false"/>
            <w:smallCaps w:val="false"/>
            <w:sz w:val="22"/>
            <w:shd w:fill="FFFFFF" w:val="clear"/>
          </w:rPr>
          <w:t>Tax Returns; Taxes</w:t>
        </w:r>
      </w:hyperlink>
      <w:hyperlink w:anchor="_Toc228467074">
        <w:r>
          <w:rPr>
            <w:webHidden/>
          </w:rPr>
          <w:fldChar w:fldCharType="begin"/>
        </w:r>
        <w:r>
          <w:rPr>
            <w:webHidden/>
          </w:rPr>
          <w:instrText xml:space="preserve">PAGEREF _Toc228467074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26</w:t>
        </w:r>
        <w:r>
          <w:rPr>
            <w:webHidden/>
          </w:rPr>
          <w:fldChar w:fldCharType="end"/>
        </w:r>
      </w:hyperlink>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895"/>
                <wp:effectExtent l="0" t="0" r="0" b="0"/>
                <wp:wrapNone/>
                <wp:docPr id="275" name="Frame2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5">
        <w:r>
          <w:rPr>
            <w:rStyle w:val="InternetLink"/>
            <w:rFonts w:ascii="Times New Roman;Times;serif" w:hAnsi="Times New Roman;Times;serif"/>
            <w:b w:val="false"/>
            <w:i w:val="false"/>
            <w:caps w:val="false"/>
            <w:smallCaps w:val="false"/>
            <w:sz w:val="22"/>
            <w:shd w:fill="FFFFFF" w:val="clear"/>
          </w:rPr>
          <w:t>Section 3.10</w:t>
        </w:r>
      </w:hyperlink>
      <w:r>
        <w:rPr>
          <w:rFonts w:ascii="Times New Roman;Times;serif" w:hAnsi="Times New Roman;Times;serif"/>
          <w:sz w:val="22"/>
          <w:shd w:fill="FFFFFF" w:val="clear"/>
        </w:rPr>
        <w:tab/>
      </w:r>
      <w:hyperlink w:anchor="_Toc228467075">
        <w:r>
          <w:rPr>
            <w:rStyle w:val="InternetLink"/>
            <w:rFonts w:ascii="Times New Roman;Times;serif" w:hAnsi="Times New Roman;Times;serif"/>
            <w:b w:val="false"/>
            <w:i w:val="false"/>
            <w:caps w:val="false"/>
            <w:smallCaps w:val="false"/>
            <w:sz w:val="22"/>
            <w:shd w:fill="FFFFFF" w:val="clear"/>
          </w:rPr>
          <w:t>No Undisclosed Liabilities</w:t>
        </w:r>
      </w:hyperlink>
      <w:hyperlink w:anchor="_Toc228467075">
        <w:r>
          <w:rPr>
            <w:webHidden/>
          </w:rPr>
          <w:fldChar w:fldCharType="begin"/>
        </w:r>
        <w:r>
          <w:rPr>
            <w:webHidden/>
          </w:rPr>
          <w:instrText xml:space="preserve">PAGEREF _Toc228467075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28</w:t>
        </w:r>
        <w:r>
          <w:rPr>
            <w:webHidden/>
          </w:rPr>
          <w:fldChar w:fldCharType="end"/>
        </w:r>
      </w:hyperlink>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895"/>
                <wp:effectExtent l="0" t="0" r="0" b="0"/>
                <wp:wrapNone/>
                <wp:docPr id="276" name="Frame2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6">
        <w:r>
          <w:rPr>
            <w:rStyle w:val="InternetLink"/>
            <w:rFonts w:ascii="Times New Roman;Times;serif" w:hAnsi="Times New Roman;Times;serif"/>
            <w:b w:val="false"/>
            <w:i w:val="false"/>
            <w:caps w:val="false"/>
            <w:smallCaps w:val="false"/>
            <w:sz w:val="22"/>
            <w:shd w:fill="FFFFFF" w:val="clear"/>
          </w:rPr>
          <w:t>Section 3.11</w:t>
        </w:r>
      </w:hyperlink>
      <w:r>
        <w:rPr>
          <w:rFonts w:ascii="Times New Roman;Times;serif" w:hAnsi="Times New Roman;Times;serif"/>
          <w:sz w:val="22"/>
          <w:shd w:fill="FFFFFF" w:val="clear"/>
        </w:rPr>
        <w:tab/>
      </w:r>
      <w:hyperlink w:anchor="_Toc228467076">
        <w:r>
          <w:rPr>
            <w:rStyle w:val="InternetLink"/>
            <w:rFonts w:ascii="Times New Roman;Times;serif" w:hAnsi="Times New Roman;Times;serif"/>
            <w:b w:val="false"/>
            <w:i w:val="false"/>
            <w:caps w:val="false"/>
            <w:smallCaps w:val="false"/>
            <w:sz w:val="22"/>
            <w:shd w:fill="FFFFFF" w:val="clear"/>
          </w:rPr>
          <w:t>Absence of Certain Changes</w:t>
        </w:r>
      </w:hyperlink>
      <w:hyperlink w:anchor="_Toc228467076">
        <w:r>
          <w:rPr>
            <w:webHidden/>
          </w:rPr>
          <w:fldChar w:fldCharType="begin"/>
        </w:r>
        <w:r>
          <w:rPr>
            <w:webHidden/>
          </w:rPr>
          <w:instrText xml:space="preserve">PAGEREF _Toc228467076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28</w:t>
        </w:r>
        <w:r>
          <w:rPr>
            <w:webHidden/>
          </w:rPr>
          <w:fldChar w:fldCharType="end"/>
        </w:r>
      </w:hyperlink>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895"/>
                <wp:effectExtent l="0" t="0" r="0" b="0"/>
                <wp:wrapNone/>
                <wp:docPr id="277" name="Frame2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7">
        <w:r>
          <w:rPr>
            <w:rStyle w:val="InternetLink"/>
            <w:rFonts w:ascii="Times New Roman;Times;serif" w:hAnsi="Times New Roman;Times;serif"/>
            <w:b w:val="false"/>
            <w:i w:val="false"/>
            <w:caps w:val="false"/>
            <w:smallCaps w:val="false"/>
            <w:sz w:val="22"/>
            <w:shd w:fill="FFFFFF" w:val="clear"/>
          </w:rPr>
          <w:t>Section 3.12</w:t>
        </w:r>
      </w:hyperlink>
      <w:r>
        <w:rPr>
          <w:rFonts w:ascii="Times New Roman;Times;serif" w:hAnsi="Times New Roman;Times;serif"/>
          <w:sz w:val="22"/>
          <w:shd w:fill="FFFFFF" w:val="clear"/>
        </w:rPr>
        <w:tab/>
      </w:r>
      <w:hyperlink w:anchor="_Toc228467077">
        <w:r>
          <w:rPr>
            <w:rStyle w:val="InternetLink"/>
            <w:rFonts w:ascii="Times New Roman;Times;serif" w:hAnsi="Times New Roman;Times;serif"/>
            <w:b w:val="false"/>
            <w:i w:val="false"/>
            <w:caps w:val="false"/>
            <w:smallCaps w:val="false"/>
            <w:sz w:val="22"/>
            <w:shd w:fill="FFFFFF" w:val="clear"/>
          </w:rPr>
          <w:t>Legal Proceedings</w:t>
        </w:r>
      </w:hyperlink>
      <w:hyperlink w:anchor="_Toc228467077">
        <w:r>
          <w:rPr>
            <w:webHidden/>
          </w:rPr>
          <w:fldChar w:fldCharType="begin"/>
        </w:r>
        <w:r>
          <w:rPr>
            <w:webHidden/>
          </w:rPr>
          <w:instrText xml:space="preserve">PAGEREF _Toc228467077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30</w:t>
        </w:r>
        <w:r>
          <w:rPr>
            <w:webHidden/>
          </w:rPr>
          <w:fldChar w:fldCharType="end"/>
        </w:r>
      </w:hyperlink>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895"/>
                <wp:effectExtent l="0" t="0" r="0" b="0"/>
                <wp:wrapNone/>
                <wp:docPr id="278" name="Frame2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8">
        <w:r>
          <w:rPr>
            <w:rStyle w:val="InternetLink"/>
            <w:rFonts w:ascii="Times New Roman;Times;serif" w:hAnsi="Times New Roman;Times;serif"/>
            <w:b w:val="false"/>
            <w:i w:val="false"/>
            <w:caps w:val="false"/>
            <w:smallCaps w:val="false"/>
            <w:sz w:val="22"/>
            <w:shd w:fill="FFFFFF" w:val="clear"/>
          </w:rPr>
          <w:t>Section 3.13</w:t>
        </w:r>
      </w:hyperlink>
      <w:r>
        <w:rPr>
          <w:rFonts w:ascii="Times New Roman;Times;serif" w:hAnsi="Times New Roman;Times;serif"/>
          <w:sz w:val="22"/>
          <w:shd w:fill="FFFFFF" w:val="clear"/>
        </w:rPr>
        <w:tab/>
      </w:r>
      <w:hyperlink w:anchor="_Toc228467078">
        <w:r>
          <w:rPr>
            <w:rStyle w:val="InternetLink"/>
            <w:rFonts w:ascii="Times New Roman;Times;serif" w:hAnsi="Times New Roman;Times;serif"/>
            <w:b w:val="false"/>
            <w:i w:val="false"/>
            <w:caps w:val="false"/>
            <w:smallCaps w:val="false"/>
            <w:sz w:val="22"/>
            <w:shd w:fill="FFFFFF" w:val="clear"/>
          </w:rPr>
          <w:t>Compliance with Laws</w:t>
        </w:r>
      </w:hyperlink>
      <w:hyperlink w:anchor="_Toc228467078">
        <w:r>
          <w:rPr>
            <w:webHidden/>
          </w:rPr>
          <w:fldChar w:fldCharType="begin"/>
        </w:r>
        <w:r>
          <w:rPr>
            <w:webHidden/>
          </w:rPr>
          <w:instrText xml:space="preserve">PAGEREF _Toc228467078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31</w:t>
        </w:r>
        <w:r>
          <w:rPr>
            <w:webHidden/>
          </w:rPr>
          <w:fldChar w:fldCharType="end"/>
        </w:r>
      </w:hyperlink>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895"/>
                <wp:effectExtent l="0" t="0" r="0" b="0"/>
                <wp:wrapNone/>
                <wp:docPr id="279" name="Frame2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79">
        <w:r>
          <w:rPr>
            <w:rStyle w:val="InternetLink"/>
            <w:rFonts w:ascii="Times New Roman;Times;serif" w:hAnsi="Times New Roman;Times;serif"/>
            <w:b w:val="false"/>
            <w:i w:val="false"/>
            <w:caps w:val="false"/>
            <w:smallCaps w:val="false"/>
            <w:sz w:val="22"/>
            <w:shd w:fill="FFFFFF" w:val="clear"/>
          </w:rPr>
          <w:t>Section 3.14</w:t>
        </w:r>
      </w:hyperlink>
      <w:r>
        <w:rPr>
          <w:rFonts w:ascii="Times New Roman;Times;serif" w:hAnsi="Times New Roman;Times;serif"/>
          <w:sz w:val="22"/>
          <w:shd w:fill="FFFFFF" w:val="clear"/>
        </w:rPr>
        <w:tab/>
      </w:r>
      <w:hyperlink w:anchor="_Toc228467079">
        <w:r>
          <w:rPr>
            <w:rStyle w:val="InternetLink"/>
            <w:rFonts w:ascii="Times New Roman;Times;serif" w:hAnsi="Times New Roman;Times;serif"/>
            <w:b w:val="false"/>
            <w:i w:val="false"/>
            <w:caps w:val="false"/>
            <w:smallCaps w:val="false"/>
            <w:sz w:val="22"/>
            <w:shd w:fill="FFFFFF" w:val="clear"/>
          </w:rPr>
          <w:t>Company Contracts</w:t>
        </w:r>
      </w:hyperlink>
      <w:hyperlink w:anchor="_Toc228467079">
        <w:r>
          <w:rPr>
            <w:webHidden/>
          </w:rPr>
          <w:fldChar w:fldCharType="begin"/>
        </w:r>
        <w:r>
          <w:rPr>
            <w:webHidden/>
          </w:rPr>
          <w:instrText xml:space="preserve">PAGEREF _Toc228467079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31</w:t>
        </w:r>
        <w:r>
          <w:rPr>
            <w:webHidden/>
          </w:rPr>
          <w:fldChar w:fldCharType="end"/>
        </w:r>
      </w:hyperlink>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895"/>
                <wp:effectExtent l="0" t="0" r="0" b="0"/>
                <wp:wrapNone/>
                <wp:docPr id="280" name="Frame2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0">
        <w:r>
          <w:rPr>
            <w:rStyle w:val="InternetLink"/>
            <w:rFonts w:ascii="Times New Roman;Times;serif" w:hAnsi="Times New Roman;Times;serif"/>
            <w:b w:val="false"/>
            <w:i w:val="false"/>
            <w:caps w:val="false"/>
            <w:smallCaps w:val="false"/>
            <w:sz w:val="22"/>
            <w:shd w:fill="FFFFFF" w:val="clear"/>
          </w:rPr>
          <w:t>Section 3.15</w:t>
        </w:r>
      </w:hyperlink>
      <w:r>
        <w:rPr>
          <w:rFonts w:ascii="Times New Roman;Times;serif" w:hAnsi="Times New Roman;Times;serif"/>
          <w:sz w:val="22"/>
          <w:shd w:fill="FFFFFF" w:val="clear"/>
        </w:rPr>
        <w:tab/>
      </w:r>
      <w:hyperlink w:anchor="_Toc228467080">
        <w:r>
          <w:rPr>
            <w:rStyle w:val="InternetLink"/>
            <w:rFonts w:ascii="Times New Roman;Times;serif" w:hAnsi="Times New Roman;Times;serif"/>
            <w:b w:val="false"/>
            <w:i w:val="false"/>
            <w:caps w:val="false"/>
            <w:smallCaps w:val="false"/>
            <w:sz w:val="22"/>
            <w:shd w:fill="FFFFFF" w:val="clear"/>
          </w:rPr>
          <w:t>Company Employee Benefit Plans</w:t>
        </w:r>
      </w:hyperlink>
      <w:hyperlink w:anchor="_Toc228467080">
        <w:r>
          <w:rPr>
            <w:webHidden/>
          </w:rPr>
          <w:fldChar w:fldCharType="begin"/>
        </w:r>
        <w:r>
          <w:rPr>
            <w:webHidden/>
          </w:rPr>
          <w:instrText xml:space="preserve">PAGEREF _Toc228467080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35</w:t>
        </w:r>
        <w:r>
          <w:rPr>
            <w:webHidden/>
          </w:rPr>
          <w:fldChar w:fldCharType="end"/>
        </w:r>
      </w:hyperlink>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895"/>
                <wp:effectExtent l="0" t="0" r="0" b="0"/>
                <wp:wrapNone/>
                <wp:docPr id="281" name="Frame2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1">
        <w:r>
          <w:rPr>
            <w:rStyle w:val="InternetLink"/>
            <w:rFonts w:ascii="Times New Roman;Times;serif" w:hAnsi="Times New Roman;Times;serif"/>
            <w:b w:val="false"/>
            <w:i w:val="false"/>
            <w:caps w:val="false"/>
            <w:smallCaps w:val="false"/>
            <w:sz w:val="22"/>
            <w:shd w:fill="FFFFFF" w:val="clear"/>
          </w:rPr>
          <w:t>Section 3.16</w:t>
        </w:r>
      </w:hyperlink>
      <w:r>
        <w:rPr>
          <w:rFonts w:ascii="Times New Roman;Times;serif" w:hAnsi="Times New Roman;Times;serif"/>
          <w:sz w:val="22"/>
          <w:shd w:fill="FFFFFF" w:val="clear"/>
        </w:rPr>
        <w:tab/>
      </w:r>
      <w:hyperlink w:anchor="_Toc228467081">
        <w:r>
          <w:rPr>
            <w:rStyle w:val="InternetLink"/>
            <w:rFonts w:ascii="Times New Roman;Times;serif" w:hAnsi="Times New Roman;Times;serif"/>
            <w:b w:val="false"/>
            <w:i w:val="false"/>
            <w:caps w:val="false"/>
            <w:smallCaps w:val="false"/>
            <w:sz w:val="22"/>
            <w:shd w:fill="FFFFFF" w:val="clear"/>
          </w:rPr>
          <w:t>Labor Relations</w:t>
        </w:r>
      </w:hyperlink>
      <w:hyperlink w:anchor="_Toc228467081">
        <w:r>
          <w:rPr>
            <w:webHidden/>
          </w:rPr>
          <w:fldChar w:fldCharType="begin"/>
        </w:r>
        <w:r>
          <w:rPr>
            <w:webHidden/>
          </w:rPr>
          <w:instrText xml:space="preserve">PAGEREF _Toc228467081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38</w:t>
        </w:r>
        <w:r>
          <w:rPr>
            <w:webHidden/>
          </w:rPr>
          <w:fldChar w:fldCharType="end"/>
        </w:r>
      </w:hyperlink>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895"/>
                <wp:effectExtent l="0" t="0" r="0" b="0"/>
                <wp:wrapNone/>
                <wp:docPr id="282" name="Frame2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2">
        <w:r>
          <w:rPr>
            <w:rStyle w:val="InternetLink"/>
            <w:rFonts w:ascii="Times New Roman;Times;serif" w:hAnsi="Times New Roman;Times;serif"/>
            <w:b w:val="false"/>
            <w:i w:val="false"/>
            <w:caps w:val="false"/>
            <w:smallCaps w:val="false"/>
            <w:sz w:val="22"/>
            <w:shd w:fill="FFFFFF" w:val="clear"/>
          </w:rPr>
          <w:t>Section 3.17</w:t>
        </w:r>
      </w:hyperlink>
      <w:r>
        <w:rPr>
          <w:rFonts w:ascii="Times New Roman;Times;serif" w:hAnsi="Times New Roman;Times;serif"/>
          <w:sz w:val="22"/>
          <w:shd w:fill="FFFFFF" w:val="clear"/>
        </w:rPr>
        <w:tab/>
      </w:r>
      <w:hyperlink w:anchor="_Toc228467082">
        <w:r>
          <w:rPr>
            <w:rStyle w:val="InternetLink"/>
            <w:rFonts w:ascii="Times New Roman;Times;serif" w:hAnsi="Times New Roman;Times;serif"/>
            <w:b w:val="false"/>
            <w:i w:val="false"/>
            <w:caps w:val="false"/>
            <w:smallCaps w:val="false"/>
            <w:sz w:val="22"/>
            <w:shd w:fill="FFFFFF" w:val="clear"/>
          </w:rPr>
          <w:t>Employees and Contractors</w:t>
        </w:r>
      </w:hyperlink>
      <w:hyperlink w:anchor="_Toc228467082">
        <w:r>
          <w:rPr>
            <w:webHidden/>
          </w:rPr>
          <w:fldChar w:fldCharType="begin"/>
        </w:r>
        <w:r>
          <w:rPr>
            <w:webHidden/>
          </w:rPr>
          <w:instrText xml:space="preserve">PAGEREF _Toc228467082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39</w:t>
        </w:r>
        <w:r>
          <w:rPr>
            <w:webHidden/>
          </w:rPr>
          <w:fldChar w:fldCharType="end"/>
        </w:r>
      </w:hyperlink>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895"/>
                <wp:effectExtent l="0" t="0" r="0" b="0"/>
                <wp:wrapNone/>
                <wp:docPr id="283" name="Frame2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3">
        <w:r>
          <w:rPr>
            <w:rStyle w:val="InternetLink"/>
            <w:rFonts w:ascii="Times New Roman;Times;serif" w:hAnsi="Times New Roman;Times;serif"/>
            <w:b w:val="false"/>
            <w:i w:val="false"/>
            <w:caps w:val="false"/>
            <w:smallCaps w:val="false"/>
            <w:sz w:val="22"/>
            <w:shd w:fill="FFFFFF" w:val="clear"/>
          </w:rPr>
          <w:t>Section 3.18</w:t>
        </w:r>
      </w:hyperlink>
      <w:r>
        <w:rPr>
          <w:rFonts w:ascii="Times New Roman;Times;serif" w:hAnsi="Times New Roman;Times;serif"/>
          <w:sz w:val="22"/>
          <w:shd w:fill="FFFFFF" w:val="clear"/>
        </w:rPr>
        <w:tab/>
      </w:r>
      <w:hyperlink w:anchor="_Toc228467083">
        <w:r>
          <w:rPr>
            <w:rStyle w:val="InternetLink"/>
            <w:rFonts w:ascii="Times New Roman;Times;serif" w:hAnsi="Times New Roman;Times;serif"/>
            <w:b w:val="false"/>
            <w:i w:val="false"/>
            <w:caps w:val="false"/>
            <w:smallCaps w:val="false"/>
            <w:sz w:val="22"/>
            <w:shd w:fill="FFFFFF" w:val="clear"/>
          </w:rPr>
          <w:t>Insurance Policies and Bonds</w:t>
        </w:r>
      </w:hyperlink>
      <w:hyperlink w:anchor="_Toc228467083">
        <w:r>
          <w:rPr>
            <w:webHidden/>
          </w:rPr>
          <w:fldChar w:fldCharType="begin"/>
        </w:r>
        <w:r>
          <w:rPr>
            <w:webHidden/>
          </w:rPr>
          <w:instrText xml:space="preserve">PAGEREF _Toc228467083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40</w:t>
        </w:r>
        <w:r>
          <w:rPr>
            <w:webHidden/>
          </w:rPr>
          <w:fldChar w:fldCharType="end"/>
        </w:r>
      </w:hyperlink>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895"/>
                <wp:effectExtent l="0" t="0" r="0" b="0"/>
                <wp:wrapNone/>
                <wp:docPr id="284" name="Frame2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4">
        <w:r>
          <w:rPr>
            <w:rStyle w:val="InternetLink"/>
            <w:rFonts w:ascii="Times New Roman;Times;serif" w:hAnsi="Times New Roman;Times;serif"/>
            <w:b w:val="false"/>
            <w:i w:val="false"/>
            <w:caps w:val="false"/>
            <w:smallCaps w:val="false"/>
            <w:sz w:val="22"/>
            <w:shd w:fill="FFFFFF" w:val="clear"/>
          </w:rPr>
          <w:t>Section 3.19</w:t>
        </w:r>
      </w:hyperlink>
      <w:r>
        <w:rPr>
          <w:rFonts w:ascii="Times New Roman;Times;serif" w:hAnsi="Times New Roman;Times;serif"/>
          <w:sz w:val="22"/>
          <w:shd w:fill="FFFFFF" w:val="clear"/>
        </w:rPr>
        <w:tab/>
      </w:r>
      <w:hyperlink w:anchor="_Toc228467084">
        <w:r>
          <w:rPr>
            <w:rStyle w:val="InternetLink"/>
            <w:rFonts w:ascii="Times New Roman;Times;serif" w:hAnsi="Times New Roman;Times;serif"/>
            <w:b w:val="false"/>
            <w:i w:val="false"/>
            <w:caps w:val="false"/>
            <w:smallCaps w:val="false"/>
            <w:sz w:val="22"/>
            <w:shd w:fill="FFFFFF" w:val="clear"/>
          </w:rPr>
          <w:t>Environmental, Health and Safety Matters.</w:t>
        </w:r>
      </w:hyperlink>
      <w:hyperlink w:anchor="_Toc228467084">
        <w:r>
          <w:rPr>
            <w:webHidden/>
          </w:rPr>
          <w:fldChar w:fldCharType="begin"/>
        </w:r>
        <w:r>
          <w:rPr>
            <w:webHidden/>
          </w:rPr>
          <w:instrText xml:space="preserve">PAGEREF _Toc228467084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40</w:t>
        </w:r>
        <w:r>
          <w:rPr>
            <w:webHidden/>
          </w:rPr>
          <w:fldChar w:fldCharType="end"/>
        </w:r>
      </w:hyperlink>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895"/>
                <wp:effectExtent l="0" t="0" r="0" b="0"/>
                <wp:wrapNone/>
                <wp:docPr id="285" name="Frame2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5">
        <w:r>
          <w:rPr>
            <w:rStyle w:val="InternetLink"/>
            <w:rFonts w:ascii="Times New Roman;Times;serif" w:hAnsi="Times New Roman;Times;serif"/>
            <w:b w:val="false"/>
            <w:i w:val="false"/>
            <w:caps w:val="false"/>
            <w:smallCaps w:val="false"/>
            <w:sz w:val="22"/>
            <w:shd w:fill="FFFFFF" w:val="clear"/>
          </w:rPr>
          <w:t>Section 3.20</w:t>
        </w:r>
      </w:hyperlink>
      <w:r>
        <w:rPr>
          <w:rFonts w:ascii="Times New Roman;Times;serif" w:hAnsi="Times New Roman;Times;serif"/>
          <w:sz w:val="22"/>
          <w:shd w:fill="FFFFFF" w:val="clear"/>
        </w:rPr>
        <w:tab/>
      </w:r>
      <w:hyperlink w:anchor="_Toc228467085">
        <w:r>
          <w:rPr>
            <w:rStyle w:val="InternetLink"/>
            <w:rFonts w:ascii="Times New Roman;Times;serif" w:hAnsi="Times New Roman;Times;serif"/>
            <w:b w:val="false"/>
            <w:i w:val="false"/>
            <w:caps w:val="false"/>
            <w:smallCaps w:val="false"/>
            <w:sz w:val="22"/>
            <w:shd w:fill="FFFFFF" w:val="clear"/>
          </w:rPr>
          <w:t>Transactions with Affiliates</w:t>
        </w:r>
      </w:hyperlink>
      <w:hyperlink w:anchor="_Toc228467085">
        <w:r>
          <w:rPr>
            <w:webHidden/>
          </w:rPr>
          <w:fldChar w:fldCharType="begin"/>
        </w:r>
        <w:r>
          <w:rPr>
            <w:webHidden/>
          </w:rPr>
          <w:instrText xml:space="preserve">PAGEREF _Toc228467085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41</w:t>
        </w:r>
        <w:r>
          <w:rPr>
            <w:webHidden/>
          </w:rPr>
          <w:fldChar w:fldCharType="end"/>
        </w:r>
      </w:hyperlink>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895"/>
                <wp:effectExtent l="0" t="0" r="0" b="0"/>
                <wp:wrapNone/>
                <wp:docPr id="286" name="Frame2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6">
        <w:r>
          <w:rPr>
            <w:rStyle w:val="InternetLink"/>
            <w:rFonts w:ascii="Times New Roman;Times;serif" w:hAnsi="Times New Roman;Times;serif"/>
            <w:b w:val="false"/>
            <w:i w:val="false"/>
            <w:caps w:val="false"/>
            <w:smallCaps w:val="false"/>
            <w:sz w:val="22"/>
            <w:shd w:fill="FFFFFF" w:val="clear"/>
          </w:rPr>
          <w:t>Section 3.21</w:t>
        </w:r>
      </w:hyperlink>
      <w:r>
        <w:rPr>
          <w:rFonts w:ascii="Times New Roman;Times;serif" w:hAnsi="Times New Roman;Times;serif"/>
          <w:sz w:val="22"/>
          <w:shd w:fill="FFFFFF" w:val="clear"/>
        </w:rPr>
        <w:tab/>
      </w:r>
      <w:hyperlink w:anchor="_Toc228467086">
        <w:r>
          <w:rPr>
            <w:rStyle w:val="InternetLink"/>
            <w:rFonts w:ascii="Times New Roman;Times;serif" w:hAnsi="Times New Roman;Times;serif"/>
            <w:b w:val="false"/>
            <w:i w:val="false"/>
            <w:caps w:val="false"/>
            <w:smallCaps w:val="false"/>
            <w:sz w:val="22"/>
            <w:shd w:fill="FFFFFF" w:val="clear"/>
          </w:rPr>
          <w:t>Customers and Vendors; Services</w:t>
        </w:r>
      </w:hyperlink>
      <w:hyperlink w:anchor="_Toc228467086">
        <w:r>
          <w:rPr>
            <w:webHidden/>
          </w:rPr>
          <w:fldChar w:fldCharType="begin"/>
        </w:r>
        <w:r>
          <w:rPr>
            <w:webHidden/>
          </w:rPr>
          <w:instrText xml:space="preserve">PAGEREF _Toc228467086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42</w:t>
        </w:r>
        <w:r>
          <w:rPr>
            <w:webHidden/>
          </w:rPr>
          <w:fldChar w:fldCharType="end"/>
        </w:r>
      </w:hyperlink>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895"/>
                <wp:effectExtent l="0" t="0" r="0" b="0"/>
                <wp:wrapNone/>
                <wp:docPr id="287" name="Frame2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3.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7">
        <w:r>
          <w:rPr>
            <w:rStyle w:val="InternetLink"/>
            <w:rFonts w:ascii="Times New Roman;Times;serif" w:hAnsi="Times New Roman;Times;serif"/>
            <w:b w:val="false"/>
            <w:i w:val="false"/>
            <w:caps w:val="false"/>
            <w:smallCaps w:val="false"/>
            <w:sz w:val="22"/>
            <w:shd w:fill="FFFFFF" w:val="clear"/>
          </w:rPr>
          <w:t>Section 3.22</w:t>
        </w:r>
      </w:hyperlink>
      <w:r>
        <w:rPr>
          <w:rFonts w:ascii="Times New Roman;Times;serif" w:hAnsi="Times New Roman;Times;serif"/>
          <w:sz w:val="22"/>
          <w:shd w:fill="FFFFFF" w:val="clear"/>
        </w:rPr>
        <w:tab/>
      </w:r>
      <w:hyperlink w:anchor="_Toc228467087">
        <w:r>
          <w:rPr>
            <w:rStyle w:val="InternetLink"/>
            <w:rFonts w:ascii="Times New Roman;Times;serif" w:hAnsi="Times New Roman;Times;serif"/>
            <w:b w:val="false"/>
            <w:i w:val="false"/>
            <w:caps w:val="false"/>
            <w:smallCaps w:val="false"/>
            <w:sz w:val="22"/>
            <w:shd w:fill="FFFFFF" w:val="clear"/>
          </w:rPr>
          <w:t>Service Warranties</w:t>
        </w:r>
      </w:hyperlink>
      <w:hyperlink w:anchor="_Toc228467087">
        <w:r>
          <w:rPr>
            <w:webHidden/>
          </w:rPr>
          <w:fldChar w:fldCharType="begin"/>
        </w:r>
        <w:r>
          <w:rPr>
            <w:webHidden/>
          </w:rPr>
          <w:instrText xml:space="preserve">PAGEREF _Toc228467087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42</w:t>
        </w:r>
        <w:r>
          <w:rPr>
            <w:webHidden/>
          </w:rPr>
          <w:fldChar w:fldCharType="end"/>
        </w:r>
      </w:hyperlink>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895"/>
                <wp:effectExtent l="0" t="0" r="0" b="0"/>
                <wp:wrapNone/>
                <wp:docPr id="288" name="Frame2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8">
        <w:r>
          <w:rPr>
            <w:rStyle w:val="InternetLink"/>
            <w:rFonts w:ascii="Times New Roman;Times;serif" w:hAnsi="Times New Roman;Times;serif"/>
            <w:b w:val="false"/>
            <w:i w:val="false"/>
            <w:caps w:val="false"/>
            <w:smallCaps w:val="false"/>
            <w:sz w:val="22"/>
            <w:shd w:fill="FFFFFF" w:val="clear"/>
          </w:rPr>
          <w:t>Section 3.23</w:t>
        </w:r>
      </w:hyperlink>
      <w:r>
        <w:rPr>
          <w:rFonts w:ascii="Times New Roman;Times;serif" w:hAnsi="Times New Roman;Times;serif"/>
          <w:sz w:val="22"/>
          <w:shd w:fill="FFFFFF" w:val="clear"/>
        </w:rPr>
        <w:tab/>
      </w:r>
      <w:hyperlink w:anchor="_Toc228467088">
        <w:r>
          <w:rPr>
            <w:rStyle w:val="InternetLink"/>
            <w:rFonts w:ascii="Times New Roman;Times;serif" w:hAnsi="Times New Roman;Times;serif"/>
            <w:b w:val="false"/>
            <w:i w:val="false"/>
            <w:caps w:val="false"/>
            <w:smallCaps w:val="false"/>
            <w:sz w:val="22"/>
            <w:shd w:fill="FFFFFF" w:val="clear"/>
          </w:rPr>
          <w:t>Intellectual Property</w:t>
        </w:r>
      </w:hyperlink>
      <w:hyperlink w:anchor="_Toc228467088">
        <w:r>
          <w:rPr>
            <w:webHidden/>
          </w:rPr>
          <w:fldChar w:fldCharType="begin"/>
        </w:r>
        <w:r>
          <w:rPr>
            <w:webHidden/>
          </w:rPr>
          <w:instrText xml:space="preserve">PAGEREF _Toc228467088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42</w:t>
        </w:r>
        <w:r>
          <w:rPr>
            <w:webHidden/>
          </w:rPr>
          <w:fldChar w:fldCharType="end"/>
        </w:r>
      </w:hyperlink>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895"/>
                <wp:effectExtent l="0" t="0" r="0" b="0"/>
                <wp:wrapNone/>
                <wp:docPr id="289" name="Frame2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89">
        <w:r>
          <w:rPr>
            <w:rStyle w:val="InternetLink"/>
            <w:rFonts w:ascii="Times New Roman;Times;serif" w:hAnsi="Times New Roman;Times;serif"/>
            <w:b w:val="false"/>
            <w:i w:val="false"/>
            <w:caps w:val="false"/>
            <w:smallCaps w:val="false"/>
            <w:sz w:val="22"/>
            <w:shd w:fill="FFFFFF" w:val="clear"/>
          </w:rPr>
          <w:t>Section 3.24</w:t>
        </w:r>
      </w:hyperlink>
      <w:r>
        <w:rPr>
          <w:rFonts w:ascii="Times New Roman;Times;serif" w:hAnsi="Times New Roman;Times;serif"/>
          <w:sz w:val="22"/>
          <w:shd w:fill="FFFFFF" w:val="clear"/>
        </w:rPr>
        <w:tab/>
      </w:r>
      <w:hyperlink w:anchor="_Toc228467089">
        <w:r>
          <w:rPr>
            <w:rStyle w:val="InternetLink"/>
            <w:rFonts w:ascii="Times New Roman;Times;serif" w:hAnsi="Times New Roman;Times;serif"/>
            <w:b w:val="false"/>
            <w:i w:val="false"/>
            <w:caps w:val="false"/>
            <w:smallCaps w:val="false"/>
            <w:sz w:val="22"/>
            <w:shd w:fill="FFFFFF" w:val="clear"/>
          </w:rPr>
          <w:t>Software</w:t>
        </w:r>
      </w:hyperlink>
      <w:hyperlink w:anchor="_Toc228467089">
        <w:r>
          <w:rPr>
            <w:webHidden/>
          </w:rPr>
          <w:fldChar w:fldCharType="begin"/>
        </w:r>
        <w:r>
          <w:rPr>
            <w:webHidden/>
          </w:rPr>
          <w:instrText xml:space="preserve">PAGEREF _Toc228467089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43</w:t>
        </w:r>
        <w:r>
          <w:rPr>
            <w:webHidden/>
          </w:rPr>
          <w:fldChar w:fldCharType="end"/>
        </w:r>
      </w:hyperlink>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895"/>
                <wp:effectExtent l="0" t="0" r="0" b="0"/>
                <wp:wrapNone/>
                <wp:docPr id="290" name="Frame2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4.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0">
        <w:r>
          <w:rPr>
            <w:rStyle w:val="InternetLink"/>
            <w:rFonts w:ascii="Times New Roman;Times;serif" w:hAnsi="Times New Roman;Times;serif"/>
            <w:b w:val="false"/>
            <w:i w:val="false"/>
            <w:caps w:val="false"/>
            <w:smallCaps w:val="false"/>
            <w:sz w:val="22"/>
            <w:shd w:fill="FFFFFF" w:val="clear"/>
          </w:rPr>
          <w:t>Section 3.25</w:t>
        </w:r>
      </w:hyperlink>
      <w:r>
        <w:rPr>
          <w:rFonts w:ascii="Times New Roman;Times;serif" w:hAnsi="Times New Roman;Times;serif"/>
          <w:sz w:val="22"/>
          <w:shd w:fill="FFFFFF" w:val="clear"/>
        </w:rPr>
        <w:tab/>
      </w:r>
      <w:hyperlink w:anchor="_Toc228467090">
        <w:r>
          <w:rPr>
            <w:rStyle w:val="InternetLink"/>
            <w:rFonts w:ascii="Times New Roman;Times;serif" w:hAnsi="Times New Roman;Times;serif"/>
            <w:b w:val="false"/>
            <w:i w:val="false"/>
            <w:caps w:val="false"/>
            <w:smallCaps w:val="false"/>
            <w:sz w:val="22"/>
            <w:shd w:fill="FFFFFF" w:val="clear"/>
          </w:rPr>
          <w:t>Licenses</w:t>
        </w:r>
      </w:hyperlink>
      <w:hyperlink w:anchor="_Toc228467090">
        <w:r>
          <w:rPr>
            <w:webHidden/>
          </w:rPr>
          <w:fldChar w:fldCharType="begin"/>
        </w:r>
        <w:r>
          <w:rPr>
            <w:webHidden/>
          </w:rPr>
          <w:instrText xml:space="preserve">PAGEREF _Toc228467090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44</w:t>
        </w:r>
        <w:r>
          <w:rPr>
            <w:webHidden/>
          </w:rPr>
          <w:fldChar w:fldCharType="end"/>
        </w:r>
      </w:hyperlink>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895"/>
                <wp:effectExtent l="0" t="0" r="0" b="0"/>
                <wp:wrapNone/>
                <wp:docPr id="291" name="Frame2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2.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1">
        <w:r>
          <w:rPr>
            <w:rStyle w:val="InternetLink"/>
            <w:rFonts w:ascii="Times New Roman;Times;serif" w:hAnsi="Times New Roman;Times;serif"/>
            <w:b w:val="false"/>
            <w:i w:val="false"/>
            <w:caps w:val="false"/>
            <w:smallCaps w:val="false"/>
            <w:sz w:val="22"/>
            <w:shd w:fill="FFFFFF" w:val="clear"/>
          </w:rPr>
          <w:t>Section 3.26</w:t>
        </w:r>
      </w:hyperlink>
      <w:r>
        <w:rPr>
          <w:rFonts w:ascii="Times New Roman;Times;serif" w:hAnsi="Times New Roman;Times;serif"/>
          <w:sz w:val="22"/>
          <w:shd w:fill="FFFFFF" w:val="clear"/>
        </w:rPr>
        <w:tab/>
      </w:r>
      <w:hyperlink w:anchor="_Toc228467091">
        <w:r>
          <w:rPr>
            <w:rStyle w:val="InternetLink"/>
            <w:rFonts w:ascii="Times New Roman;Times;serif" w:hAnsi="Times New Roman;Times;serif"/>
            <w:b w:val="false"/>
            <w:i w:val="false"/>
            <w:caps w:val="false"/>
            <w:smallCaps w:val="false"/>
            <w:sz w:val="22"/>
            <w:shd w:fill="FFFFFF" w:val="clear"/>
          </w:rPr>
          <w:t>Bank Accounts and Powers of Attorney</w:t>
        </w:r>
      </w:hyperlink>
      <w:hyperlink w:anchor="_Toc228467091">
        <w:r>
          <w:rPr>
            <w:webHidden/>
          </w:rPr>
          <w:fldChar w:fldCharType="begin"/>
        </w:r>
        <w:r>
          <w:rPr>
            <w:webHidden/>
          </w:rPr>
          <w:instrText xml:space="preserve">PAGEREF _Toc228467091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44</w:t>
        </w:r>
        <w:r>
          <w:rPr>
            <w:webHidden/>
          </w:rPr>
          <w:fldChar w:fldCharType="end"/>
        </w:r>
      </w:hyperlink>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895"/>
                <wp:effectExtent l="0" t="0" r="0" b="0"/>
                <wp:wrapNone/>
                <wp:docPr id="292" name="Frame2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2">
        <w:r>
          <w:rPr>
            <w:rStyle w:val="InternetLink"/>
            <w:rFonts w:ascii="Times New Roman;Times;serif" w:hAnsi="Times New Roman;Times;serif"/>
            <w:b w:val="false"/>
            <w:i w:val="false"/>
            <w:caps w:val="false"/>
            <w:smallCaps w:val="false"/>
            <w:sz w:val="22"/>
            <w:shd w:fill="FFFFFF" w:val="clear"/>
          </w:rPr>
          <w:t>Section 3.27</w:t>
        </w:r>
      </w:hyperlink>
      <w:r>
        <w:rPr>
          <w:rFonts w:ascii="Times New Roman;Times;serif" w:hAnsi="Times New Roman;Times;serif"/>
          <w:sz w:val="22"/>
          <w:shd w:fill="FFFFFF" w:val="clear"/>
        </w:rPr>
        <w:tab/>
      </w:r>
      <w:hyperlink w:anchor="_Toc228467092">
        <w:r>
          <w:rPr>
            <w:rStyle w:val="InternetLink"/>
            <w:rFonts w:ascii="Times New Roman;Times;serif" w:hAnsi="Times New Roman;Times;serif"/>
            <w:b w:val="false"/>
            <w:i w:val="false"/>
            <w:caps w:val="false"/>
            <w:smallCaps w:val="false"/>
            <w:sz w:val="22"/>
            <w:shd w:fill="FFFFFF" w:val="clear"/>
          </w:rPr>
          <w:t>Accounting Records</w:t>
        </w:r>
      </w:hyperlink>
      <w:hyperlink w:anchor="_Toc228467092">
        <w:r>
          <w:rPr>
            <w:webHidden/>
          </w:rPr>
          <w:fldChar w:fldCharType="begin"/>
        </w:r>
        <w:r>
          <w:rPr>
            <w:webHidden/>
          </w:rPr>
          <w:instrText xml:space="preserve">PAGEREF _Toc228467092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44</w:t>
        </w:r>
        <w:r>
          <w:rPr>
            <w:webHidden/>
          </w:rPr>
          <w:fldChar w:fldCharType="end"/>
        </w:r>
      </w:hyperlink>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895"/>
                <wp:effectExtent l="0" t="0" r="0" b="0"/>
                <wp:wrapNone/>
                <wp:docPr id="293" name="Frame2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3">
        <w:r>
          <w:rPr>
            <w:rStyle w:val="InternetLink"/>
            <w:rFonts w:ascii="Times New Roman;Times;serif" w:hAnsi="Times New Roman;Times;serif"/>
            <w:b w:val="false"/>
            <w:i w:val="false"/>
            <w:caps w:val="false"/>
            <w:smallCaps w:val="false"/>
            <w:sz w:val="22"/>
            <w:shd w:fill="FFFFFF" w:val="clear"/>
          </w:rPr>
          <w:t>Section 3.28</w:t>
        </w:r>
      </w:hyperlink>
      <w:r>
        <w:rPr>
          <w:rFonts w:ascii="Times New Roman;Times;serif" w:hAnsi="Times New Roman;Times;serif"/>
          <w:sz w:val="22"/>
          <w:shd w:fill="FFFFFF" w:val="clear"/>
        </w:rPr>
        <w:tab/>
      </w:r>
      <w:hyperlink w:anchor="_Toc228467093">
        <w:r>
          <w:rPr>
            <w:rStyle w:val="InternetLink"/>
            <w:rFonts w:ascii="Times New Roman;Times;serif" w:hAnsi="Times New Roman;Times;serif"/>
            <w:b w:val="false"/>
            <w:i w:val="false"/>
            <w:caps w:val="false"/>
            <w:smallCaps w:val="false"/>
            <w:sz w:val="22"/>
            <w:shd w:fill="FFFFFF" w:val="clear"/>
          </w:rPr>
          <w:t>Brokers, Finders and Investment Bankers</w:t>
        </w:r>
      </w:hyperlink>
      <w:hyperlink w:anchor="_Toc228467093">
        <w:r>
          <w:rPr>
            <w:webHidden/>
          </w:rPr>
          <w:fldChar w:fldCharType="begin"/>
        </w:r>
        <w:r>
          <w:rPr>
            <w:webHidden/>
          </w:rPr>
          <w:instrText xml:space="preserve">PAGEREF _Toc228467093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44</w:t>
        </w:r>
        <w:r>
          <w:rPr>
            <w:webHidden/>
          </w:rPr>
          <w:fldChar w:fldCharType="end"/>
        </w:r>
      </w:hyperlink>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895"/>
                <wp:effectExtent l="0" t="0" r="0" b="0"/>
                <wp:wrapNone/>
                <wp:docPr id="294" name="Frame2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6.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pBdr/>
        <w:bidi w:val="0"/>
        <w:spacing w:lineRule="auto" w:line="314" w:before="0" w:after="0"/>
        <w:ind w:left="0" w:right="0" w:hanging="0"/>
        <w:jc w:val="left"/>
        <w:rPr/>
      </w:pPr>
      <w:hyperlink w:anchor="_Toc228467094">
        <w:r>
          <w:rPr>
            <w:rStyle w:val="InternetLink"/>
            <w:rFonts w:ascii="Times New Roman;Times;serif" w:hAnsi="Times New Roman;Times;serif"/>
            <w:b w:val="false"/>
            <w:i w:val="false"/>
            <w:caps/>
            <w:sz w:val="22"/>
            <w:shd w:fill="FFFFFF" w:val="clear"/>
          </w:rPr>
          <w:t>Article IV</w:t>
        </w:r>
      </w:hyperlink>
      <w:hyperlink w:anchor="_Toc228467094">
        <w:r>
          <w:rPr>
            <w:webHidden/>
          </w:rPr>
          <w:fldChar w:fldCharType="begin"/>
        </w:r>
        <w:r>
          <w:rPr>
            <w:webHidden/>
          </w:rPr>
          <w:instrText xml:space="preserve">PAGEREF _Toc228467094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094">
        <w:r>
          <w:rPr>
            <w:webHidden/>
          </w:rPr>
          <w:fldChar w:fldCharType="begin"/>
        </w:r>
        <w:r>
          <w:rPr>
            <w:webHidden/>
          </w:rPr>
          <w:instrText xml:space="preserve">PAGEREF _Toc228467094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REPRESENTATIONS AND WARRANTIES RELATING TO THE SELLERS</w:t>
        </w:r>
        <w:r>
          <w:rPr>
            <w:webHidden/>
          </w:rPr>
          <w:fldChar w:fldCharType="end"/>
        </w:r>
      </w:hyperlink>
      <w:hyperlink w:anchor="_Toc228467094">
        <w:r>
          <w:rPr>
            <w:webHidden/>
          </w:rPr>
          <w:fldChar w:fldCharType="begin"/>
        </w:r>
        <w:r>
          <w:rPr>
            <w:webHidden/>
          </w:rPr>
          <w:instrText xml:space="preserve">PAGEREF _Toc228467094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45</w:t>
        </w:r>
        <w:r>
          <w:rPr>
            <w:webHidden/>
          </w:rPr>
          <w:fldChar w:fldCharType="end"/>
        </w:r>
      </w:hyperlink>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895"/>
                <wp:effectExtent l="0" t="0" r="0" b="0"/>
                <wp:wrapNone/>
                <wp:docPr id="295" name="Frame2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87.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5">
        <w:r>
          <w:rPr>
            <w:rStyle w:val="InternetLink"/>
            <w:rFonts w:ascii="Times New Roman;Times;serif" w:hAnsi="Times New Roman;Times;serif"/>
            <w:b w:val="false"/>
            <w:i w:val="false"/>
            <w:caps w:val="false"/>
            <w:smallCaps w:val="false"/>
            <w:sz w:val="22"/>
            <w:shd w:fill="FFFFFF" w:val="clear"/>
          </w:rPr>
          <w:t>Section 4.1</w:t>
        </w:r>
      </w:hyperlink>
      <w:r>
        <w:rPr>
          <w:rFonts w:ascii="Times New Roman;Times;serif" w:hAnsi="Times New Roman;Times;serif"/>
          <w:sz w:val="22"/>
          <w:shd w:fill="FFFFFF" w:val="clear"/>
        </w:rPr>
        <w:tab/>
      </w:r>
      <w:hyperlink w:anchor="_Toc228467095">
        <w:r>
          <w:rPr>
            <w:rStyle w:val="InternetLink"/>
            <w:rFonts w:ascii="Times New Roman;Times;serif" w:hAnsi="Times New Roman;Times;serif"/>
            <w:b w:val="false"/>
            <w:i w:val="false"/>
            <w:caps w:val="false"/>
            <w:smallCaps w:val="false"/>
            <w:sz w:val="22"/>
            <w:shd w:fill="FFFFFF" w:val="clear"/>
          </w:rPr>
          <w:t>Authorization</w:t>
        </w:r>
      </w:hyperlink>
      <w:hyperlink w:anchor="_Toc228467095">
        <w:r>
          <w:rPr>
            <w:webHidden/>
          </w:rPr>
          <w:fldChar w:fldCharType="begin"/>
        </w:r>
        <w:r>
          <w:rPr>
            <w:webHidden/>
          </w:rPr>
          <w:instrText xml:space="preserve">PAGEREF _Toc228467095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45</w:t>
        </w:r>
        <w:r>
          <w:rPr>
            <w:webHidden/>
          </w:rPr>
          <w:fldChar w:fldCharType="end"/>
        </w:r>
      </w:hyperlink>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895"/>
                <wp:effectExtent l="0" t="0" r="0" b="0"/>
                <wp:wrapNone/>
                <wp:docPr id="296" name="Frame2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6">
        <w:r>
          <w:rPr>
            <w:rStyle w:val="InternetLink"/>
            <w:rFonts w:ascii="Times New Roman;Times;serif" w:hAnsi="Times New Roman;Times;serif"/>
            <w:b w:val="false"/>
            <w:i w:val="false"/>
            <w:caps w:val="false"/>
            <w:smallCaps w:val="false"/>
            <w:sz w:val="22"/>
            <w:shd w:fill="FFFFFF" w:val="clear"/>
          </w:rPr>
          <w:t>Section 4.2</w:t>
        </w:r>
      </w:hyperlink>
      <w:r>
        <w:rPr>
          <w:rFonts w:ascii="Times New Roman;Times;serif" w:hAnsi="Times New Roman;Times;serif"/>
          <w:sz w:val="22"/>
          <w:shd w:fill="FFFFFF" w:val="clear"/>
        </w:rPr>
        <w:tab/>
      </w:r>
      <w:hyperlink w:anchor="_Toc228467096">
        <w:r>
          <w:rPr>
            <w:rStyle w:val="InternetLink"/>
            <w:rFonts w:ascii="Times New Roman;Times;serif" w:hAnsi="Times New Roman;Times;serif"/>
            <w:b w:val="false"/>
            <w:i w:val="false"/>
            <w:caps w:val="false"/>
            <w:smallCaps w:val="false"/>
            <w:sz w:val="22"/>
            <w:shd w:fill="FFFFFF" w:val="clear"/>
          </w:rPr>
          <w:t>Absence of Restrictions and Conflicts</w:t>
        </w:r>
      </w:hyperlink>
      <w:hyperlink w:anchor="_Toc228467096">
        <w:r>
          <w:rPr>
            <w:webHidden/>
          </w:rPr>
          <w:fldChar w:fldCharType="begin"/>
        </w:r>
        <w:r>
          <w:rPr>
            <w:webHidden/>
          </w:rPr>
          <w:instrText xml:space="preserve">PAGEREF _Toc228467096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45</w:t>
        </w:r>
        <w:r>
          <w:rPr>
            <w:webHidden/>
          </w:rPr>
          <w:fldChar w:fldCharType="end"/>
        </w:r>
      </w:hyperlink>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895"/>
                <wp:effectExtent l="0" t="0" r="0" b="0"/>
                <wp:wrapNone/>
                <wp:docPr id="297" name="Frame2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7">
        <w:r>
          <w:rPr>
            <w:rStyle w:val="InternetLink"/>
            <w:rFonts w:ascii="Times New Roman;Times;serif" w:hAnsi="Times New Roman;Times;serif"/>
            <w:b w:val="false"/>
            <w:i w:val="false"/>
            <w:caps w:val="false"/>
            <w:smallCaps w:val="false"/>
            <w:sz w:val="22"/>
            <w:shd w:fill="FFFFFF" w:val="clear"/>
          </w:rPr>
          <w:t>Section 4.3</w:t>
        </w:r>
      </w:hyperlink>
      <w:r>
        <w:rPr>
          <w:rFonts w:ascii="Times New Roman;Times;serif" w:hAnsi="Times New Roman;Times;serif"/>
          <w:sz w:val="22"/>
          <w:shd w:fill="FFFFFF" w:val="clear"/>
        </w:rPr>
        <w:tab/>
      </w:r>
      <w:hyperlink w:anchor="_Toc228467097">
        <w:r>
          <w:rPr>
            <w:rStyle w:val="InternetLink"/>
            <w:rFonts w:ascii="Times New Roman;Times;serif" w:hAnsi="Times New Roman;Times;serif"/>
            <w:b w:val="false"/>
            <w:i w:val="false"/>
            <w:caps w:val="false"/>
            <w:smallCaps w:val="false"/>
            <w:sz w:val="22"/>
            <w:shd w:fill="FFFFFF" w:val="clear"/>
          </w:rPr>
          <w:t>Ownership of Membership Interests</w:t>
        </w:r>
      </w:hyperlink>
      <w:hyperlink w:anchor="_Toc228467097">
        <w:r>
          <w:rPr>
            <w:webHidden/>
          </w:rPr>
          <w:fldChar w:fldCharType="begin"/>
        </w:r>
        <w:r>
          <w:rPr>
            <w:webHidden/>
          </w:rPr>
          <w:instrText xml:space="preserve">PAGEREF _Toc228467097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45</w:t>
        </w:r>
        <w:r>
          <w:rPr>
            <w:webHidden/>
          </w:rPr>
          <w:fldChar w:fldCharType="end"/>
        </w:r>
      </w:hyperlink>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895"/>
                <wp:effectExtent l="0" t="0" r="0" b="0"/>
                <wp:wrapNone/>
                <wp:docPr id="298" name="Frame2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8">
        <w:r>
          <w:rPr>
            <w:rStyle w:val="InternetLink"/>
            <w:rFonts w:ascii="Times New Roman;Times;serif" w:hAnsi="Times New Roman;Times;serif"/>
            <w:b w:val="false"/>
            <w:i w:val="false"/>
            <w:caps w:val="false"/>
            <w:smallCaps w:val="false"/>
            <w:sz w:val="22"/>
            <w:shd w:fill="FFFFFF" w:val="clear"/>
          </w:rPr>
          <w:t>Section 4.4</w:t>
        </w:r>
      </w:hyperlink>
      <w:r>
        <w:rPr>
          <w:rFonts w:ascii="Times New Roman;Times;serif" w:hAnsi="Times New Roman;Times;serif"/>
          <w:sz w:val="22"/>
          <w:shd w:fill="FFFFFF" w:val="clear"/>
        </w:rPr>
        <w:tab/>
      </w:r>
      <w:hyperlink w:anchor="_Toc228467098">
        <w:r>
          <w:rPr>
            <w:rStyle w:val="InternetLink"/>
            <w:rFonts w:ascii="Times New Roman;Times;serif" w:hAnsi="Times New Roman;Times;serif"/>
            <w:b w:val="false"/>
            <w:i w:val="false"/>
            <w:caps w:val="false"/>
            <w:smallCaps w:val="false"/>
            <w:sz w:val="22"/>
            <w:shd w:fill="FFFFFF" w:val="clear"/>
          </w:rPr>
          <w:t>Legal Proceedings</w:t>
        </w:r>
      </w:hyperlink>
      <w:hyperlink w:anchor="_Toc228467098">
        <w:r>
          <w:rPr>
            <w:webHidden/>
          </w:rPr>
          <w:fldChar w:fldCharType="begin"/>
        </w:r>
        <w:r>
          <w:rPr>
            <w:webHidden/>
          </w:rPr>
          <w:instrText xml:space="preserve">PAGEREF _Toc228467098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895"/>
                <wp:effectExtent l="0" t="0" r="0" b="0"/>
                <wp:wrapNone/>
                <wp:docPr id="299" name="Frame2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099">
        <w:r>
          <w:rPr>
            <w:rStyle w:val="InternetLink"/>
            <w:rFonts w:ascii="Times New Roman;Times;serif" w:hAnsi="Times New Roman;Times;serif"/>
            <w:b w:val="false"/>
            <w:i w:val="false"/>
            <w:caps w:val="false"/>
            <w:smallCaps w:val="false"/>
            <w:sz w:val="22"/>
            <w:shd w:fill="FFFFFF" w:val="clear"/>
          </w:rPr>
          <w:t>Section 4.5</w:t>
        </w:r>
      </w:hyperlink>
      <w:r>
        <w:rPr>
          <w:rFonts w:ascii="Times New Roman;Times;serif" w:hAnsi="Times New Roman;Times;serif"/>
          <w:sz w:val="22"/>
          <w:shd w:fill="FFFFFF" w:val="clear"/>
        </w:rPr>
        <w:tab/>
      </w:r>
      <w:hyperlink w:anchor="_Toc228467099">
        <w:r>
          <w:rPr>
            <w:rStyle w:val="InternetLink"/>
            <w:rFonts w:ascii="Times New Roman;Times;serif" w:hAnsi="Times New Roman;Times;serif"/>
            <w:b w:val="false"/>
            <w:i w:val="false"/>
            <w:caps w:val="false"/>
            <w:smallCaps w:val="false"/>
            <w:sz w:val="22"/>
            <w:shd w:fill="FFFFFF" w:val="clear"/>
          </w:rPr>
          <w:t>No Foreign Person</w:t>
        </w:r>
      </w:hyperlink>
      <w:hyperlink w:anchor="_Toc228467099">
        <w:r>
          <w:rPr>
            <w:webHidden/>
          </w:rPr>
          <w:fldChar w:fldCharType="begin"/>
        </w:r>
        <w:r>
          <w:rPr>
            <w:webHidden/>
          </w:rPr>
          <w:instrText xml:space="preserve">PAGEREF _Toc228467099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895"/>
                <wp:effectExtent l="0" t="0" r="0" b="0"/>
                <wp:wrapNone/>
                <wp:docPr id="300" name="Frame3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0">
        <w:r>
          <w:rPr>
            <w:rStyle w:val="InternetLink"/>
            <w:rFonts w:ascii="Times New Roman;Times;serif" w:hAnsi="Times New Roman;Times;serif"/>
            <w:b w:val="false"/>
            <w:i w:val="false"/>
            <w:caps w:val="false"/>
            <w:smallCaps w:val="false"/>
            <w:sz w:val="22"/>
            <w:shd w:fill="FFFFFF" w:val="clear"/>
          </w:rPr>
          <w:t>Section 4.6</w:t>
        </w:r>
      </w:hyperlink>
      <w:r>
        <w:rPr>
          <w:rFonts w:ascii="Times New Roman;Times;serif" w:hAnsi="Times New Roman;Times;serif"/>
          <w:sz w:val="22"/>
          <w:shd w:fill="FFFFFF" w:val="clear"/>
        </w:rPr>
        <w:tab/>
      </w:r>
      <w:hyperlink w:anchor="_Toc228467100">
        <w:r>
          <w:rPr>
            <w:rStyle w:val="InternetLink"/>
            <w:rFonts w:ascii="Times New Roman;Times;serif" w:hAnsi="Times New Roman;Times;serif"/>
            <w:b w:val="false"/>
            <w:i w:val="false"/>
            <w:caps w:val="false"/>
            <w:smallCaps w:val="false"/>
            <w:sz w:val="22"/>
            <w:shd w:fill="FFFFFF" w:val="clear"/>
          </w:rPr>
          <w:t>Certain Matters</w:t>
        </w:r>
      </w:hyperlink>
      <w:hyperlink w:anchor="_Toc228467100">
        <w:r>
          <w:rPr>
            <w:webHidden/>
          </w:rPr>
          <w:fldChar w:fldCharType="begin"/>
        </w:r>
        <w:r>
          <w:rPr>
            <w:webHidden/>
          </w:rPr>
          <w:instrText xml:space="preserve">PAGEREF _Toc228467100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895"/>
                <wp:effectExtent l="0" t="0" r="0" b="0"/>
                <wp:wrapNone/>
                <wp:docPr id="301" name="Frame3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101">
        <w:r>
          <w:rPr>
            <w:rStyle w:val="InternetLink"/>
            <w:rFonts w:ascii="Times New Roman;Times;serif" w:hAnsi="Times New Roman;Times;serif"/>
            <w:b w:val="false"/>
            <w:i w:val="false"/>
            <w:caps/>
            <w:sz w:val="22"/>
            <w:shd w:fill="FFFFFF" w:val="clear"/>
          </w:rPr>
          <w:t>Article V</w:t>
        </w:r>
      </w:hyperlink>
      <w:hyperlink w:anchor="_Toc228467101">
        <w:r>
          <w:rPr>
            <w:webHidden/>
          </w:rPr>
          <w:fldChar w:fldCharType="begin"/>
        </w:r>
        <w:r>
          <w:rPr>
            <w:webHidden/>
          </w:rPr>
          <w:instrText xml:space="preserve">PAGEREF _Toc228467101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101">
        <w:r>
          <w:rPr>
            <w:webHidden/>
          </w:rPr>
          <w:fldChar w:fldCharType="begin"/>
        </w:r>
        <w:r>
          <w:rPr>
            <w:webHidden/>
          </w:rPr>
          <w:instrText xml:space="preserve">PAGEREF _Toc228467101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REPRESENTATIONS AND WARRANTIES OF THE PURCHASER</w:t>
        </w:r>
        <w:r>
          <w:rPr>
            <w:webHidden/>
          </w:rPr>
          <w:fldChar w:fldCharType="end"/>
        </w:r>
      </w:hyperlink>
      <w:hyperlink w:anchor="_Toc228467101">
        <w:r>
          <w:rPr>
            <w:webHidden/>
          </w:rPr>
          <w:fldChar w:fldCharType="begin"/>
        </w:r>
        <w:r>
          <w:rPr>
            <w:webHidden/>
          </w:rPr>
          <w:instrText xml:space="preserve">PAGEREF _Toc228467101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895"/>
                <wp:effectExtent l="0" t="0" r="0" b="0"/>
                <wp:wrapNone/>
                <wp:docPr id="302" name="Frame3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2">
        <w:r>
          <w:rPr>
            <w:rStyle w:val="InternetLink"/>
            <w:rFonts w:ascii="Times New Roman;Times;serif" w:hAnsi="Times New Roman;Times;serif"/>
            <w:b w:val="false"/>
            <w:i w:val="false"/>
            <w:caps w:val="false"/>
            <w:smallCaps w:val="false"/>
            <w:sz w:val="22"/>
            <w:shd w:fill="FFFFFF" w:val="clear"/>
          </w:rPr>
          <w:t>Section 5.1</w:t>
        </w:r>
      </w:hyperlink>
      <w:r>
        <w:rPr>
          <w:rFonts w:ascii="Times New Roman;Times;serif" w:hAnsi="Times New Roman;Times;serif"/>
          <w:sz w:val="22"/>
          <w:shd w:fill="FFFFFF" w:val="clear"/>
        </w:rPr>
        <w:tab/>
      </w:r>
      <w:hyperlink w:anchor="_Toc228467102">
        <w:r>
          <w:rPr>
            <w:rStyle w:val="InternetLink"/>
            <w:rFonts w:ascii="Times New Roman;Times;serif" w:hAnsi="Times New Roman;Times;serif"/>
            <w:b w:val="false"/>
            <w:i w:val="false"/>
            <w:caps w:val="false"/>
            <w:smallCaps w:val="false"/>
            <w:sz w:val="22"/>
            <w:shd w:fill="FFFFFF" w:val="clear"/>
          </w:rPr>
          <w:t>Organization</w:t>
        </w:r>
      </w:hyperlink>
      <w:hyperlink w:anchor="_Toc228467102">
        <w:r>
          <w:rPr>
            <w:webHidden/>
          </w:rPr>
          <w:fldChar w:fldCharType="begin"/>
        </w:r>
        <w:r>
          <w:rPr>
            <w:webHidden/>
          </w:rPr>
          <w:instrText xml:space="preserve">PAGEREF _Toc228467102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895"/>
                <wp:effectExtent l="0" t="0" r="0" b="0"/>
                <wp:wrapNone/>
                <wp:docPr id="303" name="Frame3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3">
        <w:r>
          <w:rPr>
            <w:rStyle w:val="InternetLink"/>
            <w:rFonts w:ascii="Times New Roman;Times;serif" w:hAnsi="Times New Roman;Times;serif"/>
            <w:b w:val="false"/>
            <w:i w:val="false"/>
            <w:caps w:val="false"/>
            <w:smallCaps w:val="false"/>
            <w:sz w:val="22"/>
            <w:shd w:fill="FFFFFF" w:val="clear"/>
          </w:rPr>
          <w:t>Section 5.2</w:t>
        </w:r>
      </w:hyperlink>
      <w:r>
        <w:rPr>
          <w:rFonts w:ascii="Times New Roman;Times;serif" w:hAnsi="Times New Roman;Times;serif"/>
          <w:sz w:val="22"/>
          <w:shd w:fill="FFFFFF" w:val="clear"/>
        </w:rPr>
        <w:tab/>
      </w:r>
      <w:hyperlink w:anchor="_Toc228467103">
        <w:r>
          <w:rPr>
            <w:rStyle w:val="InternetLink"/>
            <w:rFonts w:ascii="Times New Roman;Times;serif" w:hAnsi="Times New Roman;Times;serif"/>
            <w:b w:val="false"/>
            <w:i w:val="false"/>
            <w:caps w:val="false"/>
            <w:smallCaps w:val="false"/>
            <w:sz w:val="22"/>
            <w:shd w:fill="FFFFFF" w:val="clear"/>
          </w:rPr>
          <w:t>Authorization</w:t>
        </w:r>
      </w:hyperlink>
      <w:hyperlink w:anchor="_Toc228467103">
        <w:r>
          <w:rPr>
            <w:webHidden/>
          </w:rPr>
          <w:fldChar w:fldCharType="begin"/>
        </w:r>
        <w:r>
          <w:rPr>
            <w:webHidden/>
          </w:rPr>
          <w:instrText xml:space="preserve">PAGEREF _Toc228467103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895"/>
                <wp:effectExtent l="0" t="0" r="0" b="0"/>
                <wp:wrapNone/>
                <wp:docPr id="304" name="Frame3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4">
        <w:r>
          <w:rPr>
            <w:rStyle w:val="InternetLink"/>
            <w:rFonts w:ascii="Times New Roman;Times;serif" w:hAnsi="Times New Roman;Times;serif"/>
            <w:b w:val="false"/>
            <w:i w:val="false"/>
            <w:caps w:val="false"/>
            <w:smallCaps w:val="false"/>
            <w:sz w:val="22"/>
            <w:shd w:fill="FFFFFF" w:val="clear"/>
          </w:rPr>
          <w:t>Section 5.3</w:t>
        </w:r>
      </w:hyperlink>
      <w:r>
        <w:rPr>
          <w:rFonts w:ascii="Times New Roman;Times;serif" w:hAnsi="Times New Roman;Times;serif"/>
          <w:sz w:val="22"/>
          <w:shd w:fill="FFFFFF" w:val="clear"/>
        </w:rPr>
        <w:tab/>
      </w:r>
      <w:hyperlink w:anchor="_Toc228467104">
        <w:r>
          <w:rPr>
            <w:rStyle w:val="InternetLink"/>
            <w:rFonts w:ascii="Times New Roman;Times;serif" w:hAnsi="Times New Roman;Times;serif"/>
            <w:b w:val="false"/>
            <w:i w:val="false"/>
            <w:caps w:val="false"/>
            <w:smallCaps w:val="false"/>
            <w:sz w:val="22"/>
            <w:shd w:fill="FFFFFF" w:val="clear"/>
          </w:rPr>
          <w:t>Absence of Restrictions and Conflicts</w:t>
        </w:r>
      </w:hyperlink>
      <w:hyperlink w:anchor="_Toc228467104">
        <w:r>
          <w:rPr>
            <w:webHidden/>
          </w:rPr>
          <w:fldChar w:fldCharType="begin"/>
        </w:r>
        <w:r>
          <w:rPr>
            <w:webHidden/>
          </w:rPr>
          <w:instrText xml:space="preserve">PAGEREF _Toc228467104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46</w:t>
        </w:r>
        <w:r>
          <w:rPr>
            <w:webHidden/>
          </w:rPr>
          <w:fldChar w:fldCharType="end"/>
        </w:r>
      </w:hyperlink>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895"/>
                <wp:effectExtent l="0" t="0" r="0" b="0"/>
                <wp:wrapNone/>
                <wp:docPr id="305" name="Frame3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5">
        <w:r>
          <w:rPr>
            <w:rStyle w:val="InternetLink"/>
            <w:rFonts w:ascii="Times New Roman;Times;serif" w:hAnsi="Times New Roman;Times;serif"/>
            <w:b w:val="false"/>
            <w:i w:val="false"/>
            <w:caps w:val="false"/>
            <w:smallCaps w:val="false"/>
            <w:sz w:val="22"/>
            <w:shd w:fill="FFFFFF" w:val="clear"/>
          </w:rPr>
          <w:t>Section 5.4</w:t>
        </w:r>
      </w:hyperlink>
      <w:r>
        <w:rPr>
          <w:rFonts w:ascii="Times New Roman;Times;serif" w:hAnsi="Times New Roman;Times;serif"/>
          <w:sz w:val="22"/>
          <w:shd w:fill="FFFFFF" w:val="clear"/>
        </w:rPr>
        <w:tab/>
      </w:r>
      <w:hyperlink w:anchor="_Toc228467105">
        <w:r>
          <w:rPr>
            <w:rStyle w:val="InternetLink"/>
            <w:rFonts w:ascii="Times New Roman;Times;serif" w:hAnsi="Times New Roman;Times;serif"/>
            <w:b w:val="false"/>
            <w:i w:val="false"/>
            <w:caps w:val="false"/>
            <w:smallCaps w:val="false"/>
            <w:sz w:val="22"/>
            <w:shd w:fill="FFFFFF" w:val="clear"/>
          </w:rPr>
          <w:t>Legal Proceedings</w:t>
        </w:r>
      </w:hyperlink>
      <w:hyperlink w:anchor="_Toc228467105">
        <w:r>
          <w:rPr>
            <w:webHidden/>
          </w:rPr>
          <w:fldChar w:fldCharType="begin"/>
        </w:r>
        <w:r>
          <w:rPr>
            <w:webHidden/>
          </w:rPr>
          <w:instrText xml:space="preserve">PAGEREF _Toc228467105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47</w:t>
        </w:r>
        <w:r>
          <w:rPr>
            <w:webHidden/>
          </w:rPr>
          <w:fldChar w:fldCharType="end"/>
        </w:r>
      </w:hyperlink>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895"/>
                <wp:effectExtent l="0" t="0" r="0" b="0"/>
                <wp:wrapNone/>
                <wp:docPr id="306" name="Frame3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5.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6">
        <w:r>
          <w:rPr>
            <w:rStyle w:val="InternetLink"/>
            <w:rFonts w:ascii="Times New Roman;Times;serif" w:hAnsi="Times New Roman;Times;serif"/>
            <w:b w:val="false"/>
            <w:i w:val="false"/>
            <w:caps w:val="false"/>
            <w:smallCaps w:val="false"/>
            <w:sz w:val="22"/>
            <w:shd w:fill="FFFFFF" w:val="clear"/>
          </w:rPr>
          <w:t>Section 5.5</w:t>
        </w:r>
      </w:hyperlink>
      <w:r>
        <w:rPr>
          <w:rFonts w:ascii="Times New Roman;Times;serif" w:hAnsi="Times New Roman;Times;serif"/>
          <w:sz w:val="22"/>
          <w:shd w:fill="FFFFFF" w:val="clear"/>
        </w:rPr>
        <w:tab/>
      </w:r>
      <w:hyperlink w:anchor="_Toc228467106">
        <w:r>
          <w:rPr>
            <w:rStyle w:val="InternetLink"/>
            <w:rFonts w:ascii="Times New Roman;Times;serif" w:hAnsi="Times New Roman;Times;serif"/>
            <w:b w:val="false"/>
            <w:i w:val="false"/>
            <w:caps w:val="false"/>
            <w:smallCaps w:val="false"/>
            <w:sz w:val="22"/>
            <w:shd w:fill="FFFFFF" w:val="clear"/>
          </w:rPr>
          <w:t>Investment Intent</w:t>
        </w:r>
      </w:hyperlink>
      <w:hyperlink w:anchor="_Toc228467106">
        <w:r>
          <w:rPr>
            <w:webHidden/>
          </w:rPr>
          <w:fldChar w:fldCharType="begin"/>
        </w:r>
        <w:r>
          <w:rPr>
            <w:webHidden/>
          </w:rPr>
          <w:instrText xml:space="preserve">PAGEREF _Toc228467106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47</w:t>
        </w:r>
        <w:r>
          <w:rPr>
            <w:webHidden/>
          </w:rPr>
          <w:fldChar w:fldCharType="end"/>
        </w:r>
      </w:hyperlink>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895"/>
                <wp:effectExtent l="0" t="0" r="0" b="0"/>
                <wp:wrapNone/>
                <wp:docPr id="307" name="Frame3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107">
        <w:r>
          <w:rPr>
            <w:rStyle w:val="InternetLink"/>
            <w:rFonts w:ascii="Times New Roman;Times;serif" w:hAnsi="Times New Roman;Times;serif"/>
            <w:b w:val="false"/>
            <w:i w:val="false"/>
            <w:caps/>
            <w:sz w:val="22"/>
            <w:shd w:fill="FFFFFF" w:val="clear"/>
          </w:rPr>
          <w:t>Article VI</w:t>
        </w:r>
      </w:hyperlink>
      <w:hyperlink w:anchor="_Toc228467107">
        <w:r>
          <w:rPr>
            <w:webHidden/>
          </w:rPr>
          <w:fldChar w:fldCharType="begin"/>
        </w:r>
        <w:r>
          <w:rPr>
            <w:webHidden/>
          </w:rPr>
          <w:instrText xml:space="preserve">PAGEREF _Toc228467107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107">
        <w:r>
          <w:rPr>
            <w:webHidden/>
          </w:rPr>
          <w:fldChar w:fldCharType="begin"/>
        </w:r>
        <w:r>
          <w:rPr>
            <w:webHidden/>
          </w:rPr>
          <w:instrText xml:space="preserve">PAGEREF _Toc228467107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CERTAIN COVENANTS AND AGREEMENTS</w:t>
        </w:r>
        <w:r>
          <w:rPr>
            <w:webHidden/>
          </w:rPr>
          <w:fldChar w:fldCharType="end"/>
        </w:r>
      </w:hyperlink>
      <w:hyperlink w:anchor="_Toc228467107">
        <w:r>
          <w:rPr>
            <w:webHidden/>
          </w:rPr>
          <w:fldChar w:fldCharType="begin"/>
        </w:r>
        <w:r>
          <w:rPr>
            <w:webHidden/>
          </w:rPr>
          <w:instrText xml:space="preserve">PAGEREF _Toc228467107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47</w:t>
        </w:r>
        <w:r>
          <w:rPr>
            <w:webHidden/>
          </w:rPr>
          <w:fldChar w:fldCharType="end"/>
        </w:r>
      </w:hyperlink>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895"/>
                <wp:effectExtent l="0" t="0" r="0" b="0"/>
                <wp:wrapNone/>
                <wp:docPr id="308" name="Frame3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8">
        <w:r>
          <w:rPr>
            <w:rStyle w:val="InternetLink"/>
            <w:rFonts w:ascii="Times New Roman;Times;serif" w:hAnsi="Times New Roman;Times;serif"/>
            <w:b w:val="false"/>
            <w:i w:val="false"/>
            <w:caps w:val="false"/>
            <w:smallCaps w:val="false"/>
            <w:sz w:val="22"/>
            <w:shd w:fill="FFFFFF" w:val="clear"/>
          </w:rPr>
          <w:t>Section 6.1</w:t>
        </w:r>
      </w:hyperlink>
      <w:r>
        <w:rPr>
          <w:rFonts w:ascii="Times New Roman;Times;serif" w:hAnsi="Times New Roman;Times;serif"/>
          <w:sz w:val="22"/>
          <w:shd w:fill="FFFFFF" w:val="clear"/>
        </w:rPr>
        <w:tab/>
      </w:r>
      <w:hyperlink w:anchor="_Toc228467108">
        <w:r>
          <w:rPr>
            <w:rStyle w:val="InternetLink"/>
            <w:rFonts w:ascii="Times New Roman;Times;serif" w:hAnsi="Times New Roman;Times;serif"/>
            <w:b w:val="false"/>
            <w:i w:val="false"/>
            <w:caps w:val="false"/>
            <w:smallCaps w:val="false"/>
            <w:sz w:val="22"/>
            <w:shd w:fill="FFFFFF" w:val="clear"/>
          </w:rPr>
          <w:t>Tax Matters</w:t>
        </w:r>
      </w:hyperlink>
      <w:hyperlink w:anchor="_Toc228467108">
        <w:r>
          <w:rPr>
            <w:webHidden/>
          </w:rPr>
          <w:fldChar w:fldCharType="begin"/>
        </w:r>
        <w:r>
          <w:rPr>
            <w:webHidden/>
          </w:rPr>
          <w:instrText xml:space="preserve">PAGEREF _Toc228467108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47</w:t>
        </w:r>
        <w:r>
          <w:rPr>
            <w:webHidden/>
          </w:rPr>
          <w:fldChar w:fldCharType="end"/>
        </w:r>
      </w:hyperlink>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895"/>
                <wp:effectExtent l="0" t="0" r="0" b="0"/>
                <wp:wrapNone/>
                <wp:docPr id="309" name="Frame3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09">
        <w:r>
          <w:rPr>
            <w:rStyle w:val="InternetLink"/>
            <w:rFonts w:ascii="Times New Roman;Times;serif" w:hAnsi="Times New Roman;Times;serif"/>
            <w:b w:val="false"/>
            <w:i w:val="false"/>
            <w:caps w:val="false"/>
            <w:smallCaps w:val="false"/>
            <w:sz w:val="22"/>
            <w:shd w:fill="FFFFFF" w:val="clear"/>
          </w:rPr>
          <w:t>Section 6.2</w:t>
        </w:r>
      </w:hyperlink>
      <w:r>
        <w:rPr>
          <w:rFonts w:ascii="Times New Roman;Times;serif" w:hAnsi="Times New Roman;Times;serif"/>
          <w:sz w:val="22"/>
          <w:shd w:fill="FFFFFF" w:val="clear"/>
        </w:rPr>
        <w:tab/>
      </w:r>
      <w:hyperlink w:anchor="_Toc228467109">
        <w:r>
          <w:rPr>
            <w:rStyle w:val="InternetLink"/>
            <w:rFonts w:ascii="Times New Roman;Times;serif" w:hAnsi="Times New Roman;Times;serif"/>
            <w:b w:val="false"/>
            <w:i w:val="false"/>
            <w:caps w:val="false"/>
            <w:smallCaps w:val="false"/>
            <w:sz w:val="22"/>
            <w:shd w:fill="FFFFFF" w:val="clear"/>
          </w:rPr>
          <w:t>Release.</w:t>
        </w:r>
      </w:hyperlink>
      <w:hyperlink w:anchor="_Toc228467109">
        <w:r>
          <w:rPr>
            <w:webHidden/>
          </w:rPr>
          <w:fldChar w:fldCharType="begin"/>
        </w:r>
        <w:r>
          <w:rPr>
            <w:webHidden/>
          </w:rPr>
          <w:instrText xml:space="preserve">PAGEREF _Toc228467109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49</w:t>
        </w:r>
        <w:r>
          <w:rPr>
            <w:webHidden/>
          </w:rPr>
          <w:fldChar w:fldCharType="end"/>
        </w:r>
      </w:hyperlink>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895"/>
                <wp:effectExtent l="0" t="0" r="0" b="0"/>
                <wp:wrapNone/>
                <wp:docPr id="310" name="Frame3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0">
        <w:r>
          <w:rPr>
            <w:rStyle w:val="InternetLink"/>
            <w:rFonts w:ascii="Times New Roman;Times;serif" w:hAnsi="Times New Roman;Times;serif"/>
            <w:b w:val="false"/>
            <w:i w:val="false"/>
            <w:caps w:val="false"/>
            <w:smallCaps w:val="false"/>
            <w:sz w:val="22"/>
            <w:shd w:fill="FFFFFF" w:val="clear"/>
          </w:rPr>
          <w:t>Section 6.3</w:t>
        </w:r>
      </w:hyperlink>
      <w:r>
        <w:rPr>
          <w:rFonts w:ascii="Times New Roman;Times;serif" w:hAnsi="Times New Roman;Times;serif"/>
          <w:sz w:val="22"/>
          <w:shd w:fill="FFFFFF" w:val="clear"/>
        </w:rPr>
        <w:tab/>
      </w:r>
      <w:hyperlink w:anchor="_Toc228467110">
        <w:r>
          <w:rPr>
            <w:rStyle w:val="InternetLink"/>
            <w:rFonts w:ascii="Times New Roman;Times;serif" w:hAnsi="Times New Roman;Times;serif"/>
            <w:b w:val="false"/>
            <w:i w:val="false"/>
            <w:caps w:val="false"/>
            <w:smallCaps w:val="false"/>
            <w:sz w:val="22"/>
            <w:shd w:fill="FFFFFF" w:val="clear"/>
          </w:rPr>
          <w:t>Employee Benefits Matters</w:t>
        </w:r>
      </w:hyperlink>
      <w:hyperlink w:anchor="_Toc228467110">
        <w:r>
          <w:rPr>
            <w:webHidden/>
          </w:rPr>
          <w:fldChar w:fldCharType="begin"/>
        </w:r>
        <w:r>
          <w:rPr>
            <w:webHidden/>
          </w:rPr>
          <w:instrText xml:space="preserve">PAGEREF _Toc228467110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50</w:t>
        </w:r>
        <w:r>
          <w:rPr>
            <w:webHidden/>
          </w:rPr>
          <w:fldChar w:fldCharType="end"/>
        </w:r>
      </w:hyperlink>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895"/>
                <wp:effectExtent l="0" t="0" r="0" b="0"/>
                <wp:wrapNone/>
                <wp:docPr id="311" name="Frame3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4.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1">
        <w:r>
          <w:rPr>
            <w:rStyle w:val="InternetLink"/>
            <w:rFonts w:ascii="Times New Roman;Times;serif" w:hAnsi="Times New Roman;Times;serif"/>
            <w:b w:val="false"/>
            <w:i w:val="false"/>
            <w:caps w:val="false"/>
            <w:smallCaps w:val="false"/>
            <w:sz w:val="22"/>
            <w:shd w:fill="FFFFFF" w:val="clear"/>
          </w:rPr>
          <w:t>Section 6.4</w:t>
        </w:r>
      </w:hyperlink>
      <w:r>
        <w:rPr>
          <w:rFonts w:ascii="Times New Roman;Times;serif" w:hAnsi="Times New Roman;Times;serif"/>
          <w:sz w:val="22"/>
          <w:shd w:fill="FFFFFF" w:val="clear"/>
        </w:rPr>
        <w:tab/>
      </w:r>
      <w:hyperlink w:anchor="_Toc228467111">
        <w:r>
          <w:rPr>
            <w:rStyle w:val="InternetLink"/>
            <w:rFonts w:ascii="Times New Roman;Times;serif" w:hAnsi="Times New Roman;Times;serif"/>
            <w:b w:val="false"/>
            <w:i w:val="false"/>
            <w:caps w:val="false"/>
            <w:smallCaps w:val="false"/>
            <w:sz w:val="22"/>
            <w:shd w:fill="FFFFFF" w:val="clear"/>
          </w:rPr>
          <w:t>Transaction Expenses</w:t>
        </w:r>
      </w:hyperlink>
      <w:hyperlink w:anchor="_Toc228467111">
        <w:r>
          <w:rPr>
            <w:webHidden/>
          </w:rPr>
          <w:fldChar w:fldCharType="begin"/>
        </w:r>
        <w:r>
          <w:rPr>
            <w:webHidden/>
          </w:rPr>
          <w:instrText xml:space="preserve">PAGEREF _Toc228467111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51</w:t>
        </w:r>
        <w:r>
          <w:rPr>
            <w:webHidden/>
          </w:rPr>
          <w:fldChar w:fldCharType="end"/>
        </w:r>
      </w:hyperlink>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895"/>
                <wp:effectExtent l="0" t="0" r="0" b="0"/>
                <wp:wrapNone/>
                <wp:docPr id="312" name="Frame3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2">
        <w:r>
          <w:rPr>
            <w:rStyle w:val="InternetLink"/>
            <w:rFonts w:ascii="Times New Roman;Times;serif" w:hAnsi="Times New Roman;Times;serif"/>
            <w:b w:val="false"/>
            <w:i w:val="false"/>
            <w:caps w:val="false"/>
            <w:smallCaps w:val="false"/>
            <w:sz w:val="22"/>
            <w:shd w:fill="FFFFFF" w:val="clear"/>
          </w:rPr>
          <w:t>Section 6.5</w:t>
        </w:r>
      </w:hyperlink>
      <w:r>
        <w:rPr>
          <w:rFonts w:ascii="Times New Roman;Times;serif" w:hAnsi="Times New Roman;Times;serif"/>
          <w:sz w:val="22"/>
          <w:shd w:fill="FFFFFF" w:val="clear"/>
        </w:rPr>
        <w:tab/>
      </w:r>
      <w:hyperlink w:anchor="_Toc228467112">
        <w:r>
          <w:rPr>
            <w:rStyle w:val="InternetLink"/>
            <w:rFonts w:ascii="Times New Roman;Times;serif" w:hAnsi="Times New Roman;Times;serif"/>
            <w:b w:val="false"/>
            <w:i w:val="false"/>
            <w:caps w:val="false"/>
            <w:smallCaps w:val="false"/>
            <w:sz w:val="22"/>
            <w:shd w:fill="FFFFFF" w:val="clear"/>
          </w:rPr>
          <w:t>Confidentiality</w:t>
        </w:r>
      </w:hyperlink>
      <w:hyperlink w:anchor="_Toc228467112">
        <w:r>
          <w:rPr>
            <w:webHidden/>
          </w:rPr>
          <w:fldChar w:fldCharType="begin"/>
        </w:r>
        <w:r>
          <w:rPr>
            <w:webHidden/>
          </w:rPr>
          <w:instrText xml:space="preserve">PAGEREF _Toc228467112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51</w:t>
        </w:r>
        <w:r>
          <w:rPr>
            <w:webHidden/>
          </w:rPr>
          <w:fldChar w:fldCharType="end"/>
        </w:r>
      </w:hyperlink>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895"/>
                <wp:effectExtent l="0" t="0" r="0" b="0"/>
                <wp:wrapNone/>
                <wp:docPr id="313" name="Frame3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3">
        <w:r>
          <w:rPr>
            <w:rStyle w:val="InternetLink"/>
            <w:rFonts w:ascii="Times New Roman;Times;serif" w:hAnsi="Times New Roman;Times;serif"/>
            <w:b w:val="false"/>
            <w:i w:val="false"/>
            <w:caps w:val="false"/>
            <w:smallCaps w:val="false"/>
            <w:sz w:val="22"/>
            <w:shd w:fill="FFFFFF" w:val="clear"/>
          </w:rPr>
          <w:t>Section 6.6</w:t>
        </w:r>
      </w:hyperlink>
      <w:r>
        <w:rPr>
          <w:rFonts w:ascii="Times New Roman;Times;serif" w:hAnsi="Times New Roman;Times;serif"/>
          <w:sz w:val="22"/>
          <w:shd w:fill="FFFFFF" w:val="clear"/>
        </w:rPr>
        <w:tab/>
      </w:r>
      <w:hyperlink w:anchor="_Toc228467113">
        <w:r>
          <w:rPr>
            <w:rStyle w:val="InternetLink"/>
            <w:rFonts w:ascii="Times New Roman;Times;serif" w:hAnsi="Times New Roman;Times;serif"/>
            <w:b w:val="false"/>
            <w:i w:val="false"/>
            <w:caps w:val="false"/>
            <w:smallCaps w:val="false"/>
            <w:sz w:val="22"/>
            <w:shd w:fill="FFFFFF" w:val="clear"/>
          </w:rPr>
          <w:t>Public Announcements</w:t>
        </w:r>
      </w:hyperlink>
      <w:hyperlink w:anchor="_Toc228467113">
        <w:r>
          <w:rPr>
            <w:webHidden/>
          </w:rPr>
          <w:fldChar w:fldCharType="begin"/>
        </w:r>
        <w:r>
          <w:rPr>
            <w:webHidden/>
          </w:rPr>
          <w:instrText xml:space="preserve">PAGEREF _Toc228467113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52</w:t>
        </w:r>
        <w:r>
          <w:rPr>
            <w:webHidden/>
          </w:rPr>
          <w:fldChar w:fldCharType="end"/>
        </w:r>
      </w:hyperlink>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895"/>
                <wp:effectExtent l="0" t="0" r="0" b="0"/>
                <wp:wrapNone/>
                <wp:docPr id="314" name="Frame3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4">
        <w:r>
          <w:rPr>
            <w:rStyle w:val="InternetLink"/>
            <w:rFonts w:ascii="Times New Roman;Times;serif" w:hAnsi="Times New Roman;Times;serif"/>
            <w:b w:val="false"/>
            <w:i w:val="false"/>
            <w:caps w:val="false"/>
            <w:smallCaps w:val="false"/>
            <w:sz w:val="22"/>
            <w:shd w:fill="FFFFFF" w:val="clear"/>
          </w:rPr>
          <w:t>Section 6.7</w:t>
        </w:r>
      </w:hyperlink>
      <w:r>
        <w:rPr>
          <w:rFonts w:ascii="Times New Roman;Times;serif" w:hAnsi="Times New Roman;Times;serif"/>
          <w:sz w:val="22"/>
          <w:shd w:fill="FFFFFF" w:val="clear"/>
        </w:rPr>
        <w:tab/>
      </w:r>
      <w:hyperlink w:anchor="_Toc228467114">
        <w:r>
          <w:rPr>
            <w:rStyle w:val="InternetLink"/>
            <w:rFonts w:ascii="Times New Roman;Times;serif" w:hAnsi="Times New Roman;Times;serif"/>
            <w:b w:val="false"/>
            <w:i w:val="false"/>
            <w:caps w:val="false"/>
            <w:smallCaps w:val="false"/>
            <w:sz w:val="22"/>
            <w:shd w:fill="FFFFFF" w:val="clear"/>
          </w:rPr>
          <w:t>Further Assurances</w:t>
        </w:r>
      </w:hyperlink>
      <w:hyperlink w:anchor="_Toc228467114">
        <w:r>
          <w:rPr>
            <w:webHidden/>
          </w:rPr>
          <w:fldChar w:fldCharType="begin"/>
        </w:r>
        <w:r>
          <w:rPr>
            <w:webHidden/>
          </w:rPr>
          <w:instrText xml:space="preserve">PAGEREF _Toc228467114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52</w:t>
        </w:r>
        <w:r>
          <w:rPr>
            <w:webHidden/>
          </w:rPr>
          <w:fldChar w:fldCharType="end"/>
        </w:r>
      </w:hyperlink>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895"/>
                <wp:effectExtent l="0" t="0" r="0" b="0"/>
                <wp:wrapNone/>
                <wp:docPr id="315" name="Frame3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115">
        <w:r>
          <w:rPr>
            <w:rStyle w:val="InternetLink"/>
            <w:rFonts w:ascii="Times New Roman;Times;serif" w:hAnsi="Times New Roman;Times;serif"/>
            <w:b w:val="false"/>
            <w:i w:val="false"/>
            <w:caps/>
            <w:sz w:val="22"/>
            <w:shd w:fill="FFFFFF" w:val="clear"/>
          </w:rPr>
          <w:t>Article VII</w:t>
        </w:r>
      </w:hyperlink>
      <w:hyperlink w:anchor="_Toc228467115">
        <w:r>
          <w:rPr>
            <w:webHidden/>
          </w:rPr>
          <w:fldChar w:fldCharType="begin"/>
        </w:r>
        <w:r>
          <w:rPr>
            <w:webHidden/>
          </w:rPr>
          <w:instrText xml:space="preserve">PAGEREF _Toc228467115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115">
        <w:r>
          <w:rPr>
            <w:webHidden/>
          </w:rPr>
          <w:fldChar w:fldCharType="begin"/>
        </w:r>
        <w:r>
          <w:rPr>
            <w:webHidden/>
          </w:rPr>
          <w:instrText xml:space="preserve">PAGEREF _Toc228467115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CLOSING DELIVERABLES</w:t>
        </w:r>
        <w:r>
          <w:rPr>
            <w:webHidden/>
          </w:rPr>
          <w:fldChar w:fldCharType="end"/>
        </w:r>
      </w:hyperlink>
      <w:hyperlink w:anchor="_Toc228467115">
        <w:r>
          <w:rPr>
            <w:webHidden/>
          </w:rPr>
          <w:fldChar w:fldCharType="begin"/>
        </w:r>
        <w:r>
          <w:rPr>
            <w:webHidden/>
          </w:rPr>
          <w:instrText xml:space="preserve">PAGEREF _Toc228467115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52</w:t>
        </w:r>
        <w:r>
          <w:rPr>
            <w:webHidden/>
          </w:rPr>
          <w:fldChar w:fldCharType="end"/>
        </w:r>
      </w:hyperlink>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895"/>
                <wp:effectExtent l="0" t="0" r="0" b="0"/>
                <wp:wrapNone/>
                <wp:docPr id="316" name="Frame3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6">
        <w:r>
          <w:rPr>
            <w:rStyle w:val="InternetLink"/>
            <w:rFonts w:ascii="Times New Roman;Times;serif" w:hAnsi="Times New Roman;Times;serif"/>
            <w:b w:val="false"/>
            <w:i w:val="false"/>
            <w:caps w:val="false"/>
            <w:smallCaps w:val="false"/>
            <w:sz w:val="22"/>
            <w:shd w:fill="FFFFFF" w:val="clear"/>
          </w:rPr>
          <w:t>Section 7.1</w:t>
        </w:r>
      </w:hyperlink>
      <w:r>
        <w:rPr>
          <w:rFonts w:ascii="Times New Roman;Times;serif" w:hAnsi="Times New Roman;Times;serif"/>
          <w:sz w:val="22"/>
          <w:shd w:fill="FFFFFF" w:val="clear"/>
        </w:rPr>
        <w:tab/>
      </w:r>
      <w:hyperlink w:anchor="_Toc228467116">
        <w:r>
          <w:rPr>
            <w:rStyle w:val="InternetLink"/>
            <w:rFonts w:ascii="Times New Roman;Times;serif" w:hAnsi="Times New Roman;Times;serif"/>
            <w:b w:val="false"/>
            <w:i w:val="false"/>
            <w:caps w:val="false"/>
            <w:smallCaps w:val="false"/>
            <w:sz w:val="22"/>
            <w:shd w:fill="FFFFFF" w:val="clear"/>
          </w:rPr>
          <w:t>Sellers’ Closing Deliverables</w:t>
        </w:r>
      </w:hyperlink>
      <w:hyperlink w:anchor="_Toc228467116">
        <w:r>
          <w:rPr>
            <w:webHidden/>
          </w:rPr>
          <w:fldChar w:fldCharType="begin"/>
        </w:r>
        <w:r>
          <w:rPr>
            <w:webHidden/>
          </w:rPr>
          <w:instrText xml:space="preserve">PAGEREF _Toc228467116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52</w:t>
        </w:r>
        <w:r>
          <w:rPr>
            <w:webHidden/>
          </w:rPr>
          <w:fldChar w:fldCharType="end"/>
        </w:r>
      </w:hyperlink>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895"/>
                <wp:effectExtent l="0" t="0" r="0" b="0"/>
                <wp:wrapNone/>
                <wp:docPr id="317" name="Frame3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7">
        <w:r>
          <w:rPr>
            <w:rStyle w:val="InternetLink"/>
            <w:rFonts w:ascii="Times New Roman;Times;serif" w:hAnsi="Times New Roman;Times;serif"/>
            <w:b w:val="false"/>
            <w:i w:val="false"/>
            <w:caps w:val="false"/>
            <w:smallCaps w:val="false"/>
            <w:sz w:val="22"/>
            <w:shd w:fill="FFFFFF" w:val="clear"/>
          </w:rPr>
          <w:t>Section 7.2</w:t>
        </w:r>
      </w:hyperlink>
      <w:r>
        <w:rPr>
          <w:rFonts w:ascii="Times New Roman;Times;serif" w:hAnsi="Times New Roman;Times;serif"/>
          <w:sz w:val="22"/>
          <w:shd w:fill="FFFFFF" w:val="clear"/>
        </w:rPr>
        <w:tab/>
      </w:r>
      <w:hyperlink w:anchor="_Toc228467117">
        <w:r>
          <w:rPr>
            <w:rStyle w:val="InternetLink"/>
            <w:rFonts w:ascii="Times New Roman;Times;serif" w:hAnsi="Times New Roman;Times;serif"/>
            <w:b w:val="false"/>
            <w:i w:val="false"/>
            <w:caps w:val="false"/>
            <w:smallCaps w:val="false"/>
            <w:sz w:val="22"/>
            <w:shd w:fill="FFFFFF" w:val="clear"/>
          </w:rPr>
          <w:t>Purchaser Closing Deliverables</w:t>
        </w:r>
      </w:hyperlink>
      <w:hyperlink w:anchor="_Toc228467117">
        <w:r>
          <w:rPr>
            <w:webHidden/>
          </w:rPr>
          <w:fldChar w:fldCharType="begin"/>
        </w:r>
        <w:r>
          <w:rPr>
            <w:webHidden/>
          </w:rPr>
          <w:instrText xml:space="preserve">PAGEREF _Toc228467117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53</w:t>
        </w:r>
        <w:r>
          <w:rPr>
            <w:webHidden/>
          </w:rPr>
          <w:fldChar w:fldCharType="end"/>
        </w:r>
      </w:hyperlink>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895"/>
                <wp:effectExtent l="0" t="0" r="0" b="0"/>
                <wp:wrapNone/>
                <wp:docPr id="318" name="Frame3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118">
        <w:r>
          <w:rPr>
            <w:rStyle w:val="InternetLink"/>
            <w:rFonts w:ascii="Times New Roman;Times;serif" w:hAnsi="Times New Roman;Times;serif"/>
            <w:b w:val="false"/>
            <w:i w:val="false"/>
            <w:caps/>
            <w:sz w:val="22"/>
            <w:shd w:fill="FFFFFF" w:val="clear"/>
          </w:rPr>
          <w:t>Article VIII</w:t>
        </w:r>
      </w:hyperlink>
      <w:hyperlink w:anchor="_Toc228467118">
        <w:r>
          <w:rPr>
            <w:webHidden/>
          </w:rPr>
          <w:fldChar w:fldCharType="begin"/>
        </w:r>
        <w:r>
          <w:rPr>
            <w:webHidden/>
          </w:rPr>
          <w:instrText xml:space="preserve">PAGEREF _Toc228467118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118">
        <w:r>
          <w:rPr>
            <w:webHidden/>
          </w:rPr>
          <w:fldChar w:fldCharType="begin"/>
        </w:r>
        <w:r>
          <w:rPr>
            <w:webHidden/>
          </w:rPr>
          <w:instrText xml:space="preserve">PAGEREF _Toc228467118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INDEMNIFICATION</w:t>
        </w:r>
        <w:r>
          <w:rPr>
            <w:webHidden/>
          </w:rPr>
          <w:fldChar w:fldCharType="end"/>
        </w:r>
      </w:hyperlink>
      <w:hyperlink w:anchor="_Toc228467118">
        <w:r>
          <w:rPr>
            <w:webHidden/>
          </w:rPr>
          <w:fldChar w:fldCharType="begin"/>
        </w:r>
        <w:r>
          <w:rPr>
            <w:webHidden/>
          </w:rPr>
          <w:instrText xml:space="preserve">PAGEREF _Toc228467118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54</w:t>
        </w:r>
        <w:r>
          <w:rPr>
            <w:webHidden/>
          </w:rPr>
          <w:fldChar w:fldCharType="end"/>
        </w:r>
      </w:hyperlink>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895"/>
                <wp:effectExtent l="0" t="0" r="0" b="0"/>
                <wp:wrapNone/>
                <wp:docPr id="319" name="Frame3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19">
        <w:r>
          <w:rPr>
            <w:rStyle w:val="InternetLink"/>
            <w:rFonts w:ascii="Times New Roman;Times;serif" w:hAnsi="Times New Roman;Times;serif"/>
            <w:b w:val="false"/>
            <w:i w:val="false"/>
            <w:caps w:val="false"/>
            <w:smallCaps w:val="false"/>
            <w:sz w:val="22"/>
            <w:shd w:fill="FFFFFF" w:val="clear"/>
          </w:rPr>
          <w:t>Section 8.1</w:t>
        </w:r>
      </w:hyperlink>
      <w:r>
        <w:rPr>
          <w:rFonts w:ascii="Times New Roman;Times;serif" w:hAnsi="Times New Roman;Times;serif"/>
          <w:sz w:val="22"/>
          <w:shd w:fill="FFFFFF" w:val="clear"/>
        </w:rPr>
        <w:tab/>
      </w:r>
      <w:hyperlink w:anchor="_Toc228467119">
        <w:r>
          <w:rPr>
            <w:rStyle w:val="InternetLink"/>
            <w:rFonts w:ascii="Times New Roman;Times;serif" w:hAnsi="Times New Roman;Times;serif"/>
            <w:b w:val="false"/>
            <w:i w:val="false"/>
            <w:caps w:val="false"/>
            <w:smallCaps w:val="false"/>
            <w:sz w:val="22"/>
            <w:shd w:fill="FFFFFF" w:val="clear"/>
          </w:rPr>
          <w:t>Indemnification of the Purchaser Indemnified Parties</w:t>
        </w:r>
      </w:hyperlink>
      <w:hyperlink w:anchor="_Toc228467119">
        <w:r>
          <w:rPr>
            <w:webHidden/>
          </w:rPr>
          <w:fldChar w:fldCharType="begin"/>
        </w:r>
        <w:r>
          <w:rPr>
            <w:webHidden/>
          </w:rPr>
          <w:instrText xml:space="preserve">PAGEREF _Toc228467119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54</w:t>
        </w:r>
        <w:r>
          <w:rPr>
            <w:webHidden/>
          </w:rPr>
          <w:fldChar w:fldCharType="end"/>
        </w:r>
      </w:hyperlink>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895"/>
                <wp:effectExtent l="0" t="0" r="0" b="0"/>
                <wp:wrapNone/>
                <wp:docPr id="320" name="Frame3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8.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0">
        <w:r>
          <w:rPr>
            <w:rStyle w:val="InternetLink"/>
            <w:rFonts w:ascii="Times New Roman;Times;serif" w:hAnsi="Times New Roman;Times;serif"/>
            <w:b w:val="false"/>
            <w:i w:val="false"/>
            <w:caps w:val="false"/>
            <w:smallCaps w:val="false"/>
            <w:sz w:val="22"/>
            <w:shd w:fill="FFFFFF" w:val="clear"/>
          </w:rPr>
          <w:t>Section 8.2</w:t>
        </w:r>
      </w:hyperlink>
      <w:r>
        <w:rPr>
          <w:rFonts w:ascii="Times New Roman;Times;serif" w:hAnsi="Times New Roman;Times;serif"/>
          <w:sz w:val="22"/>
          <w:shd w:fill="FFFFFF" w:val="clear"/>
        </w:rPr>
        <w:tab/>
      </w:r>
      <w:hyperlink w:anchor="_Toc228467120">
        <w:r>
          <w:rPr>
            <w:rStyle w:val="InternetLink"/>
            <w:rFonts w:ascii="Times New Roman;Times;serif" w:hAnsi="Times New Roman;Times;serif"/>
            <w:b w:val="false"/>
            <w:i w:val="false"/>
            <w:caps w:val="false"/>
            <w:smallCaps w:val="false"/>
            <w:sz w:val="22"/>
            <w:shd w:fill="FFFFFF" w:val="clear"/>
          </w:rPr>
          <w:t>Indemnification of the Seller Indemnified Parties</w:t>
        </w:r>
      </w:hyperlink>
      <w:hyperlink w:anchor="_Toc228467120">
        <w:r>
          <w:rPr>
            <w:webHidden/>
          </w:rPr>
          <w:fldChar w:fldCharType="begin"/>
        </w:r>
        <w:r>
          <w:rPr>
            <w:webHidden/>
          </w:rPr>
          <w:instrText xml:space="preserve">PAGEREF _Toc228467120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55</w:t>
        </w:r>
        <w:r>
          <w:rPr>
            <w:webHidden/>
          </w:rPr>
          <w:fldChar w:fldCharType="end"/>
        </w:r>
      </w:hyperlink>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895"/>
                <wp:effectExtent l="0" t="0" r="0" b="0"/>
                <wp:wrapNone/>
                <wp:docPr id="321" name="Frame3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0.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1">
        <w:r>
          <w:rPr>
            <w:rStyle w:val="InternetLink"/>
            <w:rFonts w:ascii="Times New Roman;Times;serif" w:hAnsi="Times New Roman;Times;serif"/>
            <w:b w:val="false"/>
            <w:i w:val="false"/>
            <w:caps w:val="false"/>
            <w:smallCaps w:val="false"/>
            <w:sz w:val="22"/>
            <w:shd w:fill="FFFFFF" w:val="clear"/>
          </w:rPr>
          <w:t>Section 8.3</w:t>
        </w:r>
      </w:hyperlink>
      <w:r>
        <w:rPr>
          <w:rFonts w:ascii="Times New Roman;Times;serif" w:hAnsi="Times New Roman;Times;serif"/>
          <w:sz w:val="22"/>
          <w:shd w:fill="FFFFFF" w:val="clear"/>
        </w:rPr>
        <w:tab/>
      </w:r>
      <w:hyperlink w:anchor="_Toc228467121">
        <w:r>
          <w:rPr>
            <w:rStyle w:val="InternetLink"/>
            <w:rFonts w:ascii="Times New Roman;Times;serif" w:hAnsi="Times New Roman;Times;serif"/>
            <w:b w:val="false"/>
            <w:i w:val="false"/>
            <w:caps w:val="false"/>
            <w:smallCaps w:val="false"/>
            <w:sz w:val="22"/>
            <w:shd w:fill="FFFFFF" w:val="clear"/>
          </w:rPr>
          <w:t>Indemnification Procedure</w:t>
        </w:r>
      </w:hyperlink>
      <w:hyperlink w:anchor="_Toc228467121">
        <w:r>
          <w:rPr>
            <w:webHidden/>
          </w:rPr>
          <w:fldChar w:fldCharType="begin"/>
        </w:r>
        <w:r>
          <w:rPr>
            <w:webHidden/>
          </w:rPr>
          <w:instrText xml:space="preserve">PAGEREF _Toc228467121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55</w:t>
        </w:r>
        <w:r>
          <w:rPr>
            <w:webHidden/>
          </w:rPr>
          <w:fldChar w:fldCharType="end"/>
        </w:r>
      </w:hyperlink>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895"/>
                <wp:effectExtent l="0" t="0" r="0" b="0"/>
                <wp:wrapNone/>
                <wp:docPr id="322" name="Frame3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2">
        <w:r>
          <w:rPr>
            <w:rStyle w:val="InternetLink"/>
            <w:rFonts w:ascii="Times New Roman;Times;serif" w:hAnsi="Times New Roman;Times;serif"/>
            <w:b w:val="false"/>
            <w:i w:val="false"/>
            <w:caps w:val="false"/>
            <w:smallCaps w:val="false"/>
            <w:sz w:val="22"/>
            <w:shd w:fill="FFFFFF" w:val="clear"/>
          </w:rPr>
          <w:t>Section 8.4</w:t>
        </w:r>
      </w:hyperlink>
      <w:r>
        <w:rPr>
          <w:rFonts w:ascii="Times New Roman;Times;serif" w:hAnsi="Times New Roman;Times;serif"/>
          <w:sz w:val="22"/>
          <w:shd w:fill="FFFFFF" w:val="clear"/>
        </w:rPr>
        <w:tab/>
      </w:r>
      <w:hyperlink w:anchor="_Toc228467122">
        <w:r>
          <w:rPr>
            <w:rStyle w:val="InternetLink"/>
            <w:rFonts w:ascii="Times New Roman;Times;serif" w:hAnsi="Times New Roman;Times;serif"/>
            <w:b w:val="false"/>
            <w:i w:val="false"/>
            <w:caps w:val="false"/>
            <w:smallCaps w:val="false"/>
            <w:sz w:val="22"/>
            <w:shd w:fill="FFFFFF" w:val="clear"/>
          </w:rPr>
          <w:t>Claims Period</w:t>
        </w:r>
      </w:hyperlink>
      <w:hyperlink w:anchor="_Toc228467122">
        <w:r>
          <w:rPr>
            <w:webHidden/>
          </w:rPr>
          <w:fldChar w:fldCharType="begin"/>
        </w:r>
        <w:r>
          <w:rPr>
            <w:webHidden/>
          </w:rPr>
          <w:instrText xml:space="preserve">PAGEREF _Toc228467122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59</w:t>
        </w:r>
        <w:r>
          <w:rPr>
            <w:webHidden/>
          </w:rPr>
          <w:fldChar w:fldCharType="end"/>
        </w:r>
      </w:hyperlink>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895"/>
                <wp:effectExtent l="0" t="0" r="0" b="0"/>
                <wp:wrapNone/>
                <wp:docPr id="323" name="Frame3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3">
        <w:r>
          <w:rPr>
            <w:rStyle w:val="InternetLink"/>
            <w:rFonts w:ascii="Times New Roman;Times;serif" w:hAnsi="Times New Roman;Times;serif"/>
            <w:b w:val="false"/>
            <w:i w:val="false"/>
            <w:caps w:val="false"/>
            <w:smallCaps w:val="false"/>
            <w:sz w:val="22"/>
            <w:shd w:fill="FFFFFF" w:val="clear"/>
          </w:rPr>
          <w:t>Section 8.5</w:t>
        </w:r>
      </w:hyperlink>
      <w:r>
        <w:rPr>
          <w:rFonts w:ascii="Times New Roman;Times;serif" w:hAnsi="Times New Roman;Times;serif"/>
          <w:sz w:val="22"/>
          <w:shd w:fill="FFFFFF" w:val="clear"/>
        </w:rPr>
        <w:tab/>
      </w:r>
      <w:hyperlink w:anchor="_Toc228467123">
        <w:r>
          <w:rPr>
            <w:rStyle w:val="InternetLink"/>
            <w:rFonts w:ascii="Times New Roman;Times;serif" w:hAnsi="Times New Roman;Times;serif"/>
            <w:b w:val="false"/>
            <w:i w:val="false"/>
            <w:caps w:val="false"/>
            <w:smallCaps w:val="false"/>
            <w:sz w:val="22"/>
            <w:shd w:fill="FFFFFF" w:val="clear"/>
          </w:rPr>
          <w:t>Liability Limits</w:t>
        </w:r>
      </w:hyperlink>
      <w:hyperlink w:anchor="_Toc228467123">
        <w:r>
          <w:rPr>
            <w:webHidden/>
          </w:rPr>
          <w:fldChar w:fldCharType="begin"/>
        </w:r>
        <w:r>
          <w:rPr>
            <w:webHidden/>
          </w:rPr>
          <w:instrText xml:space="preserve">PAGEREF _Toc228467123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59</w:t>
        </w:r>
        <w:r>
          <w:rPr>
            <w:webHidden/>
          </w:rPr>
          <w:fldChar w:fldCharType="end"/>
        </w:r>
      </w:hyperlink>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895"/>
                <wp:effectExtent l="0" t="0" r="0" b="0"/>
                <wp:wrapNone/>
                <wp:docPr id="324" name="Frame3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3.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4">
        <w:r>
          <w:rPr>
            <w:rStyle w:val="InternetLink"/>
            <w:rFonts w:ascii="Times New Roman;Times;serif" w:hAnsi="Times New Roman;Times;serif"/>
            <w:b w:val="false"/>
            <w:i w:val="false"/>
            <w:caps w:val="false"/>
            <w:smallCaps w:val="false"/>
            <w:sz w:val="22"/>
            <w:shd w:fill="FFFFFF" w:val="clear"/>
          </w:rPr>
          <w:t>Section 8.6</w:t>
        </w:r>
      </w:hyperlink>
      <w:r>
        <w:rPr>
          <w:rFonts w:ascii="Times New Roman;Times;serif" w:hAnsi="Times New Roman;Times;serif"/>
          <w:sz w:val="22"/>
          <w:shd w:fill="FFFFFF" w:val="clear"/>
        </w:rPr>
        <w:tab/>
      </w:r>
      <w:hyperlink w:anchor="_Toc228467124">
        <w:r>
          <w:rPr>
            <w:rStyle w:val="InternetLink"/>
            <w:rFonts w:ascii="Times New Roman;Times;serif" w:hAnsi="Times New Roman;Times;serif"/>
            <w:b w:val="false"/>
            <w:i w:val="false"/>
            <w:caps w:val="false"/>
            <w:smallCaps w:val="false"/>
            <w:sz w:val="22"/>
            <w:shd w:fill="FFFFFF" w:val="clear"/>
          </w:rPr>
          <w:t>Set-Off Rights</w:t>
        </w:r>
      </w:hyperlink>
      <w:hyperlink w:anchor="_Toc228467124">
        <w:r>
          <w:rPr>
            <w:webHidden/>
          </w:rPr>
          <w:fldChar w:fldCharType="begin"/>
        </w:r>
        <w:r>
          <w:rPr>
            <w:webHidden/>
          </w:rPr>
          <w:instrText xml:space="preserve">PAGEREF _Toc228467124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60</w:t>
        </w:r>
        <w:r>
          <w:rPr>
            <w:webHidden/>
          </w:rPr>
          <w:fldChar w:fldCharType="end"/>
        </w:r>
      </w:hyperlink>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895"/>
                <wp:effectExtent l="0" t="0" r="0" b="0"/>
                <wp:wrapNone/>
                <wp:docPr id="325" name="Frame3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5">
        <w:r>
          <w:rPr>
            <w:rStyle w:val="InternetLink"/>
            <w:rFonts w:ascii="Times New Roman;Times;serif" w:hAnsi="Times New Roman;Times;serif"/>
            <w:b w:val="false"/>
            <w:i w:val="false"/>
            <w:caps w:val="false"/>
            <w:smallCaps w:val="false"/>
            <w:sz w:val="22"/>
            <w:shd w:fill="FFFFFF" w:val="clear"/>
          </w:rPr>
          <w:t>Section 8.7</w:t>
        </w:r>
      </w:hyperlink>
      <w:r>
        <w:rPr>
          <w:rFonts w:ascii="Times New Roman;Times;serif" w:hAnsi="Times New Roman;Times;serif"/>
          <w:sz w:val="22"/>
          <w:shd w:fill="FFFFFF" w:val="clear"/>
        </w:rPr>
        <w:tab/>
      </w:r>
      <w:hyperlink w:anchor="_Toc228467125">
        <w:r>
          <w:rPr>
            <w:rStyle w:val="InternetLink"/>
            <w:rFonts w:ascii="Times New Roman;Times;serif" w:hAnsi="Times New Roman;Times;serif"/>
            <w:b w:val="false"/>
            <w:i w:val="false"/>
            <w:caps w:val="false"/>
            <w:smallCaps w:val="false"/>
            <w:sz w:val="22"/>
            <w:shd w:fill="FFFFFF" w:val="clear"/>
          </w:rPr>
          <w:t>Limitation on Damages</w:t>
        </w:r>
      </w:hyperlink>
      <w:hyperlink w:anchor="_Toc228467125">
        <w:r>
          <w:rPr>
            <w:webHidden/>
          </w:rPr>
          <w:fldChar w:fldCharType="begin"/>
        </w:r>
        <w:r>
          <w:rPr>
            <w:webHidden/>
          </w:rPr>
          <w:instrText xml:space="preserve">PAGEREF _Toc228467125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60</w:t>
        </w:r>
        <w:r>
          <w:rPr>
            <w:webHidden/>
          </w:rPr>
          <w:fldChar w:fldCharType="end"/>
        </w:r>
      </w:hyperlink>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895"/>
                <wp:effectExtent l="0" t="0" r="0" b="0"/>
                <wp:wrapNone/>
                <wp:docPr id="326" name="Frame3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8.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6">
        <w:r>
          <w:rPr>
            <w:rStyle w:val="InternetLink"/>
            <w:rFonts w:ascii="Times New Roman;Times;serif" w:hAnsi="Times New Roman;Times;serif"/>
            <w:b w:val="false"/>
            <w:i w:val="false"/>
            <w:caps w:val="false"/>
            <w:smallCaps w:val="false"/>
            <w:sz w:val="22"/>
            <w:shd w:fill="FFFFFF" w:val="clear"/>
          </w:rPr>
          <w:t>Section 8.8</w:t>
        </w:r>
      </w:hyperlink>
      <w:r>
        <w:rPr>
          <w:rFonts w:ascii="Times New Roman;Times;serif" w:hAnsi="Times New Roman;Times;serif"/>
          <w:sz w:val="22"/>
          <w:shd w:fill="FFFFFF" w:val="clear"/>
        </w:rPr>
        <w:tab/>
      </w:r>
      <w:hyperlink w:anchor="_Toc228467126">
        <w:r>
          <w:rPr>
            <w:rStyle w:val="InternetLink"/>
            <w:rFonts w:ascii="Times New Roman;Times;serif" w:hAnsi="Times New Roman;Times;serif"/>
            <w:b w:val="false"/>
            <w:i w:val="false"/>
            <w:caps w:val="false"/>
            <w:smallCaps w:val="false"/>
            <w:sz w:val="22"/>
            <w:shd w:fill="FFFFFF" w:val="clear"/>
          </w:rPr>
          <w:t>Treatment of Indemnity Payments</w:t>
        </w:r>
      </w:hyperlink>
      <w:hyperlink w:anchor="_Toc228467126">
        <w:r>
          <w:rPr>
            <w:webHidden/>
          </w:rPr>
          <w:fldChar w:fldCharType="begin"/>
        </w:r>
        <w:r>
          <w:rPr>
            <w:webHidden/>
          </w:rPr>
          <w:instrText xml:space="preserve">PAGEREF _Toc228467126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61</w:t>
        </w:r>
        <w:r>
          <w:rPr>
            <w:webHidden/>
          </w:rPr>
          <w:fldChar w:fldCharType="end"/>
        </w:r>
      </w:hyperlink>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895"/>
                <wp:effectExtent l="0" t="0" r="0" b="0"/>
                <wp:wrapNone/>
                <wp:docPr id="327" name="Frame3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7">
        <w:r>
          <w:rPr>
            <w:rStyle w:val="InternetLink"/>
            <w:rFonts w:ascii="Times New Roman;Times;serif" w:hAnsi="Times New Roman;Times;serif"/>
            <w:b w:val="false"/>
            <w:i w:val="false"/>
            <w:caps w:val="false"/>
            <w:smallCaps w:val="false"/>
            <w:sz w:val="22"/>
            <w:shd w:fill="FFFFFF" w:val="clear"/>
          </w:rPr>
          <w:t>Section 8.9</w:t>
        </w:r>
      </w:hyperlink>
      <w:r>
        <w:rPr>
          <w:rFonts w:ascii="Times New Roman;Times;serif" w:hAnsi="Times New Roman;Times;serif"/>
          <w:sz w:val="22"/>
          <w:shd w:fill="FFFFFF" w:val="clear"/>
        </w:rPr>
        <w:tab/>
      </w:r>
      <w:hyperlink w:anchor="_Toc228467127">
        <w:r>
          <w:rPr>
            <w:rStyle w:val="InternetLink"/>
            <w:rFonts w:ascii="Times New Roman;Times;serif" w:hAnsi="Times New Roman;Times;serif"/>
            <w:b w:val="false"/>
            <w:i w:val="false"/>
            <w:caps w:val="false"/>
            <w:smallCaps w:val="false"/>
            <w:sz w:val="22"/>
            <w:shd w:fill="FFFFFF" w:val="clear"/>
          </w:rPr>
          <w:t>Exclusive Remedy; Specific Performance</w:t>
        </w:r>
      </w:hyperlink>
      <w:hyperlink w:anchor="_Toc228467127">
        <w:r>
          <w:rPr>
            <w:webHidden/>
          </w:rPr>
          <w:fldChar w:fldCharType="begin"/>
        </w:r>
        <w:r>
          <w:rPr>
            <w:webHidden/>
          </w:rPr>
          <w:instrText xml:space="preserve">PAGEREF _Toc228467127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61</w:t>
        </w:r>
        <w:r>
          <w:rPr>
            <w:webHidden/>
          </w:rPr>
          <w:fldChar w:fldCharType="end"/>
        </w:r>
      </w:hyperlink>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895"/>
                <wp:effectExtent l="0" t="0" r="0" b="0"/>
                <wp:wrapNone/>
                <wp:docPr id="328" name="Frame3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0" w:right="0" w:hanging="0"/>
        <w:jc w:val="left"/>
        <w:rPr/>
      </w:pPr>
      <w:hyperlink w:anchor="_Toc228467128">
        <w:r>
          <w:rPr>
            <w:rStyle w:val="InternetLink"/>
            <w:rFonts w:ascii="Times New Roman;Times;serif" w:hAnsi="Times New Roman;Times;serif"/>
            <w:b w:val="false"/>
            <w:i w:val="false"/>
            <w:caps/>
            <w:sz w:val="22"/>
            <w:shd w:fill="FFFFFF" w:val="clear"/>
          </w:rPr>
          <w:t>Article IX</w:t>
        </w:r>
      </w:hyperlink>
      <w:hyperlink w:anchor="_Toc228467128">
        <w:r>
          <w:rPr>
            <w:webHidden/>
          </w:rPr>
          <w:fldChar w:fldCharType="begin"/>
        </w:r>
        <w:r>
          <w:rPr>
            <w:webHidden/>
          </w:rPr>
          <w:instrText xml:space="preserve">PAGEREF _Toc228467128 \h</w:instrText>
        </w:r>
        <w:r>
          <w:rPr>
            <w:webHidden/>
          </w:rPr>
          <w:fldChar w:fldCharType="separate"/>
        </w:r>
        <w:r>
          <w:rPr>
            <w:rStyle w:val="InternetLink"/>
            <w:rFonts w:ascii="Times New Roman;Times;serif" w:hAnsi="Times New Roman;Times;serif"/>
            <w:caps w:val="false"/>
            <w:smallCaps w:val="false"/>
            <w:sz w:val="22"/>
            <w:shd w:fill="FFFFFF" w:val="clear"/>
          </w:rPr>
          <w:t xml:space="preserve"> </w:t>
        </w:r>
        <w:r>
          <w:rPr>
            <w:webHidden/>
          </w:rPr>
          <w:fldChar w:fldCharType="end"/>
        </w:r>
      </w:hyperlink>
      <w:hyperlink w:anchor="_Toc228467128">
        <w:r>
          <w:rPr>
            <w:webHidden/>
          </w:rPr>
          <w:fldChar w:fldCharType="begin"/>
        </w:r>
        <w:r>
          <w:rPr>
            <w:webHidden/>
          </w:rPr>
          <w:instrText xml:space="preserve">PAGEREF _Toc228467128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MISCELLANEOUS PROVISIONS</w:t>
        </w:r>
        <w:r>
          <w:rPr>
            <w:webHidden/>
          </w:rPr>
          <w:fldChar w:fldCharType="end"/>
        </w:r>
      </w:hyperlink>
      <w:hyperlink w:anchor="_Toc228467128">
        <w:r>
          <w:rPr>
            <w:webHidden/>
          </w:rPr>
          <w:fldChar w:fldCharType="begin"/>
        </w:r>
        <w:r>
          <w:rPr>
            <w:webHidden/>
          </w:rPr>
          <w:instrText xml:space="preserve">PAGEREF _Toc228467128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61</w:t>
        </w:r>
        <w:r>
          <w:rPr>
            <w:webHidden/>
          </w:rPr>
          <w:fldChar w:fldCharType="end"/>
        </w:r>
      </w:hyperlink>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895"/>
                <wp:effectExtent l="0" t="0" r="0" b="0"/>
                <wp:wrapNone/>
                <wp:docPr id="329" name="Frame3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29">
        <w:r>
          <w:rPr>
            <w:rStyle w:val="InternetLink"/>
            <w:rFonts w:ascii="Times New Roman;Times;serif" w:hAnsi="Times New Roman;Times;serif"/>
            <w:b w:val="false"/>
            <w:i w:val="false"/>
            <w:caps w:val="false"/>
            <w:smallCaps w:val="false"/>
            <w:sz w:val="22"/>
            <w:shd w:fill="FFFFFF" w:val="clear"/>
          </w:rPr>
          <w:t>Section 9.1</w:t>
        </w:r>
      </w:hyperlink>
      <w:r>
        <w:rPr>
          <w:rFonts w:ascii="Times New Roman;Times;serif" w:hAnsi="Times New Roman;Times;serif"/>
          <w:sz w:val="22"/>
          <w:shd w:fill="FFFFFF" w:val="clear"/>
        </w:rPr>
        <w:tab/>
      </w:r>
      <w:hyperlink w:anchor="_Toc228467129">
        <w:r>
          <w:rPr>
            <w:rStyle w:val="InternetLink"/>
            <w:rFonts w:ascii="Times New Roman;Times;serif" w:hAnsi="Times New Roman;Times;serif"/>
            <w:b w:val="false"/>
            <w:i w:val="false"/>
            <w:caps w:val="false"/>
            <w:smallCaps w:val="false"/>
            <w:sz w:val="22"/>
            <w:shd w:fill="FFFFFF" w:val="clear"/>
          </w:rPr>
          <w:t>Notices</w:t>
        </w:r>
      </w:hyperlink>
      <w:hyperlink w:anchor="_Toc228467129">
        <w:r>
          <w:rPr>
            <w:webHidden/>
          </w:rPr>
          <w:fldChar w:fldCharType="begin"/>
        </w:r>
        <w:r>
          <w:rPr>
            <w:webHidden/>
          </w:rPr>
          <w:instrText xml:space="preserve">PAGEREF _Toc228467129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61</w:t>
        </w:r>
        <w:r>
          <w:rPr>
            <w:webHidden/>
          </w:rPr>
          <w:fldChar w:fldCharType="end"/>
        </w:r>
      </w:hyperlink>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895"/>
                <wp:effectExtent l="0" t="0" r="0" b="0"/>
                <wp:wrapNone/>
                <wp:docPr id="330" name="Frame3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0">
        <w:r>
          <w:rPr>
            <w:rStyle w:val="InternetLink"/>
            <w:rFonts w:ascii="Times New Roman;Times;serif" w:hAnsi="Times New Roman;Times;serif"/>
            <w:b w:val="false"/>
            <w:i w:val="false"/>
            <w:caps w:val="false"/>
            <w:smallCaps w:val="false"/>
            <w:sz w:val="22"/>
            <w:shd w:fill="FFFFFF" w:val="clear"/>
          </w:rPr>
          <w:t>Section 9.2</w:t>
        </w:r>
      </w:hyperlink>
      <w:r>
        <w:rPr>
          <w:rFonts w:ascii="Times New Roman;Times;serif" w:hAnsi="Times New Roman;Times;serif"/>
          <w:sz w:val="22"/>
          <w:shd w:fill="FFFFFF" w:val="clear"/>
        </w:rPr>
        <w:tab/>
      </w:r>
      <w:hyperlink w:anchor="_Toc228467130">
        <w:r>
          <w:rPr>
            <w:rStyle w:val="InternetLink"/>
            <w:rFonts w:ascii="Times New Roman;Times;serif" w:hAnsi="Times New Roman;Times;serif"/>
            <w:b w:val="false"/>
            <w:i w:val="false"/>
            <w:caps w:val="false"/>
            <w:smallCaps w:val="false"/>
            <w:sz w:val="22"/>
            <w:shd w:fill="FFFFFF" w:val="clear"/>
          </w:rPr>
          <w:t>Schedules and Exhibits</w:t>
        </w:r>
      </w:hyperlink>
      <w:hyperlink w:anchor="_Toc228467130">
        <w:r>
          <w:rPr>
            <w:webHidden/>
          </w:rPr>
          <w:fldChar w:fldCharType="begin"/>
        </w:r>
        <w:r>
          <w:rPr>
            <w:webHidden/>
          </w:rPr>
          <w:instrText xml:space="preserve">PAGEREF _Toc228467130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62</w:t>
        </w:r>
        <w:r>
          <w:rPr>
            <w:webHidden/>
          </w:rPr>
          <w:fldChar w:fldCharType="end"/>
        </w:r>
      </w:hyperlink>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895"/>
                <wp:effectExtent l="0" t="0" r="0" b="0"/>
                <wp:wrapNone/>
                <wp:docPr id="331" name="Frame3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1">
        <w:r>
          <w:rPr>
            <w:rStyle w:val="InternetLink"/>
            <w:rFonts w:ascii="Times New Roman;Times;serif" w:hAnsi="Times New Roman;Times;serif"/>
            <w:b w:val="false"/>
            <w:i w:val="false"/>
            <w:caps w:val="false"/>
            <w:smallCaps w:val="false"/>
            <w:sz w:val="22"/>
            <w:shd w:fill="FFFFFF" w:val="clear"/>
          </w:rPr>
          <w:t>Section 9.3</w:t>
        </w:r>
      </w:hyperlink>
      <w:r>
        <w:rPr>
          <w:rFonts w:ascii="Times New Roman;Times;serif" w:hAnsi="Times New Roman;Times;serif"/>
          <w:sz w:val="22"/>
          <w:shd w:fill="FFFFFF" w:val="clear"/>
        </w:rPr>
        <w:tab/>
      </w:r>
      <w:hyperlink w:anchor="_Toc228467131">
        <w:r>
          <w:rPr>
            <w:rStyle w:val="InternetLink"/>
            <w:rFonts w:ascii="Times New Roman;Times;serif" w:hAnsi="Times New Roman;Times;serif"/>
            <w:b w:val="false"/>
            <w:i w:val="false"/>
            <w:caps w:val="false"/>
            <w:smallCaps w:val="false"/>
            <w:sz w:val="22"/>
            <w:shd w:fill="FFFFFF" w:val="clear"/>
          </w:rPr>
          <w:t>Assignment; Successors in Interest</w:t>
        </w:r>
      </w:hyperlink>
      <w:hyperlink w:anchor="_Toc228467131">
        <w:r>
          <w:rPr>
            <w:webHidden/>
          </w:rPr>
          <w:fldChar w:fldCharType="begin"/>
        </w:r>
        <w:r>
          <w:rPr>
            <w:webHidden/>
          </w:rPr>
          <w:instrText xml:space="preserve">PAGEREF _Toc228467131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62</w:t>
        </w:r>
        <w:r>
          <w:rPr>
            <w:webHidden/>
          </w:rPr>
          <w:fldChar w:fldCharType="end"/>
        </w:r>
      </w:hyperlink>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895"/>
                <wp:effectExtent l="0" t="0" r="0" b="0"/>
                <wp:wrapNone/>
                <wp:docPr id="332" name="Frame3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2">
        <w:r>
          <w:rPr>
            <w:rStyle w:val="InternetLink"/>
            <w:rFonts w:ascii="Times New Roman;Times;serif" w:hAnsi="Times New Roman;Times;serif"/>
            <w:b w:val="false"/>
            <w:i w:val="false"/>
            <w:caps w:val="false"/>
            <w:smallCaps w:val="false"/>
            <w:sz w:val="22"/>
            <w:shd w:fill="FFFFFF" w:val="clear"/>
          </w:rPr>
          <w:t>Section 9.4</w:t>
        </w:r>
      </w:hyperlink>
      <w:r>
        <w:rPr>
          <w:rFonts w:ascii="Times New Roman;Times;serif" w:hAnsi="Times New Roman;Times;serif"/>
          <w:sz w:val="22"/>
          <w:shd w:fill="FFFFFF" w:val="clear"/>
        </w:rPr>
        <w:tab/>
      </w:r>
      <w:hyperlink w:anchor="_Toc228467132">
        <w:r>
          <w:rPr>
            <w:rStyle w:val="InternetLink"/>
            <w:rFonts w:ascii="Times New Roman;Times;serif" w:hAnsi="Times New Roman;Times;serif"/>
            <w:b w:val="false"/>
            <w:i w:val="false"/>
            <w:caps w:val="false"/>
            <w:smallCaps w:val="false"/>
            <w:sz w:val="22"/>
            <w:shd w:fill="FFFFFF" w:val="clear"/>
          </w:rPr>
          <w:t>Captions</w:t>
        </w:r>
      </w:hyperlink>
      <w:hyperlink w:anchor="_Toc228467132">
        <w:r>
          <w:rPr>
            <w:webHidden/>
          </w:rPr>
          <w:fldChar w:fldCharType="begin"/>
        </w:r>
        <w:r>
          <w:rPr>
            <w:webHidden/>
          </w:rPr>
          <w:instrText xml:space="preserve">PAGEREF _Toc228467132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62</w:t>
        </w:r>
        <w:r>
          <w:rPr>
            <w:webHidden/>
          </w:rPr>
          <w:fldChar w:fldCharType="end"/>
        </w:r>
      </w:hyperlink>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895"/>
                <wp:effectExtent l="0" t="0" r="0" b="0"/>
                <wp:wrapNone/>
                <wp:docPr id="333" name="Frame3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3">
        <w:r>
          <w:rPr>
            <w:rStyle w:val="InternetLink"/>
            <w:rFonts w:ascii="Times New Roman;Times;serif" w:hAnsi="Times New Roman;Times;serif"/>
            <w:b w:val="false"/>
            <w:i w:val="false"/>
            <w:caps w:val="false"/>
            <w:smallCaps w:val="false"/>
            <w:sz w:val="22"/>
            <w:shd w:fill="FFFFFF" w:val="clear"/>
          </w:rPr>
          <w:t>Section 9.5</w:t>
        </w:r>
      </w:hyperlink>
      <w:r>
        <w:rPr>
          <w:rFonts w:ascii="Times New Roman;Times;serif" w:hAnsi="Times New Roman;Times;serif"/>
          <w:sz w:val="22"/>
          <w:shd w:fill="FFFFFF" w:val="clear"/>
        </w:rPr>
        <w:tab/>
      </w:r>
      <w:hyperlink w:anchor="_Toc228467133">
        <w:r>
          <w:rPr>
            <w:rStyle w:val="InternetLink"/>
            <w:rFonts w:ascii="Times New Roman;Times;serif" w:hAnsi="Times New Roman;Times;serif"/>
            <w:b w:val="false"/>
            <w:i w:val="false"/>
            <w:caps w:val="false"/>
            <w:smallCaps w:val="false"/>
            <w:sz w:val="22"/>
            <w:shd w:fill="FFFFFF" w:val="clear"/>
          </w:rPr>
          <w:t>Controlling Law; Amendment</w:t>
        </w:r>
      </w:hyperlink>
      <w:hyperlink w:anchor="_Toc228467133">
        <w:r>
          <w:rPr>
            <w:webHidden/>
          </w:rPr>
          <w:fldChar w:fldCharType="begin"/>
        </w:r>
        <w:r>
          <w:rPr>
            <w:webHidden/>
          </w:rPr>
          <w:instrText xml:space="preserve">PAGEREF _Toc228467133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62</w:t>
        </w:r>
        <w:r>
          <w:rPr>
            <w:webHidden/>
          </w:rPr>
          <w:fldChar w:fldCharType="end"/>
        </w:r>
      </w:hyperlink>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895"/>
                <wp:effectExtent l="0" t="0" r="0" b="0"/>
                <wp:wrapNone/>
                <wp:docPr id="334" name="Frame3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6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4">
        <w:r>
          <w:rPr>
            <w:rStyle w:val="InternetLink"/>
            <w:rFonts w:ascii="Times New Roman;Times;serif" w:hAnsi="Times New Roman;Times;serif"/>
            <w:b w:val="false"/>
            <w:i w:val="false"/>
            <w:caps w:val="false"/>
            <w:smallCaps w:val="false"/>
            <w:sz w:val="22"/>
            <w:shd w:fill="FFFFFF" w:val="clear"/>
          </w:rPr>
          <w:t>Section 9.6</w:t>
        </w:r>
      </w:hyperlink>
      <w:r>
        <w:rPr>
          <w:rFonts w:ascii="Times New Roman;Times;serif" w:hAnsi="Times New Roman;Times;serif"/>
          <w:sz w:val="22"/>
          <w:shd w:fill="FFFFFF" w:val="clear"/>
        </w:rPr>
        <w:tab/>
      </w:r>
      <w:hyperlink w:anchor="_Toc228467134">
        <w:r>
          <w:rPr>
            <w:rStyle w:val="InternetLink"/>
            <w:rFonts w:ascii="Times New Roman;Times;serif" w:hAnsi="Times New Roman;Times;serif"/>
            <w:b w:val="false"/>
            <w:i w:val="false"/>
            <w:caps w:val="false"/>
            <w:smallCaps w:val="false"/>
            <w:sz w:val="22"/>
            <w:shd w:fill="FFFFFF" w:val="clear"/>
          </w:rPr>
          <w:t>Submission to Jurisdiction</w:t>
        </w:r>
      </w:hyperlink>
      <w:hyperlink w:anchor="_Toc228467134">
        <w:r>
          <w:rPr>
            <w:webHidden/>
          </w:rPr>
          <w:fldChar w:fldCharType="begin"/>
        </w:r>
        <w:r>
          <w:rPr>
            <w:webHidden/>
          </w:rPr>
          <w:instrText xml:space="preserve">PAGEREF _Toc228467134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62</w:t>
        </w:r>
        <w:r>
          <w:rPr>
            <w:webHidden/>
          </w:rPr>
          <w:fldChar w:fldCharType="end"/>
        </w:r>
      </w:hyperlink>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895"/>
                <wp:effectExtent l="0" t="0" r="0" b="0"/>
                <wp:wrapNone/>
                <wp:docPr id="335" name="Frame3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1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5">
        <w:r>
          <w:rPr>
            <w:rStyle w:val="InternetLink"/>
            <w:rFonts w:ascii="Times New Roman;Times;serif" w:hAnsi="Times New Roman;Times;serif"/>
            <w:b w:val="false"/>
            <w:i w:val="false"/>
            <w:caps w:val="false"/>
            <w:smallCaps w:val="false"/>
            <w:sz w:val="22"/>
            <w:shd w:fill="FFFFFF" w:val="clear"/>
          </w:rPr>
          <w:t>Section 9.7</w:t>
        </w:r>
      </w:hyperlink>
      <w:r>
        <w:rPr>
          <w:rFonts w:ascii="Times New Roman;Times;serif" w:hAnsi="Times New Roman;Times;serif"/>
          <w:sz w:val="22"/>
          <w:shd w:fill="FFFFFF" w:val="clear"/>
        </w:rPr>
        <w:tab/>
      </w:r>
      <w:hyperlink w:anchor="_Toc228467135">
        <w:r>
          <w:rPr>
            <w:rStyle w:val="InternetLink"/>
            <w:rFonts w:ascii="Times New Roman;Times;serif" w:hAnsi="Times New Roman;Times;serif"/>
            <w:b w:val="false"/>
            <w:i w:val="false"/>
            <w:caps w:val="false"/>
            <w:smallCaps w:val="false"/>
            <w:sz w:val="22"/>
            <w:shd w:fill="FFFFFF" w:val="clear"/>
          </w:rPr>
          <w:t>Severability</w:t>
        </w:r>
      </w:hyperlink>
      <w:hyperlink w:anchor="_Toc228467135">
        <w:r>
          <w:rPr>
            <w:webHidden/>
          </w:rPr>
          <w:fldChar w:fldCharType="begin"/>
        </w:r>
        <w:r>
          <w:rPr>
            <w:webHidden/>
          </w:rPr>
          <w:instrText xml:space="preserve">PAGEREF _Toc228467135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63</w:t>
        </w:r>
        <w:r>
          <w:rPr>
            <w:webHidden/>
          </w:rPr>
          <w:fldChar w:fldCharType="end"/>
        </w:r>
      </w:hyperlink>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895"/>
                <wp:effectExtent l="0" t="0" r="0" b="0"/>
                <wp:wrapNone/>
                <wp:docPr id="336" name="Frame3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7.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pBdr/>
        <w:bidi w:val="0"/>
        <w:spacing w:lineRule="auto" w:line="314" w:before="0" w:after="0"/>
        <w:ind w:left="720" w:right="0" w:hanging="0"/>
        <w:jc w:val="both"/>
        <w:rPr/>
      </w:pPr>
      <w:hyperlink w:anchor="_Toc228467136">
        <w:r>
          <w:rPr>
            <w:rStyle w:val="InternetLink"/>
            <w:rFonts w:ascii="Times New Roman;Times;serif" w:hAnsi="Times New Roman;Times;serif"/>
            <w:b w:val="false"/>
            <w:i w:val="false"/>
            <w:caps w:val="false"/>
            <w:smallCaps w:val="false"/>
            <w:sz w:val="22"/>
            <w:shd w:fill="FFFFFF" w:val="clear"/>
          </w:rPr>
          <w:t>Section 9.8</w:t>
        </w:r>
      </w:hyperlink>
      <w:r>
        <w:rPr>
          <w:rFonts w:ascii="Times New Roman;Times;serif" w:hAnsi="Times New Roman;Times;serif"/>
          <w:sz w:val="22"/>
          <w:shd w:fill="FFFFFF" w:val="clear"/>
        </w:rPr>
        <w:tab/>
      </w:r>
      <w:hyperlink w:anchor="_Toc228467136">
        <w:r>
          <w:rPr>
            <w:rStyle w:val="InternetLink"/>
            <w:rFonts w:ascii="Times New Roman;Times;serif" w:hAnsi="Times New Roman;Times;serif"/>
            <w:b w:val="false"/>
            <w:i w:val="false"/>
            <w:caps w:val="false"/>
            <w:smallCaps w:val="false"/>
            <w:sz w:val="22"/>
            <w:shd w:fill="FFFFFF" w:val="clear"/>
          </w:rPr>
          <w:t>Counterparts</w:t>
        </w:r>
      </w:hyperlink>
      <w:hyperlink w:anchor="_Toc228467136">
        <w:r>
          <w:rPr>
            <w:webHidden/>
          </w:rPr>
          <w:fldChar w:fldCharType="begin"/>
        </w:r>
        <w:r>
          <w:rPr>
            <w:webHidden/>
          </w:rPr>
          <w:instrText xml:space="preserve">PAGEREF _Toc228467136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63</w:t>
        </w:r>
        <w:r>
          <w:rPr>
            <w:webHidden/>
          </w:rPr>
          <w:fldChar w:fldCharType="end"/>
        </w:r>
      </w:hyperlink>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895"/>
                <wp:effectExtent l="0" t="0" r="0" b="0"/>
                <wp:wrapNone/>
                <wp:docPr id="337" name="Frame3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1.2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7">
        <w:r>
          <w:rPr>
            <w:rStyle w:val="InternetLink"/>
            <w:rFonts w:ascii="Times New Roman;Times;serif" w:hAnsi="Times New Roman;Times;serif"/>
            <w:b w:val="false"/>
            <w:i w:val="false"/>
            <w:caps w:val="false"/>
            <w:smallCaps w:val="false"/>
            <w:sz w:val="22"/>
            <w:shd w:fill="FFFFFF" w:val="clear"/>
          </w:rPr>
          <w:t>Section 9.9</w:t>
        </w:r>
      </w:hyperlink>
      <w:r>
        <w:rPr>
          <w:rFonts w:ascii="Times New Roman;Times;serif" w:hAnsi="Times New Roman;Times;serif"/>
          <w:sz w:val="22"/>
          <w:shd w:fill="FFFFFF" w:val="clear"/>
        </w:rPr>
        <w:tab/>
      </w:r>
      <w:hyperlink w:anchor="_Toc228467137">
        <w:r>
          <w:rPr>
            <w:rStyle w:val="InternetLink"/>
            <w:rFonts w:ascii="Times New Roman;Times;serif" w:hAnsi="Times New Roman;Times;serif"/>
            <w:b w:val="false"/>
            <w:i w:val="false"/>
            <w:caps w:val="false"/>
            <w:smallCaps w:val="false"/>
            <w:sz w:val="22"/>
            <w:shd w:fill="FFFFFF" w:val="clear"/>
          </w:rPr>
          <w:t>Parties in Interest</w:t>
        </w:r>
      </w:hyperlink>
      <w:hyperlink w:anchor="_Toc228467137">
        <w:r>
          <w:rPr>
            <w:webHidden/>
          </w:rPr>
          <w:fldChar w:fldCharType="begin"/>
        </w:r>
        <w:r>
          <w:rPr>
            <w:webHidden/>
          </w:rPr>
          <w:instrText xml:space="preserve">PAGEREF _Toc228467137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64</w:t>
        </w:r>
        <w:r>
          <w:rPr>
            <w:webHidden/>
          </w:rPr>
          <w:fldChar w:fldCharType="end"/>
        </w:r>
      </w:hyperlink>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895"/>
                <wp:effectExtent l="0" t="0" r="0" b="0"/>
                <wp:wrapNone/>
                <wp:docPr id="338" name="Frame3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8">
        <w:r>
          <w:rPr>
            <w:rStyle w:val="InternetLink"/>
            <w:rFonts w:ascii="Times New Roman;Times;serif" w:hAnsi="Times New Roman;Times;serif"/>
            <w:b w:val="false"/>
            <w:i w:val="false"/>
            <w:caps w:val="false"/>
            <w:smallCaps w:val="false"/>
            <w:sz w:val="22"/>
            <w:shd w:fill="FFFFFF" w:val="clear"/>
          </w:rPr>
          <w:t>Section 9.10</w:t>
        </w:r>
      </w:hyperlink>
      <w:r>
        <w:rPr>
          <w:rFonts w:ascii="Times New Roman;Times;serif" w:hAnsi="Times New Roman;Times;serif"/>
          <w:sz w:val="22"/>
          <w:shd w:fill="FFFFFF" w:val="clear"/>
        </w:rPr>
        <w:tab/>
      </w:r>
      <w:hyperlink w:anchor="_Toc228467138">
        <w:r>
          <w:rPr>
            <w:rStyle w:val="InternetLink"/>
            <w:rFonts w:ascii="Times New Roman;Times;serif" w:hAnsi="Times New Roman;Times;serif"/>
            <w:b w:val="false"/>
            <w:i w:val="false"/>
            <w:caps w:val="false"/>
            <w:smallCaps w:val="false"/>
            <w:sz w:val="22"/>
            <w:shd w:fill="FFFFFF" w:val="clear"/>
          </w:rPr>
          <w:t>Waiver</w:t>
        </w:r>
      </w:hyperlink>
      <w:hyperlink w:anchor="_Toc228467138">
        <w:r>
          <w:rPr>
            <w:webHidden/>
          </w:rPr>
          <w:fldChar w:fldCharType="begin"/>
        </w:r>
        <w:r>
          <w:rPr>
            <w:webHidden/>
          </w:rPr>
          <w:instrText xml:space="preserve">PAGEREF _Toc228467138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64</w:t>
        </w:r>
        <w:r>
          <w:rPr>
            <w:webHidden/>
          </w:rPr>
          <w:fldChar w:fldCharType="end"/>
        </w:r>
      </w:hyperlink>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895"/>
                <wp:effectExtent l="0" t="0" r="0" b="0"/>
                <wp:wrapNone/>
                <wp:docPr id="339" name="Frame3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6.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39">
        <w:r>
          <w:rPr>
            <w:rStyle w:val="InternetLink"/>
            <w:rFonts w:ascii="Times New Roman;Times;serif" w:hAnsi="Times New Roman;Times;serif"/>
            <w:b w:val="false"/>
            <w:i w:val="false"/>
            <w:caps w:val="false"/>
            <w:smallCaps w:val="false"/>
            <w:sz w:val="22"/>
            <w:shd w:fill="FFFFFF" w:val="clear"/>
          </w:rPr>
          <w:t>Section 9.11</w:t>
        </w:r>
      </w:hyperlink>
      <w:r>
        <w:rPr>
          <w:rFonts w:ascii="Times New Roman;Times;serif" w:hAnsi="Times New Roman;Times;serif"/>
          <w:sz w:val="22"/>
          <w:shd w:fill="FFFFFF" w:val="clear"/>
        </w:rPr>
        <w:tab/>
      </w:r>
      <w:hyperlink w:anchor="_Toc228467139">
        <w:r>
          <w:rPr>
            <w:rStyle w:val="InternetLink"/>
            <w:rFonts w:ascii="Times New Roman;Times;serif" w:hAnsi="Times New Roman;Times;serif"/>
            <w:b w:val="false"/>
            <w:i w:val="false"/>
            <w:caps w:val="false"/>
            <w:smallCaps w:val="false"/>
            <w:sz w:val="22"/>
            <w:shd w:fill="FFFFFF" w:val="clear"/>
          </w:rPr>
          <w:t>Integration</w:t>
        </w:r>
      </w:hyperlink>
      <w:hyperlink w:anchor="_Toc228467139">
        <w:r>
          <w:rPr>
            <w:webHidden/>
          </w:rPr>
          <w:fldChar w:fldCharType="begin"/>
        </w:r>
        <w:r>
          <w:rPr>
            <w:webHidden/>
          </w:rPr>
          <w:instrText xml:space="preserve">PAGEREF _Toc228467139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64</w:t>
        </w:r>
        <w:r>
          <w:rPr>
            <w:webHidden/>
          </w:rPr>
          <w:fldChar w:fldCharType="end"/>
        </w:r>
      </w:hyperlink>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895"/>
                <wp:effectExtent l="0" t="0" r="0" b="0"/>
                <wp:wrapNone/>
                <wp:docPr id="340" name="Frame3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314" w:before="0" w:after="0"/>
        <w:ind w:left="720" w:right="0" w:hanging="0"/>
        <w:jc w:val="both"/>
        <w:rPr/>
      </w:pPr>
      <w:hyperlink w:anchor="_Toc228467141">
        <w:r>
          <w:rPr>
            <w:rStyle w:val="InternetLink"/>
            <w:rFonts w:ascii="Times New Roman;Times;serif" w:hAnsi="Times New Roman;Times;serif"/>
            <w:b w:val="false"/>
            <w:i w:val="false"/>
            <w:caps w:val="false"/>
            <w:smallCaps w:val="false"/>
            <w:sz w:val="22"/>
            <w:shd w:fill="FFFFFF" w:val="clear"/>
          </w:rPr>
          <w:t>Section 9.13</w:t>
        </w:r>
      </w:hyperlink>
      <w:r>
        <w:rPr>
          <w:rFonts w:ascii="Times New Roman;Times;serif" w:hAnsi="Times New Roman;Times;serif"/>
          <w:sz w:val="22"/>
          <w:shd w:fill="FFFFFF" w:val="clear"/>
        </w:rPr>
        <w:tab/>
      </w:r>
      <w:hyperlink w:anchor="_Toc228467141">
        <w:r>
          <w:rPr>
            <w:rStyle w:val="InternetLink"/>
            <w:rFonts w:ascii="Times New Roman;Times;serif" w:hAnsi="Times New Roman;Times;serif"/>
            <w:b w:val="false"/>
            <w:i w:val="false"/>
            <w:caps w:val="false"/>
            <w:smallCaps w:val="false"/>
            <w:sz w:val="22"/>
            <w:shd w:fill="FFFFFF" w:val="clear"/>
          </w:rPr>
          <w:t>Seller Representative</w:t>
        </w:r>
      </w:hyperlink>
      <w:hyperlink w:anchor="_Toc228467141">
        <w:r>
          <w:rPr>
            <w:webHidden/>
          </w:rPr>
          <w:fldChar w:fldCharType="begin"/>
        </w:r>
        <w:r>
          <w:rPr>
            <w:webHidden/>
          </w:rPr>
          <w:instrText xml:space="preserve">PAGEREF _Toc228467141 \h</w:instrText>
        </w:r>
        <w:r>
          <w:rPr>
            <w:webHidden/>
          </w:rPr>
          <w:fldChar w:fldCharType="separate"/>
        </w:r>
        <w:r>
          <w:rPr>
            <w:rStyle w:val="InternetLink"/>
            <w:rFonts w:ascii="Times New Roman;Times;serif" w:hAnsi="Times New Roman;Times;serif"/>
            <w:b w:val="false"/>
            <w:i w:val="false"/>
            <w:caps w:val="false"/>
            <w:smallCaps w:val="false"/>
            <w:sz w:val="22"/>
            <w:shd w:fill="FFFFFF" w:val="clear"/>
          </w:rPr>
          <w:t>64</w:t>
        </w:r>
        <w:r>
          <w:rPr>
            <w:webHidden/>
          </w:rPr>
          <w:fldChar w:fldCharType="end"/>
        </w:r>
      </w:hyperlink>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895"/>
                <wp:effectExtent l="0" t="0" r="0" b="0"/>
                <wp:wrapNone/>
                <wp:docPr id="341" name="Frame3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iv</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INDEX</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w:t>
      </w:r>
      <w:r>
        <w:rPr>
          <w:rFonts w:ascii="Times New Roman;Times;serif" w:hAnsi="Times New Roman;Times;serif"/>
          <w:sz w:val="24"/>
        </w:rPr>
        <w:t>Organization; Good Standing</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3.3</w:t>
      </w:r>
      <w:r>
        <w:rPr>
          <w:rFonts w:ascii="Times New Roman;Times;serif" w:hAnsi="Times New Roman;Times;serif"/>
          <w:sz w:val="24"/>
        </w:rPr>
        <w:t>Purchased Interests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3.4(a)Conflicts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3.4(b)Government Filings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3.5(a)Leased Real Property</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3.5(c)Liens on Real Property</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3.6</w:t>
      </w:r>
      <w:r>
        <w:rPr>
          <w:rFonts w:ascii="Times New Roman;Times;serif" w:hAnsi="Times New Roman;Times;serif"/>
          <w:sz w:val="24"/>
        </w:rPr>
        <w:t>Title to Assets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3.7</w:t>
      </w:r>
      <w:r>
        <w:rPr>
          <w:rFonts w:ascii="Times New Roman;Times;serif" w:hAnsi="Times New Roman;Times;serif"/>
          <w:sz w:val="24"/>
        </w:rPr>
        <w:t>Financial Statements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3.8</w:t>
      </w:r>
      <w:r>
        <w:rPr>
          <w:rFonts w:ascii="Times New Roman;Times;serif" w:hAnsi="Times New Roman;Times;serif"/>
          <w:sz w:val="24"/>
        </w:rPr>
        <w:t>Receivables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3.9(d)Withholding of Taxes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3.9 (e)Matters Relating to Tax Periods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3.9(i)Tax Deficiency</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3.9(l)Affiliated Group Tax Returns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3.10</w:t>
      </w:r>
      <w:r>
        <w:rPr>
          <w:rFonts w:ascii="Times New Roman;Times;serif" w:hAnsi="Times New Roman;Times;serif"/>
          <w:sz w:val="24"/>
        </w:rPr>
        <w:t>Liabilities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3.11</w:t>
      </w:r>
      <w:r>
        <w:rPr>
          <w:rFonts w:ascii="Times New Roman;Times;serif" w:hAnsi="Times New Roman;Times;serif"/>
          <w:sz w:val="24"/>
        </w:rPr>
        <w:t>Absence of Changes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3.12</w:t>
      </w:r>
      <w:r>
        <w:rPr>
          <w:rFonts w:ascii="Times New Roman;Times;serif" w:hAnsi="Times New Roman;Times;serif"/>
          <w:sz w:val="24"/>
        </w:rPr>
        <w:t>Legal Proceedings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3.13</w:t>
      </w:r>
      <w:r>
        <w:rPr>
          <w:rFonts w:ascii="Times New Roman;Times;serif" w:hAnsi="Times New Roman;Times;serif"/>
          <w:sz w:val="24"/>
        </w:rPr>
        <w:t>Compliance with Laws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3.14(a)Contracts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3.14(c)Contract Exceptions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3.14(c)(vi)Contract Overruns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3.14(d)Government Contracts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3.15(a)Employee Benefit Plans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3.15(b)Amendments to Employee Benefit Plans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3.15(c)Employee Benefit Plan subject to Title IV or the Code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3.15(d)Multi-Employer Plans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3.15(g)Employee Benefit Plan Compliance with Law</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3.15(i)Prohibited Transactions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3.15(n)Change of Control Payments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3.15(t)Employees Absent from Active Employment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3.15(u)COBRA Elections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3.16(a)Labor Relations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3.16(b)Terminating Employees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3.17</w:t>
      </w:r>
      <w:r>
        <w:rPr>
          <w:rFonts w:ascii="Times New Roman;Times;serif" w:hAnsi="Times New Roman;Times;serif"/>
          <w:sz w:val="24"/>
        </w:rPr>
        <w:t>Employees and Contractors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3.18(b)Insurance Policies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3.18(c)Bonds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3.19(a)Compliance with Environmental Laws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3.19(d)Health and Safety and Environmental Events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3.20</w:t>
      </w:r>
      <w:r>
        <w:rPr>
          <w:rFonts w:ascii="Times New Roman;Times;serif" w:hAnsi="Times New Roman;Times;serif"/>
          <w:sz w:val="24"/>
        </w:rPr>
        <w:t>Transactions with Affiliates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3.21(a)Customers and Vendors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3.22</w:t>
      </w:r>
      <w:r>
        <w:rPr>
          <w:rFonts w:ascii="Times New Roman;Times;serif" w:hAnsi="Times New Roman;Times;serif"/>
          <w:sz w:val="24"/>
        </w:rPr>
        <w:t>Product and Service Warranties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3.23(a)Company Registered Intellectual Property</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3.23(e)Works of Original Authorship</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3.24(a)Company Proprietary Software and Company Licensed Software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Schedule 3.24(d)Source Code for Company Proprietary Software</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3.25</w:t>
      </w:r>
      <w:r>
        <w:rPr>
          <w:rFonts w:ascii="Times New Roman;Times;serif" w:hAnsi="Times New Roman;Times;serif"/>
          <w:sz w:val="24"/>
        </w:rPr>
        <w:t>Licenses</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v</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3.26</w:t>
      </w:r>
      <w:r>
        <w:rPr>
          <w:rFonts w:ascii="Times New Roman;Times;serif" w:hAnsi="Times New Roman;Times;serif"/>
          <w:sz w:val="24"/>
        </w:rPr>
        <w:t>Bank Accounts and Powers of Attorney</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3.27</w:t>
      </w:r>
      <w:r>
        <w:rPr>
          <w:rFonts w:ascii="Times New Roman;Times;serif" w:hAnsi="Times New Roman;Times;serif"/>
          <w:sz w:val="24"/>
        </w:rPr>
        <w:t>Accounting Records</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Schedule 3.28</w:t>
      </w:r>
      <w:r>
        <w:rPr>
          <w:rFonts w:ascii="Times New Roman;Times;serif" w:hAnsi="Times New Roman;Times;serif"/>
          <w:sz w:val="24"/>
        </w:rPr>
        <w:t>Brokers, Finders and Investment Bankers</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vi</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314"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EXHIBIT INDEX</w:t>
      </w:r>
    </w:p>
    <w:p>
      <w:pPr>
        <w:pStyle w:val="TextBody"/>
        <w:pBdr/>
        <w:bidi w:val="0"/>
        <w:spacing w:lineRule="auto" w:line="285" w:before="0" w:after="0"/>
        <w:ind w:left="720" w:right="0" w:hanging="2160"/>
        <w:jc w:val="both"/>
        <w:rPr>
          <w:rFonts w:ascii="Times New Roman;Times;serif" w:hAnsi="Times New Roman;Times;serif"/>
          <w:sz w:val="24"/>
        </w:rPr>
      </w:pPr>
      <w:r>
        <w:rPr>
          <w:rFonts w:ascii="Times New Roman;Times;serif" w:hAnsi="Times New Roman;Times;serif"/>
          <w:sz w:val="24"/>
        </w:rPr>
        <w:t xml:space="preserve">Exhibit 7.2(d)(2) - Form of Non-Competition Agreement for each shareholder </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pBdr/>
        <w:bidi w:val="0"/>
        <w:spacing w:lineRule="auto" w:line="314" w:before="0" w:after="0"/>
        <w:ind w:left="720" w:right="0" w:hanging="216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MEMBERSHIP INTEREST PURCHASE AGREEMENT</w:t>
      </w:r>
    </w:p>
    <w:p>
      <w:pPr>
        <w:pStyle w:val="TextBody"/>
        <w:bidi w:val="0"/>
        <w:spacing w:lineRule="auto" w:line="285" w:before="240" w:after="210"/>
        <w:ind w:left="0" w:right="0" w:firstLine="720"/>
        <w:jc w:val="both"/>
        <w:rPr>
          <w:rFonts w:ascii="Arial;Helvetica;sans-serif" w:hAnsi="Arial;Helvetica;sans-serif"/>
          <w:sz w:val="21"/>
        </w:rPr>
      </w:pPr>
      <w:r>
        <w:rPr>
          <w:rFonts w:ascii="Times New Roman;Times;serif" w:hAnsi="Times New Roman;Times;serif"/>
          <w:sz w:val="24"/>
        </w:rPr>
        <w:t>This MEMBERSHIP INTEREST PURCHASE AGREEMENT (this “</w:t>
      </w:r>
      <w:r>
        <w:rPr>
          <w:rFonts w:ascii="Times New Roman;Times;serif" w:hAnsi="Times New Roman;Times;serif"/>
          <w:sz w:val="24"/>
          <w:u w:val="single"/>
        </w:rPr>
        <w:t>Agreement</w:t>
      </w:r>
      <w:r>
        <w:rPr>
          <w:rFonts w:ascii="Arial;Helvetica;sans-serif" w:hAnsi="Arial;Helvetica;sans-serif"/>
          <w:sz w:val="21"/>
        </w:rPr>
        <w:t>”</w:t>
      </w:r>
      <w:r>
        <w:rPr>
          <w:rFonts w:ascii="Times New Roman;Times;serif" w:hAnsi="Times New Roman;Times;serif"/>
          <w:sz w:val="24"/>
        </w:rPr>
        <w:t>), dated as of May 4, 2026, is made and entered into by and among (i) Willdan Energy Solutions, a California corporation (the “</w:t>
      </w:r>
      <w:r>
        <w:rPr>
          <w:rFonts w:ascii="Times New Roman;Times;serif" w:hAnsi="Times New Roman;Times;serif"/>
          <w:sz w:val="24"/>
          <w:u w:val="single"/>
        </w:rPr>
        <w:t>Purchaser</w:t>
      </w:r>
      <w:r>
        <w:rPr>
          <w:rFonts w:ascii="Arial;Helvetica;sans-serif" w:hAnsi="Arial;Helvetica;sans-serif"/>
          <w:sz w:val="21"/>
        </w:rPr>
        <w:t>”</w:t>
      </w:r>
      <w:r>
        <w:rPr>
          <w:rFonts w:ascii="Times New Roman;Times;serif" w:hAnsi="Times New Roman;Times;serif"/>
          <w:sz w:val="24"/>
        </w:rPr>
        <w:t>), a wholly-owned subsidiary of Willdan Group, Inc., a Delaware corporation (“</w:t>
      </w:r>
      <w:r>
        <w:rPr>
          <w:rFonts w:ascii="Times New Roman;Times;serif" w:hAnsi="Times New Roman;Times;serif"/>
          <w:sz w:val="24"/>
          <w:u w:val="single"/>
        </w:rPr>
        <w:t>Willdan</w:t>
      </w:r>
      <w:r>
        <w:rPr>
          <w:rFonts w:ascii="Arial;Helvetica;sans-serif" w:hAnsi="Arial;Helvetica;sans-serif"/>
          <w:sz w:val="21"/>
        </w:rPr>
        <w:t>”</w:t>
      </w:r>
      <w:r>
        <w:rPr>
          <w:rFonts w:ascii="Times New Roman;Times;serif" w:hAnsi="Times New Roman;Times;serif"/>
          <w:sz w:val="24"/>
        </w:rPr>
        <w:t>), (ii) Willdan, (iii)</w:t>
      </w:r>
      <w:r>
        <w:rPr>
          <w:rFonts w:ascii="Arial;Helvetica;sans-serif" w:hAnsi="Arial;Helvetica;sans-serif"/>
          <w:sz w:val="21"/>
        </w:rPr>
        <w:t xml:space="preserve"> </w:t>
      </w:r>
      <w:r>
        <w:rPr>
          <w:rFonts w:ascii="Times New Roman;Times;serif" w:hAnsi="Times New Roman;Times;serif"/>
          <w:sz w:val="24"/>
        </w:rPr>
        <w:t>each of the holders of Membership Interests identified as such on the signature pages to this Agreement (each a “Seller” and, collectively, the “</w:t>
      </w:r>
      <w:r>
        <w:rPr>
          <w:rFonts w:ascii="Times New Roman;Times;serif" w:hAnsi="Times New Roman;Times;serif"/>
          <w:sz w:val="24"/>
          <w:u w:val="single"/>
        </w:rPr>
        <w:t>Sellers</w:t>
      </w:r>
      <w:r>
        <w:rPr>
          <w:rFonts w:ascii="Arial;Helvetica;sans-serif" w:hAnsi="Arial;Helvetica;sans-serif"/>
          <w:sz w:val="21"/>
        </w:rPr>
        <w:t>”</w:t>
      </w:r>
      <w:r>
        <w:rPr>
          <w:rFonts w:ascii="Times New Roman;Times;serif" w:hAnsi="Times New Roman;Times;serif"/>
          <w:sz w:val="24"/>
        </w:rPr>
        <w:t>), (iv) Burton Energy Group, LLC, a Georgia limited liability company (the “</w:t>
      </w:r>
      <w:r>
        <w:rPr>
          <w:rFonts w:ascii="Times New Roman;Times;serif" w:hAnsi="Times New Roman;Times;serif"/>
          <w:sz w:val="24"/>
          <w:u w:val="single"/>
        </w:rPr>
        <w:t>Company</w:t>
      </w:r>
      <w:r>
        <w:rPr>
          <w:rFonts w:ascii="Arial;Helvetica;sans-serif" w:hAnsi="Arial;Helvetica;sans-serif"/>
          <w:sz w:val="21"/>
        </w:rPr>
        <w:t>”</w:t>
      </w:r>
      <w:r>
        <w:rPr>
          <w:rFonts w:ascii="Times New Roman;Times;serif" w:hAnsi="Times New Roman;Times;serif"/>
          <w:sz w:val="24"/>
        </w:rPr>
        <w:t>), and (v) [REDACTED], as Seller Representative (as defined in Section 9.12).  The Purchaser, Willdan, the Sellers, the Company and the Seller Representative are sometimes individually referred to herein as a “</w:t>
      </w:r>
      <w:r>
        <w:rPr>
          <w:rFonts w:ascii="Times New Roman;Times;serif" w:hAnsi="Times New Roman;Times;serif"/>
          <w:sz w:val="24"/>
          <w:u w:val="single"/>
        </w:rPr>
        <w:t>Party</w:t>
      </w:r>
      <w:r>
        <w:rPr>
          <w:rFonts w:ascii="Arial;Helvetica;sans-serif" w:hAnsi="Arial;Helvetica;sans-serif"/>
          <w:sz w:val="21"/>
        </w:rPr>
        <w:t xml:space="preserve">” </w:t>
      </w:r>
      <w:r>
        <w:rPr>
          <w:rFonts w:ascii="Times New Roman;Times;serif" w:hAnsi="Times New Roman;Times;serif"/>
          <w:sz w:val="24"/>
        </w:rPr>
        <w:t>and collectively as the “</w:t>
      </w:r>
      <w:r>
        <w:rPr>
          <w:rFonts w:ascii="Times New Roman;Times;serif" w:hAnsi="Times New Roman;Times;serif"/>
          <w:sz w:val="24"/>
          <w:u w:val="single"/>
        </w:rPr>
        <w:t>Parties</w:t>
      </w:r>
      <w:r>
        <w:rPr>
          <w:rFonts w:ascii="Times New Roman;Times;serif" w:hAnsi="Times New Roman;Times;serif"/>
          <w:sz w:val="24"/>
        </w:rPr>
        <w:t xml:space="preserve">.”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W I T N E S S E T H:</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 xml:space="preserve">WHEREAS, the Company is a limited liability company duly formed and organized under the law of the State of Georgia, with all powers and authority to conduct its business as currently conducted; </w:t>
      </w:r>
    </w:p>
    <w:p>
      <w:pPr>
        <w:pStyle w:val="TextBody"/>
        <w:bidi w:val="0"/>
        <w:spacing w:lineRule="auto" w:line="285" w:before="0" w:after="210"/>
        <w:ind w:left="0" w:right="0" w:firstLine="720"/>
        <w:jc w:val="both"/>
        <w:rPr>
          <w:rFonts w:ascii="Arial;Helvetica;sans-serif" w:hAnsi="Arial;Helvetica;sans-serif"/>
          <w:sz w:val="21"/>
        </w:rPr>
      </w:pPr>
      <w:r>
        <w:rPr>
          <w:rFonts w:ascii="Times New Roman;Times;serif" w:hAnsi="Times New Roman;Times;serif"/>
          <w:sz w:val="24"/>
        </w:rPr>
        <w:t>WHEREAS, Sellers own 100% of the Membership Interests of the Company representing [REDACTED] Series A shares and [REDACTED] Series B shares (“</w:t>
      </w:r>
      <w:r>
        <w:rPr>
          <w:rFonts w:ascii="Times New Roman;Times;serif" w:hAnsi="Times New Roman;Times;serif"/>
          <w:sz w:val="24"/>
          <w:u w:val="single"/>
        </w:rPr>
        <w:t>Shares</w:t>
      </w:r>
      <w:r>
        <w:rPr>
          <w:rFonts w:ascii="Arial;Helvetica;sans-serif" w:hAnsi="Arial;Helvetica;sans-serif"/>
          <w:sz w:val="21"/>
        </w:rPr>
        <w:t>”</w:t>
      </w:r>
      <w:r>
        <w:rPr>
          <w:rFonts w:ascii="Times New Roman;Times;serif" w:hAnsi="Times New Roman;Times;serif"/>
          <w:sz w:val="24"/>
        </w:rPr>
        <w:t>) of the total outstanding Membership Interests (the “</w:t>
      </w:r>
      <w:r>
        <w:rPr>
          <w:rFonts w:ascii="Times New Roman;Times;serif" w:hAnsi="Times New Roman;Times;serif"/>
          <w:sz w:val="24"/>
          <w:u w:val="single"/>
        </w:rPr>
        <w:t>Purchased Interests</w:t>
      </w:r>
      <w:r>
        <w:rPr>
          <w:rFonts w:ascii="Arial;Helvetica;sans-serif" w:hAnsi="Arial;Helvetica;sans-serif"/>
          <w:sz w:val="21"/>
        </w:rPr>
        <w:t>”</w:t>
      </w:r>
      <w:r>
        <w:rPr>
          <w:rFonts w:ascii="Times New Roman;Times;serif" w:hAnsi="Times New Roman;Times;serif"/>
          <w:sz w:val="24"/>
        </w:rPr>
        <w:t xml:space="preserve">); </w:t>
      </w:r>
    </w:p>
    <w:p>
      <w:pPr>
        <w:pStyle w:val="TextBody"/>
        <w:bidi w:val="0"/>
        <w:spacing w:lineRule="auto" w:line="285" w:before="0" w:after="210"/>
        <w:ind w:left="0" w:right="0" w:firstLine="720"/>
        <w:jc w:val="both"/>
        <w:rPr>
          <w:rFonts w:ascii="Arial;Helvetica;sans-serif" w:hAnsi="Arial;Helvetica;sans-serif"/>
          <w:sz w:val="21"/>
        </w:rPr>
      </w:pPr>
      <w:r>
        <w:rPr>
          <w:rFonts w:ascii="Times New Roman;Times;serif" w:hAnsi="Times New Roman;Times;serif"/>
          <w:sz w:val="24"/>
        </w:rPr>
        <w:t>WHEREAS, the Purchaser desires to acquire from the Sellers, and Sellers desire to sell to the Purchaser, the Purchased Interests, on the terms and subject to the conditions set forth in this Agreement (the “</w:t>
      </w:r>
      <w:r>
        <w:rPr>
          <w:rFonts w:ascii="Times New Roman;Times;serif" w:hAnsi="Times New Roman;Times;serif"/>
          <w:sz w:val="24"/>
          <w:u w:val="single"/>
        </w:rPr>
        <w:t>Acquisition</w:t>
      </w:r>
      <w:r>
        <w:rPr>
          <w:rFonts w:ascii="Arial;Helvetica;sans-serif" w:hAnsi="Arial;Helvetica;sans-serif"/>
          <w:sz w:val="21"/>
        </w:rPr>
        <w:t>”</w:t>
      </w:r>
      <w:r>
        <w:rPr>
          <w:rFonts w:ascii="Times New Roman;Times;serif" w:hAnsi="Times New Roman;Times;serif"/>
          <w:sz w:val="24"/>
        </w:rPr>
        <w:t>); and</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WHEREAS, the Parties desire to make and agree to certain representations, warranties, covenants and agreements in connection with the Acquisition, as set forth more fully herein.</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representations, warranties, covenants and agreements contained in this Agreement, and intending to be legally bound hereby, the Parties hereby agree as follows:</w:t>
      </w:r>
    </w:p>
    <w:p>
      <w:pPr>
        <w:pStyle w:val="TextBody"/>
        <w:bidi w:val="0"/>
        <w:spacing w:lineRule="auto" w:line="285" w:before="0" w:after="240"/>
        <w:ind w:left="0" w:right="0" w:hanging="0"/>
        <w:jc w:val="center"/>
        <w:rPr>
          <w:rFonts w:ascii="Arial;Helvetica;sans-serif" w:hAnsi="Arial;Helvetica;sans-serif"/>
          <w:b/>
          <w:sz w:val="21"/>
        </w:rPr>
      </w:pPr>
      <w:r>
        <w:rPr>
          <w:rFonts w:ascii="Times New Roman;Times;serif" w:hAnsi="Times New Roman;Times;serif"/>
          <w:b/>
          <w:caps/>
          <w:sz w:val="24"/>
        </w:rPr>
        <w:t>Article I</w:t>
      </w:r>
      <w:bookmarkStart w:id="1091" w:name="_Toc333516818"/>
      <w:bookmarkStart w:id="1092" w:name="_Toc333516649"/>
      <w:bookmarkStart w:id="1093" w:name="_Toc333516478"/>
      <w:bookmarkEnd w:id="1091"/>
      <w:bookmarkEnd w:id="1092"/>
      <w:bookmarkEnd w:id="1093"/>
      <w:r>
        <w:rPr>
          <w:rFonts w:ascii="Arial;Helvetica;sans-serif" w:hAnsi="Arial;Helvetica;sans-serif"/>
          <w:b/>
          <w:sz w:val="21"/>
        </w:rPr>
        <w:t>​</w:t>
      </w:r>
      <w:r>
        <w:rPr>
          <w:rFonts w:ascii="Times New Roman;Times;serif" w:hAnsi="Times New Roman;Times;serif"/>
          <w:b/>
          <w:sz w:val="24"/>
        </w:rPr>
        <w:br/>
      </w:r>
      <w:bookmarkStart w:id="1094" w:name="_Toc228467053"/>
      <w:bookmarkStart w:id="1095" w:name="_Toc493079708"/>
      <w:bookmarkStart w:id="1096" w:name="_Toc491264973"/>
      <w:bookmarkStart w:id="1097" w:name="_Toc491263188"/>
      <w:bookmarkStart w:id="1098" w:name="_Toc491250840"/>
      <w:bookmarkStart w:id="1099" w:name="_Toc491244283"/>
      <w:bookmarkStart w:id="1100" w:name="_Toc490572233"/>
      <w:bookmarkStart w:id="1101" w:name="_Toc488826740"/>
      <w:bookmarkStart w:id="1102" w:name="_Toc488825147"/>
      <w:bookmarkStart w:id="1103" w:name="_Toc445397394"/>
      <w:bookmarkStart w:id="1104" w:name="_Toc441652928"/>
      <w:bookmarkStart w:id="1105" w:name="_Toc343001431"/>
      <w:bookmarkStart w:id="1106" w:name="_Toc341780892"/>
      <w:bookmarkStart w:id="1107" w:name="_Toc341776318"/>
      <w:bookmarkStart w:id="1108" w:name="_Toc341771289"/>
      <w:bookmarkStart w:id="1109" w:name="_Toc340837377"/>
      <w:bookmarkStart w:id="1110" w:name="_Toc340828662"/>
      <w:bookmarkStart w:id="1111" w:name="_Toc340814333"/>
      <w:bookmarkStart w:id="1112" w:name="_Toc340814232"/>
      <w:bookmarkStart w:id="1113" w:name="_Toc340760268"/>
      <w:bookmarkStart w:id="1114" w:name="_Toc340759889"/>
      <w:bookmarkStart w:id="1115" w:name="_Toc340757420"/>
      <w:bookmarkStart w:id="1116" w:name="_Toc338754057"/>
      <w:bookmarkStart w:id="1117" w:name="_Toc338753904"/>
      <w:bookmarkStart w:id="1118" w:name="_Toc338753547"/>
      <w:bookmarkStart w:id="1119" w:name="_Toc338751617"/>
      <w:bookmarkStart w:id="1120" w:name="_Toc337829152"/>
      <w:bookmarkStart w:id="1121" w:name="_Toc337827982"/>
      <w:bookmarkStart w:id="1122" w:name="_Toc337827786"/>
      <w:bookmarkStart w:id="1123" w:name="_Toc337827417"/>
      <w:bookmarkStart w:id="1124" w:name="_Toc337826767"/>
      <w:bookmarkStart w:id="1125" w:name="_Toc334637478"/>
      <w:bookmarkStart w:id="1126" w:name="_Toc333516982"/>
      <w:bookmarkStart w:id="1127" w:name="_Toc333516900"/>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ascii="Times New Roman;Times;serif" w:hAnsi="Times New Roman;Times;serif"/>
          <w:b/>
          <w:sz w:val="24"/>
        </w:rPr>
        <w:t>DEFINITIONS; CONSTRUCTION</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1.1</w:t>
      </w:r>
      <w:bookmarkStart w:id="1128" w:name="_Toc441652929"/>
      <w:bookmarkStart w:id="1129" w:name="_Toc343001432"/>
      <w:bookmarkStart w:id="1130" w:name="_Toc341780893"/>
      <w:bookmarkStart w:id="1131" w:name="_Toc341776319"/>
      <w:bookmarkStart w:id="1132" w:name="_Toc341771290"/>
      <w:bookmarkStart w:id="1133" w:name="_Toc340837378"/>
      <w:bookmarkStart w:id="1134" w:name="_Toc340828663"/>
      <w:bookmarkStart w:id="1135" w:name="_Toc340814334"/>
      <w:bookmarkStart w:id="1136" w:name="_Toc340814233"/>
      <w:bookmarkStart w:id="1137" w:name="_Toc333516479"/>
      <w:bookmarkStart w:id="1138" w:name="_Toc228467054"/>
      <w:bookmarkStart w:id="1139" w:name="_Toc493079709"/>
      <w:bookmarkStart w:id="1140" w:name="_Toc491264974"/>
      <w:bookmarkStart w:id="1141" w:name="_Toc491263189"/>
      <w:bookmarkStart w:id="1142" w:name="_Toc491250841"/>
      <w:bookmarkStart w:id="1143" w:name="_Toc491244284"/>
      <w:bookmarkStart w:id="1144" w:name="_Toc490572234"/>
      <w:bookmarkStart w:id="1145" w:name="_Toc488826741"/>
      <w:bookmarkStart w:id="1146" w:name="_Toc488825148"/>
      <w:bookmarkStart w:id="1147" w:name="_Toc445397395"/>
      <w:bookmarkStart w:id="1148" w:name="_Toc340760269"/>
      <w:bookmarkStart w:id="1149" w:name="_Toc340759890"/>
      <w:bookmarkStart w:id="1150" w:name="_Toc340757421"/>
      <w:bookmarkStart w:id="1151" w:name="_Toc338754058"/>
      <w:bookmarkStart w:id="1152" w:name="_Toc338753905"/>
      <w:bookmarkStart w:id="1153" w:name="_Toc338753548"/>
      <w:bookmarkStart w:id="1154" w:name="_Toc338751618"/>
      <w:bookmarkStart w:id="1155" w:name="_Toc337829153"/>
      <w:bookmarkStart w:id="1156" w:name="_Toc337827983"/>
      <w:bookmarkStart w:id="1157" w:name="_Toc337827787"/>
      <w:bookmarkStart w:id="1158" w:name="_Toc337827418"/>
      <w:bookmarkStart w:id="1159" w:name="_Toc337826768"/>
      <w:bookmarkStart w:id="1160" w:name="_Toc334637479"/>
      <w:bookmarkStart w:id="1161" w:name="_Toc333516983"/>
      <w:bookmarkStart w:id="1162" w:name="_Toc333516901"/>
      <w:bookmarkStart w:id="1163" w:name="_Toc333516819"/>
      <w:bookmarkStart w:id="1164" w:name="_Toc333516650"/>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sz w:val="24"/>
          <w:u w:val="single"/>
        </w:rPr>
        <w:t>Definitions</w:t>
      </w:r>
      <w:r>
        <w:rPr>
          <w:rFonts w:ascii="Times New Roman;Times;serif" w:hAnsi="Times New Roman;Times;serif"/>
          <w:sz w:val="24"/>
        </w:rPr>
        <w:t>.  The following terms, as used herein, have the following meanings:</w:t>
      </w:r>
    </w:p>
    <w:p>
      <w:pPr>
        <w:pStyle w:val="TextBody"/>
        <w:bidi w:val="0"/>
        <w:spacing w:lineRule="auto" w:line="314" w:before="0" w:after="0"/>
        <w:ind w:left="0" w:right="0" w:hanging="0"/>
        <w:jc w:val="both"/>
        <w:rPr/>
      </w:pPr>
      <w:r>
        <w:rPr/>
        <w: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Affiliate</w:t>
      </w:r>
      <w:r>
        <w:rPr>
          <w:rFonts w:ascii="Arial;Helvetica;sans-serif" w:hAnsi="Arial;Helvetica;sans-serif"/>
          <w:sz w:val="21"/>
        </w:rPr>
        <w:t xml:space="preserve">” </w:t>
      </w:r>
      <w:r>
        <w:rPr>
          <w:rFonts w:ascii="Times New Roman;Times;serif" w:hAnsi="Times New Roman;Times;serif"/>
          <w:sz w:val="24"/>
        </w:rPr>
        <w:t>of any specified Person means any other Person directly or indirectly Controlling or Controlled by or under direct or indirect common Control with such specified Person.</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Balance Sheet</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Balance Sheet Date</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Books and Records</w:t>
      </w:r>
      <w:r>
        <w:rPr>
          <w:rFonts w:ascii="Arial;Helvetica;sans-serif" w:hAnsi="Arial;Helvetica;sans-serif"/>
          <w:sz w:val="21"/>
        </w:rPr>
        <w:t xml:space="preserve">” </w:t>
      </w:r>
      <w:r>
        <w:rPr>
          <w:rFonts w:ascii="Times New Roman;Times;serif" w:hAnsi="Times New Roman;Times;serif"/>
          <w:sz w:val="24"/>
        </w:rPr>
        <w:t xml:space="preserve">means any books, records, files, research and production records, customer files, customer lists, customer product specifications, customer purchasing histories,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distributor files, vendor files, vendor lists, advertising and marketing materials, sales materials, budgets, forecasts, ledgers, journals, reports, technical information, databases, or documents, information and files of any kind, regardless of whether any of the foregoing are stored or maintained in traditional paper format, by means of electronic, optical or magnetic media or devices, photographic or video images, or any other format or media.</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Business</w:t>
      </w:r>
      <w:r>
        <w:rPr>
          <w:rFonts w:ascii="Arial;Helvetica;sans-serif" w:hAnsi="Arial;Helvetica;sans-serif"/>
          <w:sz w:val="21"/>
        </w:rPr>
        <w:t xml:space="preserve">” </w:t>
      </w:r>
      <w:r>
        <w:rPr>
          <w:rFonts w:ascii="Times New Roman;Times;serif" w:hAnsi="Times New Roman;Times;serif"/>
          <w:sz w:val="24"/>
        </w:rPr>
        <w:t>means the business of the Company as of immediately prior to the Closing, including providing energy management consulting and solutions and project management services related to such energy management solutions to a wide array of industries including retail, hospitality, education, healthcare, manufacturing and distribution, financial services, and senior living and manufactured housing. Notwithstanding the foregoing, the term “Business” shall not be construed or interpreted to include, or to encompass in any respect, the industries in which the Company's customers operate. For the avoidance of doubt, the reference to such industries in the preceding sentence is solely descriptive of the customers to whom the Company provides its services and does not mean that the Company itself is engaged in, or that the "Business" includes, any such industry.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Business Day</w:t>
      </w:r>
      <w:r>
        <w:rPr>
          <w:rFonts w:ascii="Arial;Helvetica;sans-serif" w:hAnsi="Arial;Helvetica;sans-serif"/>
          <w:sz w:val="21"/>
        </w:rPr>
        <w:t xml:space="preserve">” </w:t>
      </w:r>
      <w:r>
        <w:rPr>
          <w:rFonts w:ascii="Times New Roman;Times;serif" w:hAnsi="Times New Roman;Times;serif"/>
          <w:sz w:val="24"/>
        </w:rPr>
        <w:t>means any day except Saturday, Sunday or any day on which banks are generally not open for business in the city of Alpharetta, Georgia.</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CERCLA</w:t>
      </w:r>
      <w:r>
        <w:rPr>
          <w:rFonts w:ascii="Arial;Helvetica;sans-serif" w:hAnsi="Arial;Helvetica;sans-serif"/>
          <w:sz w:val="21"/>
        </w:rPr>
        <w:t xml:space="preserve">” </w:t>
      </w:r>
      <w:r>
        <w:rPr>
          <w:rFonts w:ascii="Times New Roman;Times;serif" w:hAnsi="Times New Roman;Times;serif"/>
          <w:sz w:val="24"/>
        </w:rPr>
        <w:t xml:space="preserve">means the Comprehensive Environmental Response, Compensation and Liability Act, 42 U.S.C. §§ 9601 </w:t>
      </w:r>
      <w:r>
        <w:rPr>
          <w:rFonts w:ascii="Times New Roman;Times;serif" w:hAnsi="Times New Roman;Times;serif"/>
          <w:sz w:val="24"/>
          <w:u w:val="single"/>
        </w:rPr>
        <w:t>et</w:t>
      </w:r>
      <w:r>
        <w:rPr>
          <w:rFonts w:ascii="Arial;Helvetica;sans-serif" w:hAnsi="Arial;Helvetica;sans-serif"/>
          <w:sz w:val="21"/>
        </w:rPr>
        <w:t xml:space="preserve"> </w:t>
      </w:r>
      <w:r>
        <w:rPr>
          <w:rFonts w:ascii="Times New Roman;Times;serif" w:hAnsi="Times New Roman;Times;serif"/>
          <w:sz w:val="24"/>
          <w:u w:val="single"/>
        </w:rPr>
        <w:t>seq</w:t>
      </w:r>
      <w:r>
        <w:rPr>
          <w:rFonts w:ascii="Times New Roman;Times;serif" w:hAnsi="Times New Roman;Times;serif"/>
          <w:sz w:val="24"/>
        </w:rPr>
        <w:t>., any amendments thereto, any successor statutes and any regulations promulgated thereunder.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Claims Period</w:t>
      </w:r>
      <w:r>
        <w:rPr>
          <w:rFonts w:ascii="Arial;Helvetica;sans-serif" w:hAnsi="Arial;Helvetica;sans-serif"/>
          <w:sz w:val="21"/>
        </w:rPr>
        <w:t xml:space="preserve">” </w:t>
      </w:r>
      <w:r>
        <w:rPr>
          <w:rFonts w:ascii="Times New Roman;Times;serif" w:hAnsi="Times New Roman;Times;serif"/>
          <w:sz w:val="24"/>
        </w:rPr>
        <w:t>means the period during which a claim for indemnification may be asserted hereunder by any Indemnified Party.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Code</w:t>
      </w:r>
      <w:r>
        <w:rPr>
          <w:rFonts w:ascii="Arial;Helvetica;sans-serif" w:hAnsi="Arial;Helvetica;sans-serif"/>
          <w:sz w:val="21"/>
        </w:rPr>
        <w:t xml:space="preserve">” </w:t>
      </w:r>
      <w:r>
        <w:rPr>
          <w:rFonts w:ascii="Times New Roman;Times;serif" w:hAnsi="Times New Roman;Times;serif"/>
          <w:sz w:val="24"/>
        </w:rPr>
        <w:t>means the United States Internal Revenue Code of 1986, as amended.</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Ancillary Documents</w:t>
      </w:r>
      <w:r>
        <w:rPr>
          <w:rFonts w:ascii="Arial;Helvetica;sans-serif" w:hAnsi="Arial;Helvetica;sans-serif"/>
          <w:sz w:val="21"/>
        </w:rPr>
        <w:t xml:space="preserve">” </w:t>
      </w:r>
      <w:r>
        <w:rPr>
          <w:rFonts w:ascii="Times New Roman;Times;serif" w:hAnsi="Times New Roman;Times;serif"/>
          <w:sz w:val="24"/>
        </w:rPr>
        <w:t>means any certificate, agreement, document or other instrument, other than this Agreement, to be executed and delivered by the Company or the Sellers at Closing in connection with the transactions contemplated hereby, including the Acquisition.</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Intellectual Property</w:t>
      </w:r>
      <w:r>
        <w:rPr>
          <w:rFonts w:ascii="Arial;Helvetica;sans-serif" w:hAnsi="Arial;Helvetica;sans-serif"/>
          <w:sz w:val="21"/>
        </w:rPr>
        <w:t xml:space="preserve">” </w:t>
      </w:r>
      <w:r>
        <w:rPr>
          <w:rFonts w:ascii="Times New Roman;Times;serif" w:hAnsi="Times New Roman;Times;serif"/>
          <w:sz w:val="24"/>
        </w:rPr>
        <w:t>means any Intellectual Property that is owned by or licensed to the Company, including the Company Software.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Licensed Software</w:t>
      </w:r>
      <w:r>
        <w:rPr>
          <w:rFonts w:ascii="Arial;Helvetica;sans-serif" w:hAnsi="Arial;Helvetica;sans-serif"/>
          <w:sz w:val="21"/>
        </w:rPr>
        <w:t xml:space="preserve">” </w:t>
      </w:r>
      <w:r>
        <w:rPr>
          <w:rFonts w:ascii="Times New Roman;Times;serif" w:hAnsi="Times New Roman;Times;serif"/>
          <w:sz w:val="24"/>
        </w:rPr>
        <w:t>means all Software (other than Company Proprietary Software) licensed to and used by the Company.</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Company Material Adverse Effect</w:t>
      </w:r>
      <w:r>
        <w:rPr>
          <w:rFonts w:ascii="Arial;Helvetica;sans-serif" w:hAnsi="Arial;Helvetica;sans-serif"/>
          <w:sz w:val="21"/>
        </w:rPr>
        <w:t xml:space="preserve">” </w:t>
      </w:r>
      <w:r>
        <w:rPr>
          <w:rFonts w:ascii="Times New Roman;Times;serif" w:hAnsi="Times New Roman;Times;serif"/>
          <w:sz w:val="24"/>
        </w:rPr>
        <w:t xml:space="preserve">means any fact, circumstance, event, change, effect or occurrence that, individually or in the aggregate, has had a material adverse effect on the assets, Liabilities, properties, operations, Business, or financial condition of the Company, considered as a whole;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no facts, circumstances, events, changes, effects or occurrences resulting from, relating to or arising out of the following shall be deemed to be or constitute a Company Material Adverse Effect or shall be taken into account when determining whether there has, may, would or could have occurred a Company Material Adverse Effect: (a) the effect of any change generally affecting the industries in which the Company operates as of the date hereof (including general pricing changes), (b) the effect of any change in the economy or the financial or securities markets in the United States or elsewhere in the world, (c) the effect of any outbreak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or escalation of hostilities, declared or undeclared acts of war, sabotage or terrorism, (d) any change in Laws or accounting rules or principles, (e) the execution and delivery of this Agreement or the announcement and performance hereunder (including any cancellations or delays in contract awards any impact on relationships with customers, subcontractors, suppliers or employees), (f) any acts or failure to take action, or such other events or circumstances to which Purchaser has consented or that are permitted, prohibited, or required by this Agreement, or (g) any damage, destruction, impairment, or other loss of or with respect to any asset to the extent covered by insurance, except in the cases of clauses (a), (b) or (c), to the extent the effect of any such changes disproportionately and materially impact the operations, Business or financial condition of the Company, considered as a whole, relative to other participants in the industry in which the Company operates.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Proprietary Software</w:t>
      </w:r>
      <w:r>
        <w:rPr>
          <w:rFonts w:ascii="Arial;Helvetica;sans-serif" w:hAnsi="Arial;Helvetica;sans-serif"/>
          <w:sz w:val="21"/>
        </w:rPr>
        <w:t xml:space="preserve">” </w:t>
      </w:r>
      <w:r>
        <w:rPr>
          <w:rFonts w:ascii="Times New Roman;Times;serif" w:hAnsi="Times New Roman;Times;serif"/>
          <w:sz w:val="24"/>
        </w:rPr>
        <w:t>means all Software owned by the Company.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Registered Intellectual Property</w:t>
      </w:r>
      <w:r>
        <w:rPr>
          <w:rFonts w:ascii="Arial;Helvetica;sans-serif" w:hAnsi="Arial;Helvetica;sans-serif"/>
          <w:sz w:val="21"/>
        </w:rPr>
        <w:t xml:space="preserve">” </w:t>
      </w:r>
      <w:r>
        <w:rPr>
          <w:rFonts w:ascii="Times New Roman;Times;serif" w:hAnsi="Times New Roman;Times;serif"/>
          <w:sz w:val="24"/>
        </w:rPr>
        <w:t>means all Registered Intellectual Property owned by or filed in the name of the Company.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Company Software</w:t>
      </w:r>
      <w:r>
        <w:rPr>
          <w:rFonts w:ascii="Arial;Helvetica;sans-serif" w:hAnsi="Arial;Helvetica;sans-serif"/>
          <w:sz w:val="21"/>
        </w:rPr>
        <w:t xml:space="preserve">” </w:t>
      </w:r>
      <w:r>
        <w:rPr>
          <w:rFonts w:ascii="Times New Roman;Times;serif" w:hAnsi="Times New Roman;Times;serif"/>
          <w:sz w:val="24"/>
        </w:rPr>
        <w:t>means either the Company Licensed Software or the Company Proprietary Software.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Contract</w:t>
      </w:r>
      <w:r>
        <w:rPr>
          <w:rFonts w:ascii="Arial;Helvetica;sans-serif" w:hAnsi="Arial;Helvetica;sans-serif"/>
          <w:sz w:val="21"/>
        </w:rPr>
        <w:t xml:space="preserve">” </w:t>
      </w:r>
      <w:r>
        <w:rPr>
          <w:rFonts w:ascii="Times New Roman;Times;serif" w:hAnsi="Times New Roman;Times;serif"/>
          <w:sz w:val="24"/>
        </w:rPr>
        <w:t>means any written or oral contract, agreement, arrangement, commitment, license, lease, easement, right of way, guaranty, distribution agreement, product swap agreement, customer contract, sales contract, supply agreement, or any other contract, agreement or arrangement of any kind, including all transferable rights under warranties and guarantees, express or implied, contained therein.</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Control</w:t>
      </w:r>
      <w:r>
        <w:rPr>
          <w:rFonts w:ascii="Arial;Helvetica;sans-serif" w:hAnsi="Arial;Helvetica;sans-serif"/>
          <w:sz w:val="21"/>
        </w:rPr>
        <w:t xml:space="preserve">” </w:t>
      </w:r>
      <w:r>
        <w:rPr>
          <w:rFonts w:ascii="Times New Roman;Times;serif" w:hAnsi="Times New Roman;Times;serif"/>
          <w:sz w:val="24"/>
        </w:rPr>
        <w:t>means, when used with respect to any specified Person, the power to direct the management and policies of such Person, directly or indirectly, whether through the ownership of voting securities, by Contract or otherwise.  The terms “</w:t>
      </w:r>
      <w:r>
        <w:rPr>
          <w:rFonts w:ascii="Times New Roman;Times;serif" w:hAnsi="Times New Roman;Times;serif"/>
          <w:sz w:val="24"/>
          <w:u w:val="single"/>
        </w:rPr>
        <w:t>Controlling</w:t>
      </w:r>
      <w:r>
        <w:rPr>
          <w:rFonts w:ascii="Arial;Helvetica;sans-serif" w:hAnsi="Arial;Helvetica;sans-serif"/>
          <w:sz w:val="21"/>
        </w:rPr>
        <w:t xml:space="preserve">” </w:t>
      </w:r>
      <w:r>
        <w:rPr>
          <w:rFonts w:ascii="Times New Roman;Times;serif" w:hAnsi="Times New Roman;Times;serif"/>
          <w:sz w:val="24"/>
        </w:rPr>
        <w:t>and “</w:t>
      </w:r>
      <w:r>
        <w:rPr>
          <w:rFonts w:ascii="Times New Roman;Times;serif" w:hAnsi="Times New Roman;Times;serif"/>
          <w:sz w:val="24"/>
          <w:u w:val="single"/>
        </w:rPr>
        <w:t>Controlled</w:t>
      </w:r>
      <w:r>
        <w:rPr>
          <w:rFonts w:ascii="Arial;Helvetica;sans-serif" w:hAnsi="Arial;Helvetica;sans-serif"/>
          <w:sz w:val="21"/>
        </w:rPr>
        <w:t xml:space="preserve">” </w:t>
      </w:r>
      <w:r>
        <w:rPr>
          <w:rFonts w:ascii="Times New Roman;Times;serif" w:hAnsi="Times New Roman;Times;serif"/>
          <w:sz w:val="24"/>
        </w:rPr>
        <w:t>have correlative meanings.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Customers</w:t>
      </w:r>
      <w:r>
        <w:rPr>
          <w:rFonts w:ascii="Arial;Helvetica;sans-serif" w:hAnsi="Arial;Helvetica;sans-serif"/>
          <w:sz w:val="21"/>
        </w:rPr>
        <w:t xml:space="preserve">” </w:t>
      </w:r>
      <w:r>
        <w:rPr>
          <w:rFonts w:ascii="Times New Roman;Times;serif" w:hAnsi="Times New Roman;Times;serif"/>
          <w:sz w:val="24"/>
        </w:rPr>
        <w:t>means all of the customers of the Company.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Damages</w:t>
      </w:r>
      <w:r>
        <w:rPr>
          <w:rFonts w:ascii="Arial;Helvetica;sans-serif" w:hAnsi="Arial;Helvetica;sans-serif"/>
          <w:sz w:val="21"/>
        </w:rPr>
        <w:t xml:space="preserve">” </w:t>
      </w:r>
      <w:r>
        <w:rPr>
          <w:rFonts w:ascii="Times New Roman;Times;serif" w:hAnsi="Times New Roman;Times;serif"/>
          <w:sz w:val="24"/>
        </w:rPr>
        <w:t>means any damage, loss, Liability, assessment, levy, fine, charge, claim, demand, action, suit, proceeding, payment, judgment, settlement, penalty, cost or expense, including reasonable expenses and attorneys’ fees and expenses in connection with investigating, defending, settling or satisfying any and all Proceedings, Litigation or Orders, and in seeking indemnification, compensation or reimbursement therefor.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Employment Agreements</w:t>
      </w:r>
      <w:r>
        <w:rPr>
          <w:rFonts w:ascii="Arial;Helvetica;sans-serif" w:hAnsi="Arial;Helvetica;sans-serif"/>
          <w:sz w:val="21"/>
        </w:rPr>
        <w:t xml:space="preserve">” </w:t>
      </w:r>
      <w:r>
        <w:rPr>
          <w:rFonts w:ascii="Times New Roman;Times;serif" w:hAnsi="Times New Roman;Times;serif"/>
          <w:sz w:val="24"/>
        </w:rPr>
        <w:t>means any employment contract, consulting agreement, termination or severance agreement, change of control agreement, non-compete agreement, non-solicitation agreement, or any other agreement or understanding (written or oral) respecting the terms and conditions of employment or payment of compensation, or of a consulting or independent contractor relationship, in respect of any current or former officer, employee, consultant or independent contractor.</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Employment Laws</w:t>
      </w:r>
      <w:r>
        <w:rPr>
          <w:rFonts w:ascii="Arial;Helvetica;sans-serif" w:hAnsi="Arial;Helvetica;sans-serif"/>
          <w:sz w:val="21"/>
        </w:rPr>
        <w:t xml:space="preserve">” </w:t>
      </w:r>
      <w:r>
        <w:rPr>
          <w:rFonts w:ascii="Times New Roman;Times;serif" w:hAnsi="Times New Roman;Times;serif"/>
          <w:sz w:val="24"/>
        </w:rPr>
        <w:t xml:space="preserve">means all Laws in effect at or prior to Closing relating to employees and independent contractors and their employment, or rendition of services, including but not limited to health, labor, labor/management relations, occupational health and safety, pay equity,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 xml:space="preserve">equal opportunity, discrimination, immigration, employment standards, benefits, workers’ compensation, wages, hours, collective bargaining, and the payment of social security and similar Taxes. </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Environmental Claims</w:t>
      </w:r>
      <w:r>
        <w:rPr>
          <w:rFonts w:ascii="Arial;Helvetica;sans-serif" w:hAnsi="Arial;Helvetica;sans-serif"/>
          <w:sz w:val="21"/>
        </w:rPr>
        <w:t xml:space="preserve">” </w:t>
      </w:r>
      <w:r>
        <w:rPr>
          <w:rFonts w:ascii="Times New Roman;Times;serif" w:hAnsi="Times New Roman;Times;serif"/>
          <w:sz w:val="24"/>
        </w:rPr>
        <w:t>means any complaint, summons, citation, notice, directive, Order, ruling, claim, litigation, investigation, judicial or administrative proceeding, judgment, letter or other communication from any Governmental Entity or any third party involving actual, potential or alleged violations of or liability under Environmental Laws or Releases of Hazardous Substances, and any information request from a Governmental Entity issued pursuant to any Environmental Law.</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Environmental Law</w:t>
      </w:r>
      <w:r>
        <w:rPr>
          <w:rFonts w:ascii="Arial;Helvetica;sans-serif" w:hAnsi="Arial;Helvetica;sans-serif"/>
          <w:sz w:val="21"/>
        </w:rPr>
        <w:t xml:space="preserve">” </w:t>
      </w:r>
      <w:r>
        <w:rPr>
          <w:rFonts w:ascii="Times New Roman;Times;serif" w:hAnsi="Times New Roman;Times;serif"/>
          <w:sz w:val="24"/>
        </w:rPr>
        <w:t>means any Law relating to the regulation or protection of human health, safety or the environment or to emissions, discharges, releases or threatened releases of pollutants, contaminants, chemicals or industrial, toxic or hazardous substances or wastes into the environment (including without limitation, ambient air, soil, surface water, ground water, wetlands, land or subsurface strata), or otherwise relating to the manufacture, processing, distribution, use, treatment, storage, disposal, transport or handling of pollutants, contaminants, chemicals or industrial, toxic or Hazardous Substances (including without limitation, CERCLA, RCRA, and rule or regulation promulgated by the United States Occupational Safety and Health Administration and equivalent or similar state, local or foreign law).</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ERISA</w:t>
      </w:r>
      <w:r>
        <w:rPr>
          <w:rFonts w:ascii="Arial;Helvetica;sans-serif" w:hAnsi="Arial;Helvetica;sans-serif"/>
          <w:sz w:val="21"/>
        </w:rPr>
        <w:t xml:space="preserve">” </w:t>
      </w:r>
      <w:r>
        <w:rPr>
          <w:rFonts w:ascii="Times New Roman;Times;serif" w:hAnsi="Times New Roman;Times;serif"/>
          <w:sz w:val="24"/>
        </w:rPr>
        <w:t>means the Employee Retirement Income Security Act of 1974, as amended, and all rules and regulations promulgated thereunder.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Financial Statements</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Foreign Official</w:t>
      </w:r>
      <w:r>
        <w:rPr>
          <w:rFonts w:ascii="Arial;Helvetica;sans-serif" w:hAnsi="Arial;Helvetica;sans-serif"/>
          <w:sz w:val="21"/>
        </w:rPr>
        <w:t xml:space="preserve">” </w:t>
      </w:r>
      <w:r>
        <w:rPr>
          <w:rFonts w:ascii="Times New Roman;Times;serif" w:hAnsi="Times New Roman;Times;serif"/>
          <w:sz w:val="24"/>
        </w:rPr>
        <w:t>means any officer or employee of a foreign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 or any political party or official thereof, or any candidate for political or political party office.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Fraud</w:t>
      </w:r>
      <w:r>
        <w:rPr>
          <w:rFonts w:ascii="Arial;Helvetica;sans-serif" w:hAnsi="Arial;Helvetica;sans-serif"/>
          <w:sz w:val="21"/>
        </w:rPr>
        <w:t xml:space="preserve">” </w:t>
      </w:r>
      <w:r>
        <w:rPr>
          <w:rFonts w:ascii="Times New Roman;Times;serif" w:hAnsi="Times New Roman;Times;serif"/>
          <w:sz w:val="24"/>
        </w:rPr>
        <w:t>means an actual and intentional misrepresentation of a material fact constituting common law fraud under applicable Law, made by a party</w:t>
      </w:r>
      <w:r>
        <w:rPr>
          <w:rFonts w:ascii="Arial;Helvetica;sans-serif" w:hAnsi="Arial;Helvetica;sans-serif"/>
          <w:sz w:val="21"/>
        </w:rPr>
        <w:t xml:space="preserve"> </w:t>
      </w:r>
      <w:r>
        <w:rPr>
          <w:rFonts w:ascii="Times New Roman;Times;serif" w:hAnsi="Times New Roman;Times;serif"/>
          <w:sz w:val="24"/>
        </w:rPr>
        <w:t>in the express representations and warranties set forth in this Agreement, with actual knowledge of its falsity</w:t>
      </w:r>
      <w:r>
        <w:rPr>
          <w:rFonts w:ascii="Arial;Helvetica;sans-serif" w:hAnsi="Arial;Helvetica;sans-serif"/>
          <w:sz w:val="21"/>
        </w:rPr>
        <w:t xml:space="preserve"> </w:t>
      </w:r>
      <w:r>
        <w:rPr>
          <w:rFonts w:ascii="Times New Roman;Times;serif" w:hAnsi="Times New Roman;Times;serif"/>
          <w:sz w:val="24"/>
        </w:rPr>
        <w:t>and with the intent to induce another party to rely thereon, upon which such other party actually and justifiably relies to its detriment; provided, however, that (a) “Fraud” shall be limited solely to the actual (and not constructive, imputed, or collective) knowledge and intent of the individuals making the representation at issue, and (b) “Fraud” shall not include any claim based on negligence, recklessness, constructive fraud, equitable fraud, promissory fraud, or any other theory of fraud not requiring actual knowledge of falsity and intent to deceive.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GAAP</w:t>
      </w:r>
      <w:r>
        <w:rPr>
          <w:rFonts w:ascii="Arial;Helvetica;sans-serif" w:hAnsi="Arial;Helvetica;sans-serif"/>
          <w:sz w:val="21"/>
        </w:rPr>
        <w:t xml:space="preserve">” </w:t>
      </w:r>
      <w:r>
        <w:rPr>
          <w:rFonts w:ascii="Times New Roman;Times;serif" w:hAnsi="Times New Roman;Times;serif"/>
          <w:sz w:val="24"/>
        </w:rPr>
        <w:t xml:space="preserve">means generally accepted accounting principles as applied in the United States of America. </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Government Bid</w:t>
      </w:r>
      <w:r>
        <w:rPr>
          <w:rFonts w:ascii="Arial;Helvetica;sans-serif" w:hAnsi="Arial;Helvetica;sans-serif"/>
          <w:sz w:val="21"/>
        </w:rPr>
        <w:t xml:space="preserve">” </w:t>
      </w:r>
      <w:r>
        <w:rPr>
          <w:rFonts w:ascii="Times New Roman;Times;serif" w:hAnsi="Times New Roman;Times;serif"/>
          <w:sz w:val="24"/>
        </w:rPr>
        <w:t xml:space="preserve">means any bid that if accepted or awarded would result in a contract or agreement with (a) any Governmental Entity, (b) any prime contractor to any Governmental Entity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in its capacity as a prime contractor, or (c) any subcontractor with respect to any contract of the type described in clauses (a) and (b) above.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Government Contract</w:t>
      </w:r>
      <w:r>
        <w:rPr>
          <w:rFonts w:ascii="Arial;Helvetica;sans-serif" w:hAnsi="Arial;Helvetica;sans-serif"/>
          <w:sz w:val="21"/>
        </w:rPr>
        <w:t xml:space="preserve">” </w:t>
      </w:r>
      <w:r>
        <w:rPr>
          <w:rFonts w:ascii="Times New Roman;Times;serif" w:hAnsi="Times New Roman;Times;serif"/>
          <w:sz w:val="24"/>
        </w:rPr>
        <w:t>means any contract or agreement between the Company and (a) any Governmental Entity, (b) any prime contractor to any Governmental Entity in its capacity as a prime contractor, or (c) any subcontractor with respect to any contract of the type described in clauses (a) and (b) above.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Governmental Entity</w:t>
      </w:r>
      <w:r>
        <w:rPr>
          <w:rFonts w:ascii="Arial;Helvetica;sans-serif" w:hAnsi="Arial;Helvetica;sans-serif"/>
          <w:sz w:val="21"/>
        </w:rPr>
        <w:t xml:space="preserve">” </w:t>
      </w:r>
      <w:r>
        <w:rPr>
          <w:rFonts w:ascii="Times New Roman;Times;serif" w:hAnsi="Times New Roman;Times;serif"/>
          <w:sz w:val="24"/>
        </w:rPr>
        <w:t>means any federal, state or local or foreign government, any political subdivision thereof or any court, administrative or regulatory agency, department, instrumentality, body or commission or other governmental authority or agency, domestic or foreign.</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Hazardous Substances</w:t>
      </w:r>
      <w:r>
        <w:rPr>
          <w:rFonts w:ascii="Arial;Helvetica;sans-serif" w:hAnsi="Arial;Helvetica;sans-serif"/>
          <w:sz w:val="21"/>
        </w:rPr>
        <w:t xml:space="preserve">” </w:t>
      </w:r>
      <w:r>
        <w:rPr>
          <w:rFonts w:ascii="Times New Roman;Times;serif" w:hAnsi="Times New Roman;Times;serif"/>
          <w:sz w:val="24"/>
        </w:rPr>
        <w:t>means any wastes, substances, radiation, or materials (whether solids, liquids or gases):  (a) which are hazardous, toxic, infectious, explosive, radioactive, carcinogenic, or mutagenic pursuant to any Environmental Law; (b) which are or become defined as “pollutants,” “contaminants,” “hazardous materials,” “hazardous wastes,” “hazardous substances,” “toxic substances,” “radioactive materials,” “solid wastes,” or other similar designations in, or otherwise subject to regulation under, any Environmental Law; (c) the presence of which on, under or emanating from the Leased Real Property would be subject to applicable statutory or common laws; (d) which contain, without limitation, polychlorinated biphenyls (PCBs), mold, methyl-tertiary butyl ether (MTBE), asbestos or asbestos-containing materials, lead-based paints, urea-formaldehyde foam insulation, or petroleum or petroleum products (including crude oil or any fraction thereof); or (e) which have been deemed to pose a hazard to human health, safety, natural resources, employees or the environment under any Environmental Law.</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Holdback Amount</w:t>
      </w:r>
      <w:r>
        <w:rPr>
          <w:rFonts w:ascii="Arial;Helvetica;sans-serif" w:hAnsi="Arial;Helvetica;sans-serif"/>
          <w:sz w:val="21"/>
        </w:rPr>
        <w:t xml:space="preserve">” </w:t>
      </w:r>
      <w:r>
        <w:rPr>
          <w:rFonts w:ascii="Times New Roman;Times;serif" w:hAnsi="Times New Roman;Times;serif"/>
          <w:sz w:val="24"/>
        </w:rPr>
        <w:t>has the meaning set forth in Section 2.2(a).</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Indebtedness</w:t>
      </w:r>
      <w:r>
        <w:rPr>
          <w:rFonts w:ascii="Arial;Helvetica;sans-serif" w:hAnsi="Arial;Helvetica;sans-serif"/>
          <w:sz w:val="21"/>
        </w:rPr>
        <w:t xml:space="preserve">” </w:t>
      </w:r>
      <w:r>
        <w:rPr>
          <w:rFonts w:ascii="Times New Roman;Times;serif" w:hAnsi="Times New Roman;Times;serif"/>
          <w:sz w:val="24"/>
        </w:rPr>
        <w:t xml:space="preserve">means, without duplication, with respect to the Company, the sum of (a) all obligations of the Company for borrowed money or issued in substitution for or exchange of indebtedness for borrowed money, including intercompany and shareholder indebtedness; (b) other indebtedness of the Company evidenced by notes, bonds, debentures or other debt securities; (c) indebtedness of the types described in clauses (a) and (b) guaranteed, directly or indirectly, in any manner by the Company through an agreement, contingent or otherwise, to supply funds to, or in any other manner invest in, the debtor, or to purchase indebtedness, primarily for the purpose of enabling the debtor to make payment of the indebtedness or to insure the owners of indebtedness against loss; (d) indebtedness for the deferred purchase price of property or services with respect to which the Company is liable, contingently or otherwise, other than ordinary course trade payables (and, for the avoidance of doubt, excluding (i) any equipment that is purchased by Company on behalf of customers as a service in the ordinary course of business that is not titled in the Company’s name, and (ii) any customer deposits, advance payments, or any deferred revenue or inventory relating to [REDACTED] and [REDACTED] contracts pertaining to EMS equipment, Mini-split equipment and project management fees on associated HVAC unit installations); (e) all obligations of the Company as lessee or lessees under finance leases (and, for the avoidance of doubt, excluding any operating lease obligations or right-of-use lease liabilities arising solely under ASC 842 or similar accounting standards); (f) all payment obligations under any interest rate swap agreements or interest rate hedge agreements to which the Company is party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or by which the Company is otherwise bound; (g) any interest owed with respect to the indebtedness referred to above and prepayment premiums or fees related thereto; (h) any declared but unpaid dividends or distributions; (i) all obligations relating to employees or service providers that are accrued and payable as of the Closing Date (including personal leave, bonuses, commissions and severance obligations accrued as of the Closing Date), but excluding any obligations that arise or accrue after the Closing Date, whether or not attributable in whole or in part to a pre-Closing period; and (j) all obligations actually drawn or called under any letter of credit, banker's acceptance, guarantee, or surety arrangement; provided, however, that for the avoidance of doubt, any performance bond, bid bond, appeal bond or similar instrument that has not been drawn upon or called as of the Closing Date shall not constitute Indebtedness.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Fundamental Purchaser Claims</w:t>
      </w:r>
      <w:r>
        <w:rPr>
          <w:rFonts w:ascii="Arial;Helvetica;sans-serif" w:hAnsi="Arial;Helvetica;sans-serif"/>
          <w:sz w:val="21"/>
        </w:rPr>
        <w:t xml:space="preserve">” </w:t>
      </w:r>
      <w:r>
        <w:rPr>
          <w:rFonts w:ascii="Times New Roman;Times;serif" w:hAnsi="Times New Roman;Times;serif"/>
          <w:sz w:val="24"/>
        </w:rPr>
        <w:t>means any claim by the Purchaser under Article VIII hereof for Purchaser Losses arising out of or relating to (a) a breach or inaccuracy of any representation or warranty contained in the first sentence in Section 3.1 (</w:t>
      </w:r>
      <w:r>
        <w:rPr>
          <w:rFonts w:ascii="Times New Roman;Times;serif" w:hAnsi="Times New Roman;Times;serif"/>
          <w:i/>
          <w:sz w:val="24"/>
        </w:rPr>
        <w:t>Organization</w:t>
      </w:r>
      <w:r>
        <w:rPr>
          <w:rFonts w:ascii="Times New Roman;Times;serif" w:hAnsi="Times New Roman;Times;serif"/>
          <w:sz w:val="24"/>
        </w:rPr>
        <w:t>), Section 3.2 (</w:t>
      </w:r>
      <w:r>
        <w:rPr>
          <w:rFonts w:ascii="Times New Roman;Times;serif" w:hAnsi="Times New Roman;Times;serif"/>
          <w:i/>
          <w:sz w:val="24"/>
        </w:rPr>
        <w:t>Authorization</w:t>
      </w:r>
      <w:r>
        <w:rPr>
          <w:rFonts w:ascii="Times New Roman;Times;serif" w:hAnsi="Times New Roman;Times;serif"/>
          <w:sz w:val="24"/>
        </w:rPr>
        <w:t>), Section 3.3 (</w:t>
      </w:r>
      <w:r>
        <w:rPr>
          <w:rFonts w:ascii="Times New Roman;Times;serif" w:hAnsi="Times New Roman;Times;serif"/>
          <w:i/>
          <w:sz w:val="24"/>
        </w:rPr>
        <w:t>Purchased Interests</w:t>
      </w:r>
      <w:r>
        <w:rPr>
          <w:rFonts w:ascii="Times New Roman;Times;serif" w:hAnsi="Times New Roman;Times;serif"/>
          <w:sz w:val="24"/>
        </w:rPr>
        <w:t>), Section 3.4(a)(i) (</w:t>
      </w:r>
      <w:r>
        <w:rPr>
          <w:rFonts w:ascii="Times New Roman;Times;serif" w:hAnsi="Times New Roman;Times;serif"/>
          <w:i/>
          <w:sz w:val="24"/>
        </w:rPr>
        <w:t>Absence of Restrictions and Conflicts</w:t>
      </w:r>
      <w:r>
        <w:rPr>
          <w:rFonts w:ascii="Times New Roman;Times;serif" w:hAnsi="Times New Roman;Times;serif"/>
          <w:sz w:val="24"/>
        </w:rPr>
        <w:t>), Section 4.1 (</w:t>
      </w:r>
      <w:r>
        <w:rPr>
          <w:rFonts w:ascii="Times New Roman;Times;serif" w:hAnsi="Times New Roman;Times;serif"/>
          <w:i/>
          <w:sz w:val="24"/>
        </w:rPr>
        <w:t>Authorization</w:t>
      </w:r>
      <w:r>
        <w:rPr>
          <w:rFonts w:ascii="Times New Roman;Times;serif" w:hAnsi="Times New Roman;Times;serif"/>
          <w:sz w:val="24"/>
        </w:rPr>
        <w:t>), or Section 4.3 (</w:t>
      </w:r>
      <w:r>
        <w:rPr>
          <w:rFonts w:ascii="Times New Roman;Times;serif" w:hAnsi="Times New Roman;Times;serif"/>
          <w:i/>
          <w:sz w:val="24"/>
        </w:rPr>
        <w:t>Ownership of Membership Interests</w:t>
      </w:r>
      <w:r>
        <w:rPr>
          <w:rFonts w:ascii="Times New Roman;Times;serif" w:hAnsi="Times New Roman;Times;serif"/>
          <w:sz w:val="24"/>
        </w:rPr>
        <w:t>), or (b) Fraud.</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Intellectual Property</w:t>
      </w:r>
      <w:r>
        <w:rPr>
          <w:rFonts w:ascii="Arial;Helvetica;sans-serif" w:hAnsi="Arial;Helvetica;sans-serif"/>
          <w:sz w:val="21"/>
        </w:rPr>
        <w:t xml:space="preserve">” </w:t>
      </w:r>
      <w:r>
        <w:rPr>
          <w:rFonts w:ascii="Times New Roman;Times;serif" w:hAnsi="Times New Roman;Times;serif"/>
          <w:sz w:val="24"/>
        </w:rPr>
        <w:t>means all intellectual property rights of the Company, including: (a) all United States and foreign patents and applications therefor and all reissues, divisions, renewals, extensions, provisionals, continuations and continuations-in-part thereof; (b) all inventions (whether patentable or not), invention disclosures, improvements, mask works, trade secrets, manufacturing processes, test and qualification processes, designs, drawings, schematics, proprietary information, know-how, technology, technical data and customer lists, and all documentation to the extent embodying any of the foregoing throughout the world; (c) all works of authorship (whether copyrightable or not), copyrights, copyright registrations and applications therefor throughout the world; (d) all industrial designs and any registrations and applications therefor throughout the world; (e) all Software; (f) all internet uniform resource locators, domain names, trade names, logos, slogans, designs, trade dress, common law trademarks and service marks, trademark and service mark and trade dress registrations and applications therefor throughout the world; (g) all databases and data collections and all rights therein throughout the world.</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Interim Balance Sheet</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Interim Balance Sheet Date</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Interim Financial Statements</w:t>
      </w:r>
      <w:r>
        <w:rPr>
          <w:rFonts w:ascii="Arial;Helvetica;sans-serif" w:hAnsi="Arial;Helvetica;sans-serif"/>
          <w:sz w:val="21"/>
        </w:rPr>
        <w:t xml:space="preserve">” </w:t>
      </w:r>
      <w:r>
        <w:rPr>
          <w:rFonts w:ascii="Times New Roman;Times;serif" w:hAnsi="Times New Roman;Times;serif"/>
          <w:sz w:val="24"/>
        </w:rPr>
        <w:t>has the meaning set forth in section 3.7.</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IRS</w:t>
      </w:r>
      <w:r>
        <w:rPr>
          <w:rFonts w:ascii="Arial;Helvetica;sans-serif" w:hAnsi="Arial;Helvetica;sans-serif"/>
          <w:sz w:val="21"/>
        </w:rPr>
        <w:t xml:space="preserve">” </w:t>
      </w:r>
      <w:r>
        <w:rPr>
          <w:rFonts w:ascii="Times New Roman;Times;serif" w:hAnsi="Times New Roman;Times;serif"/>
          <w:sz w:val="24"/>
        </w:rPr>
        <w:t>means the United States Internal Revenue Service.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Knowledge of the Sellers</w:t>
      </w:r>
      <w:r>
        <w:rPr>
          <w:rFonts w:ascii="Arial;Helvetica;sans-serif" w:hAnsi="Arial;Helvetica;sans-serif"/>
          <w:sz w:val="21"/>
        </w:rPr>
        <w:t xml:space="preserve">” </w:t>
      </w:r>
      <w:r>
        <w:rPr>
          <w:rFonts w:ascii="Times New Roman;Times;serif" w:hAnsi="Times New Roman;Times;serif"/>
          <w:sz w:val="24"/>
        </w:rPr>
        <w:t>means the knowledge of each Seller, in each case, after (a) reasonable investigation of the Company’s Books and Records and (b) reasonable inquiry of any employees who would reasonably be expected to have knowledge of the event, condition, circumstance, act or other matter in question.    </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Laws</w:t>
      </w:r>
      <w:r>
        <w:rPr>
          <w:rFonts w:ascii="Arial;Helvetica;sans-serif" w:hAnsi="Arial;Helvetica;sans-serif"/>
          <w:sz w:val="21"/>
        </w:rPr>
        <w:t xml:space="preserve">” </w:t>
      </w:r>
      <w:r>
        <w:rPr>
          <w:rFonts w:ascii="Times New Roman;Times;serif" w:hAnsi="Times New Roman;Times;serif"/>
          <w:sz w:val="24"/>
        </w:rPr>
        <w:t>means all statutes, rules, codes, regulations, restrictions, ordinances, Orders, rulings (including common law rulings), approvals, or awards issued by any Governmental Entity.</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Leased Real Property</w:t>
      </w:r>
      <w:r>
        <w:rPr>
          <w:rFonts w:ascii="Arial;Helvetica;sans-serif" w:hAnsi="Arial;Helvetica;sans-serif"/>
          <w:sz w:val="21"/>
        </w:rPr>
        <w:t xml:space="preserve">” </w:t>
      </w:r>
      <w:r>
        <w:rPr>
          <w:rFonts w:ascii="Times New Roman;Times;serif" w:hAnsi="Times New Roman;Times;serif"/>
          <w:sz w:val="24"/>
        </w:rPr>
        <w:t>means those parcels of real property or portions thereof of which the Company is the lessee (together with those fixtures or improvements thereon that are included in the terms of the leases therefor).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Liability</w:t>
      </w:r>
      <w:r>
        <w:rPr>
          <w:rFonts w:ascii="Arial;Helvetica;sans-serif" w:hAnsi="Arial;Helvetica;sans-serif"/>
          <w:sz w:val="21"/>
        </w:rPr>
        <w:t xml:space="preserve">” </w:t>
      </w:r>
      <w:r>
        <w:rPr>
          <w:rFonts w:ascii="Times New Roman;Times;serif" w:hAnsi="Times New Roman;Times;serif"/>
          <w:sz w:val="24"/>
        </w:rPr>
        <w:t>or “</w:t>
      </w:r>
      <w:r>
        <w:rPr>
          <w:rFonts w:ascii="Times New Roman;Times;serif" w:hAnsi="Times New Roman;Times;serif"/>
          <w:sz w:val="24"/>
          <w:u w:val="single"/>
        </w:rPr>
        <w:t>Liabilities</w:t>
      </w:r>
      <w:r>
        <w:rPr>
          <w:rFonts w:ascii="Arial;Helvetica;sans-serif" w:hAnsi="Arial;Helvetica;sans-serif"/>
          <w:sz w:val="21"/>
        </w:rPr>
        <w:t xml:space="preserve">” </w:t>
      </w:r>
      <w:r>
        <w:rPr>
          <w:rFonts w:ascii="Times New Roman;Times;serif" w:hAnsi="Times New Roman;Times;serif"/>
          <w:sz w:val="24"/>
        </w:rPr>
        <w:t>means any and all debts, liabilities, commitments, obligations, duties or responsibilities of any kind and description, whether absolute or contingent, accrued or fixed, monetary or non-monetary, direct or indirect, known or unknown, or matured or unmatured, or of any other nature.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Licenses</w:t>
      </w:r>
      <w:r>
        <w:rPr>
          <w:rFonts w:ascii="Arial;Helvetica;sans-serif" w:hAnsi="Arial;Helvetica;sans-serif"/>
          <w:sz w:val="21"/>
        </w:rPr>
        <w:t xml:space="preserve">” </w:t>
      </w:r>
      <w:r>
        <w:rPr>
          <w:rFonts w:ascii="Times New Roman;Times;serif" w:hAnsi="Times New Roman;Times;serif"/>
          <w:sz w:val="24"/>
        </w:rPr>
        <w:t>means all notifications, licenses, permits, franchises, certificates, approvals, exemptions, classifications, registrations and other similar documents and authorizations issued by any Governmental Entity, and applications therefor.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Liens</w:t>
      </w:r>
      <w:r>
        <w:rPr>
          <w:rFonts w:ascii="Arial;Helvetica;sans-serif" w:hAnsi="Arial;Helvetica;sans-serif"/>
          <w:sz w:val="21"/>
        </w:rPr>
        <w:t xml:space="preserve">” </w:t>
      </w:r>
      <w:r>
        <w:rPr>
          <w:rFonts w:ascii="Times New Roman;Times;serif" w:hAnsi="Times New Roman;Times;serif"/>
          <w:sz w:val="24"/>
        </w:rPr>
        <w:t>means all mortgages, liens, pledges, security interests, charges, claims, and encumbrances of any nature whatsoever.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Litigation</w:t>
      </w:r>
      <w:r>
        <w:rPr>
          <w:rFonts w:ascii="Arial;Helvetica;sans-serif" w:hAnsi="Arial;Helvetica;sans-serif"/>
          <w:sz w:val="21"/>
        </w:rPr>
        <w:t xml:space="preserve">” </w:t>
      </w:r>
      <w:r>
        <w:rPr>
          <w:rFonts w:ascii="Times New Roman;Times;serif" w:hAnsi="Times New Roman;Times;serif"/>
          <w:sz w:val="24"/>
        </w:rPr>
        <w:t>means any litigation, legal action, arbitration, mediation, administrative or judicial proceeding, demand, or claim pending or, to the Knowledge of the Sellers, threatened, or, to the Knowledge of the Sellers, any investigation pending or threatened, against, affecting or brought by or against the Company, or any of the Company’s (i) assets or properties or (ii) present or former officers, directors, managers, employees or independent contractors, in each case in their capacities as such,  in any jurisdiction, foreign or domestic.</w:t>
      </w:r>
    </w:p>
    <w:p>
      <w:pPr>
        <w:pStyle w:val="TextBody"/>
        <w:bidi w:val="0"/>
        <w:spacing w:lineRule="auto" w:line="314" w:before="0" w:after="210"/>
        <w:ind w:left="0" w:right="0" w:firstLine="720"/>
        <w:jc w:val="both"/>
        <w:rPr/>
      </w:pPr>
      <w:r>
        <w:rPr/>
        <w: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Maximum Earnout</w:t>
      </w:r>
      <w:r>
        <w:rPr>
          <w:rFonts w:ascii="Arial;Helvetica;sans-serif" w:hAnsi="Arial;Helvetica;sans-serif"/>
          <w:sz w:val="21"/>
        </w:rPr>
        <w:t xml:space="preserve">” </w:t>
      </w:r>
      <w:r>
        <w:rPr>
          <w:rFonts w:ascii="Times New Roman;Times;serif" w:hAnsi="Times New Roman;Times;serif"/>
          <w:sz w:val="24"/>
        </w:rPr>
        <w:t>has the meaning set forth in Section 2.5.</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Membership Interests</w:t>
      </w:r>
      <w:r>
        <w:rPr>
          <w:rFonts w:ascii="Arial;Helvetica;sans-serif" w:hAnsi="Arial;Helvetica;sans-serif"/>
          <w:sz w:val="21"/>
        </w:rPr>
        <w:t xml:space="preserve">” </w:t>
      </w:r>
      <w:r>
        <w:rPr>
          <w:rFonts w:ascii="Times New Roman;Times;serif" w:hAnsi="Times New Roman;Times;serif"/>
          <w:sz w:val="24"/>
        </w:rPr>
        <w:t>means, with respect to any Person, (a) capital stock, partnership interests, other equity interests, rights to profits or revenue and any other similar interest in such Person,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Net Working Capital</w:t>
      </w:r>
      <w:r>
        <w:rPr>
          <w:rFonts w:ascii="Arial;Helvetica;sans-serif" w:hAnsi="Arial;Helvetica;sans-serif"/>
          <w:sz w:val="21"/>
        </w:rPr>
        <w:t xml:space="preserve">” </w:t>
      </w:r>
      <w:r>
        <w:rPr>
          <w:rFonts w:ascii="Times New Roman;Times;serif" w:hAnsi="Times New Roman;Times;serif"/>
          <w:sz w:val="24"/>
        </w:rPr>
        <w:t>means the Company’s current assets (including cash) less the Company’s current liabilities (excluding the current portion of any Indebtedness and any Transaction Expenses), in each case calculated in accordance with the Company’s historical accounting practices applied consistently with past practice, and excluding any deferred revenue or inventory relating to [REDACTED] and [REDACTED] contracts pertaining to EMS equipment, Mini-split equipment and project management fees on associated HVAC unit installations.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Order</w:t>
      </w:r>
      <w:r>
        <w:rPr>
          <w:rFonts w:ascii="Arial;Helvetica;sans-serif" w:hAnsi="Arial;Helvetica;sans-serif"/>
          <w:sz w:val="21"/>
        </w:rPr>
        <w:t xml:space="preserve">” </w:t>
      </w:r>
      <w:r>
        <w:rPr>
          <w:rFonts w:ascii="Times New Roman;Times;serif" w:hAnsi="Times New Roman;Times;serif"/>
          <w:sz w:val="24"/>
        </w:rPr>
        <w:t>means any order, ruling, decision, verdict, decree, writ, subpoena, mandate, precept, command, directive, consent, approval, award, judgment, injunction, or other similar determination or finding by, before or under the supervision of any Governmental Entity, arbitrator or mediator.</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Ordinary Course</w:t>
      </w:r>
      <w:r>
        <w:rPr>
          <w:rFonts w:ascii="Arial;Helvetica;sans-serif" w:hAnsi="Arial;Helvetica;sans-serif"/>
          <w:sz w:val="21"/>
        </w:rPr>
        <w:t xml:space="preserve">” </w:t>
      </w:r>
      <w:r>
        <w:rPr>
          <w:rFonts w:ascii="Times New Roman;Times;serif" w:hAnsi="Times New Roman;Times;serif"/>
          <w:sz w:val="24"/>
        </w:rPr>
        <w:t>means the ordinary course of business consistent with past practice of the Company.</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Permitted Liens</w:t>
      </w:r>
      <w:r>
        <w:rPr>
          <w:rFonts w:ascii="Arial;Helvetica;sans-serif" w:hAnsi="Arial;Helvetica;sans-serif"/>
          <w:sz w:val="21"/>
        </w:rPr>
        <w:t xml:space="preserve">” </w:t>
      </w:r>
      <w:r>
        <w:rPr>
          <w:rFonts w:ascii="Times New Roman;Times;serif" w:hAnsi="Times New Roman;Times;serif"/>
          <w:sz w:val="24"/>
        </w:rPr>
        <w:t>means (a) Liens for Taxes not yet due and payable or being contested in good faith, (b) Liens of landlords with respect to Leased Real Property, (c) Liens of carriers, warehousemen, mechanics, materialmen and repairmen incurred in the Ordinary Course and not yet delinquent, and (d) in the case of Leased Real Property, in addition to items (a), (b) and (c), zoning, building, or other restrictions, variances, covenants, rights of way, encumbrances, easements and other minor irregularities in title, none of which, individually or in the aggregate, interfere in any material respect with the present use of or occupancy of the affected parcel by the Company.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Person</w:t>
      </w:r>
      <w:r>
        <w:rPr>
          <w:rFonts w:ascii="Arial;Helvetica;sans-serif" w:hAnsi="Arial;Helvetica;sans-serif"/>
          <w:sz w:val="21"/>
        </w:rPr>
        <w:t xml:space="preserve">” </w:t>
      </w:r>
      <w:r>
        <w:rPr>
          <w:rFonts w:ascii="Times New Roman;Times;serif" w:hAnsi="Times New Roman;Times;serif"/>
          <w:sz w:val="24"/>
        </w:rPr>
        <w:t>means, any individual, corporation, partnership, joint venture, limited liability company, trust, unincorporated organization or association or other similar entity, Governmental Entity or other legal entity.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Purchaser Ancillary Documents</w:t>
      </w:r>
      <w:r>
        <w:rPr>
          <w:rFonts w:ascii="Arial;Helvetica;sans-serif" w:hAnsi="Arial;Helvetica;sans-serif"/>
          <w:sz w:val="21"/>
        </w:rPr>
        <w:t xml:space="preserve">” </w:t>
      </w:r>
      <w:r>
        <w:rPr>
          <w:rFonts w:ascii="Times New Roman;Times;serif" w:hAnsi="Times New Roman;Times;serif"/>
          <w:sz w:val="24"/>
        </w:rPr>
        <w:t>means any certificate, agreement, document or other instrument, other than this Agreement, to be executed and delivered by the Purchaser at Closing in connection with the transactions contemplated hereby, including the Acquisition.</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Purchaser Indemnified Parties</w:t>
      </w:r>
      <w:r>
        <w:rPr>
          <w:rFonts w:ascii="Arial;Helvetica;sans-serif" w:hAnsi="Arial;Helvetica;sans-serif"/>
          <w:sz w:val="21"/>
        </w:rPr>
        <w:t xml:space="preserve">” </w:t>
      </w:r>
      <w:r>
        <w:rPr>
          <w:rFonts w:ascii="Times New Roman;Times;serif" w:hAnsi="Times New Roman;Times;serif"/>
          <w:sz w:val="24"/>
        </w:rPr>
        <w:t>means the Purchaser and its Affiliates (which following the Closing, shall include the Company) and each of their respective officers and directors, and each of the successors and assigns of any of the foregoing.</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Purchaser Material Adverse Effect</w:t>
      </w:r>
      <w:r>
        <w:rPr>
          <w:rFonts w:ascii="Arial;Helvetica;sans-serif" w:hAnsi="Arial;Helvetica;sans-serif"/>
          <w:sz w:val="21"/>
        </w:rPr>
        <w:t xml:space="preserve">” </w:t>
      </w:r>
      <w:r>
        <w:rPr>
          <w:rFonts w:ascii="Times New Roman;Times;serif" w:hAnsi="Times New Roman;Times;serif"/>
          <w:sz w:val="24"/>
        </w:rPr>
        <w:t xml:space="preserve">means any fact, circumstance, event, change, effect or occurrence that, individually or in the aggregate, has had or has a material adverse effect on the Purchaser’s ability to consummate the Acquisition;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no facts, circumstances, events, changes, effects or occurrences resulting from, relating to or arising out of the following shall be deemed to be or constitute a Purchaser Material Adverse Effect or shall be taken into account when determining whether there has, may, would or could have occurred a Purchaser Material Adverse Effect: (a) the effect of any change generally affecting the industries in which the Purchaser operate as of the date hereof (including general pricing changes), (b) the effect of any change in the economy or the financial or securities markets in the United States or elsewhere in the world, (c) the effect of any outbreak or escalation of hostilities, declared or undeclared acts of war, sabotage or terrorism, or (d) any change in Laws or accounting rules or principles, except in the cases of clauses (a), (b) or (c), to the extent the effect of any such changes disproportionately and materially impact the operations, business or financial condition of the Purchaser relative to other participants in the industries in which the Purchaser operates.</w:t>
      </w:r>
    </w:p>
    <w:p>
      <w:pPr>
        <w:pStyle w:val="TextBody"/>
        <w:bidi w:val="0"/>
        <w:spacing w:lineRule="auto" w:line="285" w:before="0" w:after="240"/>
        <w:ind w:left="0" w:right="0" w:firstLine="720"/>
        <w:jc w:val="both"/>
        <w:rPr/>
      </w:pPr>
      <w:r>
        <w:rPr/>
        <w:t>“</w:t>
      </w:r>
      <w:r>
        <w:rPr>
          <w:rFonts w:ascii="Times New Roman;Times;serif" w:hAnsi="Times New Roman;Times;serif"/>
          <w:sz w:val="24"/>
          <w:u w:val="single"/>
        </w:rPr>
        <w:t>R&amp;W Insurance</w:t>
      </w:r>
      <w:r>
        <w:rPr>
          <w:rFonts w:ascii="Times New Roman;Times;serif" w:hAnsi="Times New Roman;Times;serif"/>
          <w:sz w:val="24"/>
        </w:rPr>
        <w:t>” means a Purchaser-side representations and warranties insurance policy, of which the premium will be paid 50% by the Purchaser and 50% by the Company and the Sellers, insuring the Purchaser and Willdan with respect to breaches of representations and warranties of the Sellers in this Agreement.  Purchaser shall be solely responsible for any retention payments relating to claims made under the R&amp;W Insurance policy.  </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RCRA</w:t>
      </w:r>
      <w:r>
        <w:rPr>
          <w:rFonts w:ascii="Arial;Helvetica;sans-serif" w:hAnsi="Arial;Helvetica;sans-serif"/>
          <w:sz w:val="21"/>
        </w:rPr>
        <w:t xml:space="preserve">” </w:t>
      </w:r>
      <w:r>
        <w:rPr>
          <w:rFonts w:ascii="Times New Roman;Times;serif" w:hAnsi="Times New Roman;Times;serif"/>
          <w:sz w:val="24"/>
        </w:rPr>
        <w:t xml:space="preserve">means the Resource Conservation and Recovery Act, 42 U.S.C. §§ 6901 </w:t>
      </w:r>
      <w:r>
        <w:rPr>
          <w:rFonts w:ascii="Times New Roman;Times;serif" w:hAnsi="Times New Roman;Times;serif"/>
          <w:sz w:val="24"/>
          <w:u w:val="single"/>
        </w:rPr>
        <w:t>et</w:t>
      </w:r>
      <w:r>
        <w:rPr>
          <w:rFonts w:ascii="Arial;Helvetica;sans-serif" w:hAnsi="Arial;Helvetica;sans-serif"/>
          <w:sz w:val="21"/>
        </w:rPr>
        <w:t xml:space="preserve"> </w:t>
      </w:r>
      <w:r>
        <w:rPr>
          <w:rFonts w:ascii="Times New Roman;Times;serif" w:hAnsi="Times New Roman;Times;serif"/>
          <w:sz w:val="24"/>
          <w:u w:val="single"/>
        </w:rPr>
        <w:t>seq</w:t>
      </w:r>
      <w:r>
        <w:rPr>
          <w:rFonts w:ascii="Times New Roman;Times;serif" w:hAnsi="Times New Roman;Times;serif"/>
          <w:sz w:val="24"/>
        </w:rPr>
        <w:t>., and any successor statute, and any regulations promulgated thereunder.</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Registered Intellectual Property</w:t>
      </w:r>
      <w:r>
        <w:rPr>
          <w:rFonts w:ascii="Arial;Helvetica;sans-serif" w:hAnsi="Arial;Helvetica;sans-serif"/>
          <w:sz w:val="21"/>
        </w:rPr>
        <w:t xml:space="preserve">” </w:t>
      </w:r>
      <w:r>
        <w:rPr>
          <w:rFonts w:ascii="Times New Roman;Times;serif" w:hAnsi="Times New Roman;Times;serif"/>
          <w:sz w:val="24"/>
        </w:rPr>
        <w:t xml:space="preserve">means all United States and foreign: (a) patents and patent applications (including provisional applications); (b) registered trademarks and service marks, applications to register trademarks and service marks, registered and applications to register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trade dress, intent-to-use trademark or service mark applications, or other registrations or applications for trademarks and service marks and trade dress; (c) registered copyrights and applications for copyright registration; and (d) domain name registrations.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Release</w:t>
      </w:r>
      <w:r>
        <w:rPr>
          <w:rFonts w:ascii="Arial;Helvetica;sans-serif" w:hAnsi="Arial;Helvetica;sans-serif"/>
          <w:sz w:val="21"/>
        </w:rPr>
        <w:t xml:space="preserve">” </w:t>
      </w:r>
      <w:r>
        <w:rPr>
          <w:rFonts w:ascii="Times New Roman;Times;serif" w:hAnsi="Times New Roman;Times;serif"/>
          <w:sz w:val="24"/>
        </w:rPr>
        <w:t>means the presence, release, spill, emission, leaking, pulping, injection, deposit, disposal, discharge, dispersal, leaching or migration into the indoor or outdoor environment, including the movement of Hazardous Substances through ambient air, soil, surface water, ground water, wetlands, land or subsurface strata, and any exposure to Hazardous Substances.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Representative</w:t>
      </w:r>
      <w:r>
        <w:rPr>
          <w:rFonts w:ascii="Arial;Helvetica;sans-serif" w:hAnsi="Arial;Helvetica;sans-serif"/>
          <w:sz w:val="21"/>
        </w:rPr>
        <w:t xml:space="preserve">” </w:t>
      </w:r>
      <w:r>
        <w:rPr>
          <w:rFonts w:ascii="Times New Roman;Times;serif" w:hAnsi="Times New Roman;Times;serif"/>
          <w:sz w:val="24"/>
        </w:rPr>
        <w:t>means, with respect to any Person, such Person’s equity holders, directors, members, managers, officers, employees, agents, consultants or Persons acting in a similar capacity.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Restricted Period</w:t>
      </w:r>
      <w:r>
        <w:rPr>
          <w:rFonts w:ascii="Arial;Helvetica;sans-serif" w:hAnsi="Arial;Helvetica;sans-serif"/>
          <w:sz w:val="21"/>
        </w:rPr>
        <w:t xml:space="preserve">” </w:t>
      </w:r>
      <w:r>
        <w:rPr>
          <w:rFonts w:ascii="Times New Roman;Times;serif" w:hAnsi="Times New Roman;Times;serif"/>
          <w:sz w:val="24"/>
        </w:rPr>
        <w:t>has the meaning set forth in Section 6.9.</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Seller Indemnified Parties</w:t>
      </w:r>
      <w:r>
        <w:rPr>
          <w:rFonts w:ascii="Arial;Helvetica;sans-serif" w:hAnsi="Arial;Helvetica;sans-serif"/>
          <w:sz w:val="21"/>
        </w:rPr>
        <w:t xml:space="preserve">” </w:t>
      </w:r>
      <w:r>
        <w:rPr>
          <w:rFonts w:ascii="Times New Roman;Times;serif" w:hAnsi="Times New Roman;Times;serif"/>
          <w:sz w:val="24"/>
        </w:rPr>
        <w:t>means the Sellers and any of their respective heirs, executors, members, successors and assigns.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Senior Creditor</w:t>
      </w:r>
      <w:r>
        <w:rPr>
          <w:rFonts w:ascii="Arial;Helvetica;sans-serif" w:hAnsi="Arial;Helvetica;sans-serif"/>
          <w:sz w:val="21"/>
        </w:rPr>
        <w:t xml:space="preserve">” </w:t>
      </w:r>
      <w:r>
        <w:rPr>
          <w:rFonts w:ascii="Times New Roman;Times;serif" w:hAnsi="Times New Roman;Times;serif"/>
          <w:sz w:val="24"/>
        </w:rPr>
        <w:t xml:space="preserve">means a syndicate of financial institutions with BMO Harris Bank N.A. as the administrative agent under the Senior Financing Agreement, together with its successors and assigns. </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Senior Event of Default</w:t>
      </w:r>
      <w:r>
        <w:rPr>
          <w:rFonts w:ascii="Arial;Helvetica;sans-serif" w:hAnsi="Arial;Helvetica;sans-serif"/>
          <w:sz w:val="21"/>
        </w:rPr>
        <w:t xml:space="preserve">” </w:t>
      </w:r>
      <w:r>
        <w:rPr>
          <w:rFonts w:ascii="Times New Roman;Times;serif" w:hAnsi="Times New Roman;Times;serif"/>
          <w:sz w:val="24"/>
        </w:rPr>
        <w:t>means an “Event of Default” as defined in the Senior Financing Agreement.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Senior Financing Agreement</w:t>
      </w:r>
      <w:r>
        <w:rPr>
          <w:rFonts w:ascii="Arial;Helvetica;sans-serif" w:hAnsi="Arial;Helvetica;sans-serif"/>
          <w:sz w:val="21"/>
        </w:rPr>
        <w:t xml:space="preserve">” </w:t>
      </w:r>
      <w:r>
        <w:rPr>
          <w:rFonts w:ascii="Times New Roman;Times;serif" w:hAnsi="Times New Roman;Times;serif"/>
          <w:sz w:val="24"/>
        </w:rPr>
        <w:t>means that certain Credit Agreement dated as September 29, 2023, among Willdan, as the Borrower, Purchaser as a Guarantor, the other guarantors and loan parties thereunder, and a syndicate of BMO Harris Bank N.A., as the administrative agent,  as the same may be amended, restated, supplemented or otherwise modified from time to time.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Sharing Ratio</w:t>
      </w:r>
      <w:r>
        <w:rPr>
          <w:rFonts w:ascii="Arial;Helvetica;sans-serif" w:hAnsi="Arial;Helvetica;sans-serif"/>
          <w:sz w:val="21"/>
        </w:rPr>
        <w:t xml:space="preserve">” </w:t>
      </w:r>
      <w:r>
        <w:rPr>
          <w:rFonts w:ascii="Times New Roman;Times;serif" w:hAnsi="Times New Roman;Times;serif"/>
          <w:sz w:val="24"/>
        </w:rPr>
        <w:t>means, with respect to each Seller, the percentage set forth opposite such Seller’s name below, which corresponds to such Seller’s proportionate ownership of the Purchased Interests as of immediately prior to the Closing; provided that the Sharing Ratios of all Sellers shall aggregate to one hundred percent (100%): [REDACTED].: [REDACTED]%; [REDACTED]: [REDACTED] %; [REDACTED]: [REDACTED] %; [REDACTED]:</w:t>
      </w:r>
      <w:r>
        <w:rPr>
          <w:rFonts w:ascii="Arial;Helvetica;sans-serif" w:hAnsi="Arial;Helvetica;sans-serif"/>
          <w:sz w:val="21"/>
        </w:rPr>
        <w:t xml:space="preserve"> </w:t>
      </w:r>
      <w:r>
        <w:rPr>
          <w:rFonts w:ascii="Times New Roman;Times;serif" w:hAnsi="Times New Roman;Times;serif"/>
          <w:sz w:val="24"/>
        </w:rPr>
        <w:t>[REDACTED] %; [REDACTED]: [REDACTED] %; [REDACTED]: [REDACTED] %.</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Software</w:t>
      </w:r>
      <w:r>
        <w:rPr>
          <w:rFonts w:ascii="Arial;Helvetica;sans-serif" w:hAnsi="Arial;Helvetica;sans-serif"/>
          <w:sz w:val="21"/>
        </w:rPr>
        <w:t xml:space="preserve">” </w:t>
      </w:r>
      <w:r>
        <w:rPr>
          <w:rFonts w:ascii="Times New Roman;Times;serif" w:hAnsi="Times New Roman;Times;serif"/>
          <w:sz w:val="24"/>
        </w:rPr>
        <w:t>means all computer software programs, together with any error corrections, updates, modifications or enhancements thereto, in both machine-readable form and human-readable form.</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Software Licensing</w:t>
      </w:r>
      <w:r>
        <w:rPr>
          <w:rFonts w:ascii="Arial;Helvetica;sans-serif" w:hAnsi="Arial;Helvetica;sans-serif"/>
          <w:sz w:val="21"/>
        </w:rPr>
        <w:t xml:space="preserve">” </w:t>
      </w:r>
      <w:r>
        <w:rPr>
          <w:rFonts w:ascii="Times New Roman;Times;serif" w:hAnsi="Times New Roman;Times;serif"/>
          <w:sz w:val="24"/>
        </w:rPr>
        <w:t>has the meaning set forth in Section 2.5(b).</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SOL Purchaser Claims</w:t>
      </w:r>
      <w:r>
        <w:rPr>
          <w:rFonts w:ascii="Arial;Helvetica;sans-serif" w:hAnsi="Arial;Helvetica;sans-serif"/>
          <w:sz w:val="21"/>
        </w:rPr>
        <w:t xml:space="preserve">” </w:t>
      </w:r>
      <w:r>
        <w:rPr>
          <w:rFonts w:ascii="Times New Roman;Times;serif" w:hAnsi="Times New Roman;Times;serif"/>
          <w:sz w:val="24"/>
        </w:rPr>
        <w:t>means any claim by the Purchaser under Article VIII for Purchaser Losses arising out of or relating to a breach or inaccuracy of any representation or warranty contained in Section 3.9 (</w:t>
      </w:r>
      <w:r>
        <w:rPr>
          <w:rFonts w:ascii="Times New Roman;Times;serif" w:hAnsi="Times New Roman;Times;serif"/>
          <w:i/>
          <w:sz w:val="24"/>
        </w:rPr>
        <w:t>Tax Returns; Taxes</w:t>
      </w:r>
      <w:r>
        <w:rPr>
          <w:rFonts w:ascii="Times New Roman;Times;serif" w:hAnsi="Times New Roman;Times;serif"/>
          <w:sz w:val="24"/>
        </w:rPr>
        <w:t>) or Section 3.15 (</w:t>
      </w:r>
      <w:r>
        <w:rPr>
          <w:rFonts w:ascii="Times New Roman;Times;serif" w:hAnsi="Times New Roman;Times;serif"/>
          <w:i/>
          <w:sz w:val="24"/>
        </w:rPr>
        <w:t>Company Employee Benefit Plans</w:t>
      </w:r>
      <w:r>
        <w:rPr>
          <w:rFonts w:ascii="Times New Roman;Times;serif" w:hAnsi="Times New Roman;Times;serif"/>
          <w:sz w:val="24"/>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Tax</w:t>
      </w:r>
      <w:r>
        <w:rPr>
          <w:rFonts w:ascii="Arial;Helvetica;sans-serif" w:hAnsi="Arial;Helvetica;sans-serif"/>
          <w:sz w:val="21"/>
        </w:rPr>
        <w:t xml:space="preserve">” </w:t>
      </w:r>
      <w:r>
        <w:rPr>
          <w:rFonts w:ascii="Times New Roman;Times;serif" w:hAnsi="Times New Roman;Times;serif"/>
          <w:sz w:val="24"/>
        </w:rPr>
        <w:t>or “</w:t>
      </w:r>
      <w:r>
        <w:rPr>
          <w:rFonts w:ascii="Times New Roman;Times;serif" w:hAnsi="Times New Roman;Times;serif"/>
          <w:sz w:val="24"/>
          <w:u w:val="single"/>
        </w:rPr>
        <w:t>Taxes</w:t>
      </w:r>
      <w:r>
        <w:rPr>
          <w:rFonts w:ascii="Arial;Helvetica;sans-serif" w:hAnsi="Arial;Helvetica;sans-serif"/>
          <w:sz w:val="21"/>
        </w:rPr>
        <w:t xml:space="preserve">” </w:t>
      </w:r>
      <w:r>
        <w:rPr>
          <w:rFonts w:ascii="Times New Roman;Times;serif" w:hAnsi="Times New Roman;Times;serif"/>
          <w:sz w:val="24"/>
        </w:rPr>
        <w:t>means all federal, state, local and foreign taxes, assessments, charges, duties, fees, levies and other governmental charges, including income, franchise, stamp, capital stock, real property, personal property, withholding, employment, payroll, social security, social contribution, unemployment compensation, disability, transfer, sales, use, excise, gross receipts, value-added, premium, windfall profits, environmental, customs duty, profits, transaction, registration, alternative or add-on minimum and estimated taxes, composite taxes payable by the Company on behalf of shareholders, and all other taxes of any kind for which the Company has any liability imposed by any Governmental Entity, whether disputed or not, and any associated charges, interest, additions to tax, or penalties imposed by any Governmental Entity.</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Tax Return</w:t>
      </w:r>
      <w:r>
        <w:rPr>
          <w:rFonts w:ascii="Arial;Helvetica;sans-serif" w:hAnsi="Arial;Helvetica;sans-serif"/>
          <w:sz w:val="21"/>
        </w:rPr>
        <w:t xml:space="preserve">” </w:t>
      </w:r>
      <w:r>
        <w:rPr>
          <w:rFonts w:ascii="Times New Roman;Times;serif" w:hAnsi="Times New Roman;Times;serif"/>
          <w:sz w:val="24"/>
        </w:rPr>
        <w:t>means any report, return, declaration or other information return or other document (including schedules or any related or supporting information) required to be supplied to a Governmental Entity or other authority in connection with the determination, assessment or collection of any Tax or the administration of any Laws, regulations or administrative requirements relating to any Tax.</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Territory</w:t>
      </w:r>
      <w:r>
        <w:rPr>
          <w:rFonts w:ascii="Arial;Helvetica;sans-serif" w:hAnsi="Arial;Helvetica;sans-serif"/>
          <w:sz w:val="21"/>
        </w:rPr>
        <w:t xml:space="preserve">” </w:t>
      </w:r>
      <w:r>
        <w:rPr>
          <w:rFonts w:ascii="Times New Roman;Times;serif" w:hAnsi="Times New Roman;Times;serif"/>
          <w:sz w:val="24"/>
        </w:rPr>
        <w:t>means the United States of America..</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Trading Day</w:t>
      </w:r>
      <w:r>
        <w:rPr>
          <w:rFonts w:ascii="Arial;Helvetica;sans-serif" w:hAnsi="Arial;Helvetica;sans-serif"/>
          <w:sz w:val="21"/>
        </w:rPr>
        <w:t xml:space="preserve">” </w:t>
      </w:r>
      <w:r>
        <w:rPr>
          <w:rFonts w:ascii="Times New Roman;Times;serif" w:hAnsi="Times New Roman;Times;serif"/>
          <w:sz w:val="24"/>
        </w:rPr>
        <w:t>means any day on which the New York Stock Exchange (or such other national securities exchange or trading market on which shares of Willdan Common Stock are then listed or traded) is open for the transaction of business and shares of Willdan Common Stock are traded thereon, other than a day on which trading in shares of Willdan Common Stock is scheduled to close prior to its regular weekday closing time.</w:t>
      </w:r>
    </w:p>
    <w:p>
      <w:pPr>
        <w:pStyle w:val="TextBody"/>
        <w:bidi w:val="0"/>
        <w:spacing w:lineRule="auto" w:line="285" w:before="0" w:after="0"/>
        <w:ind w:left="0" w:right="0" w:firstLine="720"/>
        <w:jc w:val="both"/>
        <w:rPr/>
      </w:pPr>
      <w:r>
        <w:rPr/>
        <w:t>“</w:t>
      </w:r>
      <w:r>
        <w:rPr>
          <w:rFonts w:ascii="Times New Roman;Times;serif" w:hAnsi="Times New Roman;Times;serif"/>
          <w:sz w:val="24"/>
          <w:u w:val="single"/>
        </w:rPr>
        <w:t>Transaction Expenses</w:t>
      </w:r>
      <w:r>
        <w:rPr>
          <w:rFonts w:ascii="Arial;Helvetica;sans-serif" w:hAnsi="Arial;Helvetica;sans-serif"/>
          <w:sz w:val="21"/>
        </w:rPr>
        <w:t xml:space="preserve">” </w:t>
      </w:r>
      <w:r>
        <w:rPr>
          <w:rFonts w:ascii="Times New Roman;Times;serif" w:hAnsi="Times New Roman;Times;serif"/>
          <w:sz w:val="24"/>
        </w:rPr>
        <w:t xml:space="preserve">means, without duplication, to the extent unpaid as of the Closing, the aggregate amount of Liabilities payable by or on behalf of the Company and/or any Seller for which the Company or the Purchaser could become liable at or after the Closing in connection with the negotiation, preparation and consummation of the transactions contemplated by this Agreement, including: (a) any legal, accounting, financial advisory and other third party advisory, brokerage, or consulting fees and other expenses incurred by a Party in connection with the transactions contemplated by this Agreement and other related matters; (b) the amount of (i) transaction bonuses, or change of control payments, that were (x) authorized or approved in writing by the Sellers prior to the Closing Date, (y) set forth on a schedule delivered to Purchaser at or prior to Closing, and (z) solely attributable to pre-Closing obligations of the Company, and (ii) the employer's share of any employment, payroll or social security Taxes solely attributable to the amounts described in clause (b)(i) above; provided, however, that Transaction Expenses shall expressly exclude, and no Seller shall have any liability for: (A) any retention payments for the R&amp;W Insurance, incentive compensation, or other compensatory arrangements initiated, imposed, or required by Purchaser or any of its Affiliates on or after the Closing Date, (B) any payments attributable to post-Closing events or decisions made by Purchaser or any of its Affiliates, (C) any employer-side payroll, employment or social security Taxes arising from or attributable to any compensation arrangement established or modified by Purchaser or any of its Affiliates after the Closing Date, and (D) the R&amp;W Insurance premium and associated fees and costs, which shall be allocated between the Parties as set forth in the definition of R&amp;W Insurance and shall not reduce the amount payable to Sellers hereunder; and (c) any fees and expenses incurred in connection with obtaining any third party consents required in connection with the Acquisition solely as a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result of actions taken or obligations incurred by the Sellers or the Company prior to the Closing Date.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Transfer Taxes</w:t>
      </w:r>
      <w:r>
        <w:rPr>
          <w:rFonts w:ascii="Arial;Helvetica;sans-serif" w:hAnsi="Arial;Helvetica;sans-serif"/>
          <w:sz w:val="21"/>
        </w:rPr>
        <w:t xml:space="preserve">” </w:t>
      </w:r>
      <w:r>
        <w:rPr>
          <w:rFonts w:ascii="Times New Roman;Times;serif" w:hAnsi="Times New Roman;Times;serif"/>
          <w:sz w:val="24"/>
        </w:rPr>
        <w:t>means any sales, use, stock transfer, real property transfer, real property gains, transfer, stamp, registration, documentary, recording or similar Taxes, including all interest, additions, surcharges, fees or penalties related thereto, arising out of or incurred in connection with the transactions contemplated by this Agreement and the other Company Ancillary Documents.</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Treasury Regulations</w:t>
      </w:r>
      <w:r>
        <w:rPr>
          <w:rFonts w:ascii="Arial;Helvetica;sans-serif" w:hAnsi="Arial;Helvetica;sans-serif"/>
          <w:sz w:val="21"/>
        </w:rPr>
        <w:t xml:space="preserve">” </w:t>
      </w:r>
      <w:r>
        <w:rPr>
          <w:rFonts w:ascii="Times New Roman;Times;serif" w:hAnsi="Times New Roman;Times;serif"/>
          <w:sz w:val="24"/>
        </w:rPr>
        <w:t>means any regulations promulgated under the Code.</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Vendors</w:t>
      </w:r>
      <w:r>
        <w:rPr>
          <w:rFonts w:ascii="Arial;Helvetica;sans-serif" w:hAnsi="Arial;Helvetica;sans-serif"/>
          <w:sz w:val="21"/>
        </w:rPr>
        <w:t xml:space="preserve">” </w:t>
      </w:r>
      <w:r>
        <w:rPr>
          <w:rFonts w:ascii="Times New Roman;Times;serif" w:hAnsi="Times New Roman;Times;serif"/>
          <w:sz w:val="24"/>
        </w:rPr>
        <w:t>means the top twenty (20) vendors, suppliers, materialmen and other subcontractors of the Company in terms of amounts paid to such Vendors during the Company’s fiscal year ended 2025 and the four-month period ended April 30, 2026.</w:t>
      </w:r>
    </w:p>
    <w:p>
      <w:pPr>
        <w:pStyle w:val="TextBody"/>
        <w:bidi w:val="0"/>
        <w:spacing w:lineRule="auto" w:line="285" w:before="0" w:after="210"/>
        <w:ind w:left="0" w:right="0" w:firstLine="720"/>
        <w:jc w:val="both"/>
        <w:rPr/>
      </w:pPr>
      <w:r>
        <w:rPr/>
        <w:t>“</w:t>
      </w:r>
      <w:r>
        <w:rPr>
          <w:rFonts w:ascii="Times New Roman;Times;serif" w:hAnsi="Times New Roman;Times;serif"/>
          <w:sz w:val="24"/>
          <w:u w:val="single"/>
        </w:rPr>
        <w:t>Willdan</w:t>
      </w:r>
      <w:r>
        <w:rPr>
          <w:rFonts w:ascii="Arial;Helvetica;sans-serif" w:hAnsi="Arial;Helvetica;sans-serif"/>
          <w:sz w:val="21"/>
        </w:rPr>
        <w:t xml:space="preserve">” </w:t>
      </w:r>
      <w:r>
        <w:rPr>
          <w:rFonts w:ascii="Times New Roman;Times;serif" w:hAnsi="Times New Roman;Times;serif"/>
          <w:sz w:val="24"/>
        </w:rPr>
        <w:t>has the meaning set forth in the Preamble.</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1.2</w:t>
      </w:r>
      <w:bookmarkStart w:id="1165" w:name="_Toc333516480"/>
      <w:bookmarkStart w:id="1166" w:name="_Toc228467055"/>
      <w:bookmarkStart w:id="1167" w:name="_Toc493079710"/>
      <w:bookmarkStart w:id="1168" w:name="_Toc491264975"/>
      <w:bookmarkStart w:id="1169" w:name="_Toc491263190"/>
      <w:bookmarkStart w:id="1170" w:name="_Toc491250842"/>
      <w:bookmarkStart w:id="1171" w:name="_Toc491244285"/>
      <w:bookmarkStart w:id="1172" w:name="_Toc490572235"/>
      <w:bookmarkStart w:id="1173" w:name="_Toc488826742"/>
      <w:bookmarkStart w:id="1174" w:name="_Toc488825149"/>
      <w:bookmarkStart w:id="1175" w:name="_Toc445397396"/>
      <w:bookmarkStart w:id="1176" w:name="_Toc441652930"/>
      <w:bookmarkStart w:id="1177" w:name="_Toc343001433"/>
      <w:bookmarkStart w:id="1178" w:name="_Toc341780894"/>
      <w:bookmarkStart w:id="1179" w:name="_Toc341776320"/>
      <w:bookmarkStart w:id="1180" w:name="_Toc341771291"/>
      <w:bookmarkStart w:id="1181" w:name="_Toc340837379"/>
      <w:bookmarkStart w:id="1182" w:name="_Toc340828664"/>
      <w:bookmarkStart w:id="1183" w:name="_Toc340814335"/>
      <w:bookmarkStart w:id="1184" w:name="_Toc340814234"/>
      <w:bookmarkStart w:id="1185" w:name="_Toc340760270"/>
      <w:bookmarkStart w:id="1186" w:name="_Toc340759891"/>
      <w:bookmarkStart w:id="1187" w:name="_Toc340757422"/>
      <w:bookmarkStart w:id="1188" w:name="_Toc338754059"/>
      <w:bookmarkStart w:id="1189" w:name="_Toc338753906"/>
      <w:bookmarkStart w:id="1190" w:name="_Toc338753549"/>
      <w:bookmarkStart w:id="1191" w:name="_Toc338751619"/>
      <w:bookmarkStart w:id="1192" w:name="_Toc337829154"/>
      <w:bookmarkStart w:id="1193" w:name="_Toc337827984"/>
      <w:bookmarkStart w:id="1194" w:name="_Toc337827788"/>
      <w:bookmarkStart w:id="1195" w:name="_Toc337827419"/>
      <w:bookmarkStart w:id="1196" w:name="_Toc337826769"/>
      <w:bookmarkStart w:id="1197" w:name="_Toc334637480"/>
      <w:bookmarkStart w:id="1198" w:name="_Toc333516984"/>
      <w:bookmarkStart w:id="1199" w:name="_Toc333516902"/>
      <w:bookmarkStart w:id="1200" w:name="_Toc333516820"/>
      <w:bookmarkStart w:id="1201" w:name="_Toc333516651"/>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r>
        <w:rPr>
          <w:rFonts w:ascii="Times New Roman;Times;serif" w:hAnsi="Times New Roman;Times;serif"/>
          <w:sz w:val="24"/>
          <w:u w:val="single"/>
        </w:rPr>
        <w:t>Construction</w:t>
      </w:r>
      <w:r>
        <w:rPr>
          <w:rFonts w:ascii="Times New Roman;Times;serif" w:hAnsi="Times New Roman;Times;serif"/>
          <w:sz w:val="24"/>
        </w:rPr>
        <w:t xml:space="preserve">.  The Parties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  Unless the context of this Agreement otherwise clearly requires, (a) references to the plural include the singular, and references to the singular include the plural, (b) references to one gender include the other gender and neuter, (c) the words “include,” “includes” and “including” do not limit the preceding terms or words and shall be deemed to be followed by the words “without limitation,” (d) the word “or” is not exclusive, (e) the terms “hereof,” “herein,” “hereunder,” “hereto” and similar terms in this Agreement refer to this Agreement as a whole and not to any particular provision of this Agreement, (f) unless otherwise specified, the terms “day” and “days” mean and refer to calendar day(s), and (g) unless otherwise specified, the terms “year” and “years” mean and refer to calendar year(s).  Unless otherwise set forth herein, references in this Agreement to (i) any document, instrument or agreement (including this Agreement) (A) include and incorporate all exhibits, schedules and other attachments thereto, (B) include all documents, instruments or agreements issued or executed in replacement thereof, and (C) mean such document, instrument or agreement, or replacement or predecessor thereto, as amended, modified or supplemented from time to time in accordance with its terms and in effect at any given time; and (ii) a particular Law means such Law as amended, modified, supplemented or succeeded, from time to time and in effect at any given time at or prior to the Closing Date.  All Article, Section, Exhibit and Schedule references herein are to Articles, Sections, Exhibits and Schedules of this Agreement, unless otherwise specified.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1.3</w:t>
      </w:r>
      <w:bookmarkStart w:id="1202" w:name="_Toc333516481"/>
      <w:bookmarkStart w:id="1203" w:name="_Toc228467056"/>
      <w:bookmarkStart w:id="1204" w:name="_Toc493079711"/>
      <w:bookmarkStart w:id="1205" w:name="_Toc491264976"/>
      <w:bookmarkStart w:id="1206" w:name="_Toc491263191"/>
      <w:bookmarkStart w:id="1207" w:name="_Toc491250843"/>
      <w:bookmarkStart w:id="1208" w:name="_Toc491244286"/>
      <w:bookmarkStart w:id="1209" w:name="_Toc490572236"/>
      <w:bookmarkStart w:id="1210" w:name="_Toc488826743"/>
      <w:bookmarkStart w:id="1211" w:name="_Toc488825150"/>
      <w:bookmarkStart w:id="1212" w:name="_Toc445397397"/>
      <w:bookmarkStart w:id="1213" w:name="_Toc441652931"/>
      <w:bookmarkStart w:id="1214" w:name="_Toc343001434"/>
      <w:bookmarkStart w:id="1215" w:name="_Toc341780895"/>
      <w:bookmarkStart w:id="1216" w:name="_Toc341776321"/>
      <w:bookmarkStart w:id="1217" w:name="_Toc341771292"/>
      <w:bookmarkStart w:id="1218" w:name="_Toc340837380"/>
      <w:bookmarkStart w:id="1219" w:name="_Toc340828665"/>
      <w:bookmarkStart w:id="1220" w:name="_Toc340814336"/>
      <w:bookmarkStart w:id="1221" w:name="_Toc340814235"/>
      <w:bookmarkStart w:id="1222" w:name="_Toc340760271"/>
      <w:bookmarkStart w:id="1223" w:name="_Toc340759892"/>
      <w:bookmarkStart w:id="1224" w:name="_Toc340757423"/>
      <w:bookmarkStart w:id="1225" w:name="_Toc338754060"/>
      <w:bookmarkStart w:id="1226" w:name="_Toc338753907"/>
      <w:bookmarkStart w:id="1227" w:name="_Toc338753550"/>
      <w:bookmarkStart w:id="1228" w:name="_Toc338751620"/>
      <w:bookmarkStart w:id="1229" w:name="_Toc337829155"/>
      <w:bookmarkStart w:id="1230" w:name="_Toc337827985"/>
      <w:bookmarkStart w:id="1231" w:name="_Toc337827789"/>
      <w:bookmarkStart w:id="1232" w:name="_Toc337827420"/>
      <w:bookmarkStart w:id="1233" w:name="_Toc337826770"/>
      <w:bookmarkStart w:id="1234" w:name="_Toc334637481"/>
      <w:bookmarkStart w:id="1235" w:name="_Toc333516985"/>
      <w:bookmarkStart w:id="1236" w:name="_Toc333516903"/>
      <w:bookmarkStart w:id="1237" w:name="_Toc333516821"/>
      <w:bookmarkStart w:id="1238" w:name="_Toc333516652"/>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rFonts w:ascii="Times New Roman;Times;serif" w:hAnsi="Times New Roman;Times;serif"/>
          <w:sz w:val="24"/>
          <w:u w:val="single"/>
        </w:rPr>
        <w:t>Other Definitions</w:t>
      </w:r>
      <w:r>
        <w:rPr>
          <w:rFonts w:ascii="Times New Roman;Times;serif" w:hAnsi="Times New Roman;Times;serif"/>
          <w:sz w:val="24"/>
        </w:rPr>
        <w:t xml:space="preserve">.  Each of the following terms is defined in the Section set forth opposite such term below: </w:t>
      </w:r>
    </w:p>
    <w:p>
      <w:pPr>
        <w:pStyle w:val="TextBody"/>
        <w:bidi w:val="0"/>
        <w:spacing w:lineRule="auto" w:line="285" w:before="0" w:after="0"/>
        <w:ind w:left="720" w:right="0" w:hanging="0"/>
        <w:jc w:val="both"/>
        <w:rPr>
          <w:rFonts w:ascii="Times New Roman;Times;serif" w:hAnsi="Times New Roman;Times;serif"/>
          <w:sz w:val="24"/>
          <w:u w:val="single"/>
        </w:rPr>
      </w:pPr>
      <w:r>
        <w:rPr>
          <w:rFonts w:ascii="Times New Roman;Times;serif" w:hAnsi="Times New Roman;Times;serif"/>
          <w:sz w:val="24"/>
          <w:u w:val="single"/>
        </w:rPr>
        <w:t>TermSection</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Accountants2.4(d)</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AcquisitionRecitals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AgreementPreamble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Causes of Action6.5(a)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Certificates2.3(a)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Claim Notice8.3(a)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Closing NWC2.4(a)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COBRA3.15(q)</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CompanyPreamble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Company Contracts3.14(a)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Continuing Employee6.6</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Deductible8.5</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Direct Claim8.3(a)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Dispute Period8.3(b)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Earn-Out Disagreement2.5(g)</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Earn-Out Financial Statement2.5(g)</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Earn-Out Payment2.5(a)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Earn-Out Period2.5(a)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Earn-Out Resolution Discussions2.5(i)</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Employee Benefit Plans3.15(a)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ERISA Affiliate3.15(a)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ERISA Plans3.15(a)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Final Statement2.4(b)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Final Statement Disagreement2.4(c)</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Indemnification Cap8.5</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Indemnification Claims8.3(a)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Indemnified Party8.3</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Indemnifying Party8.3</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Initial Purchase Price2.2(a)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Initial Purchase Price Adjustment2.4(a)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Leases3.5(a)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Licensed Professionals3.13(a)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PartiesPreamble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PartyPreamble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Post-Closing Tax Period3.9(e)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Pre-Closing Tax Period3.9(e)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Proceeding8.3(a)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Purchased InterestsRecitals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Purchase Price2.2(b)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PurchaserPreamble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Purchaser Losses8.1</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Purchaser Plan6.6(b)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Released Parties6.5(a)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Releasing Parties6.5(a)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SellerPreamble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Seller Agreements7.2(d)</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Seller Representative9.12</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Settlement8.3(b)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Straddle Period6.3(b)</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Target NWC2.4(a)</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Third Party Claim8.3(a)]</w:t>
      </w:r>
    </w:p>
    <w:p>
      <w:pPr>
        <w:pStyle w:val="TextBody"/>
        <w:bidi w:val="0"/>
        <w:spacing w:lineRule="auto" w:line="314" w:before="0" w:after="0"/>
        <w:ind w:left="0" w:right="0" w:hanging="0"/>
        <w:jc w:val="both"/>
        <w:rPr/>
      </w:pPr>
      <w:r>
        <w:rPr/>
        <w:t>​</w:t>
      </w:r>
    </w:p>
    <w:p>
      <w:pPr>
        <w:pStyle w:val="TextBody"/>
        <w:bidi w:val="0"/>
        <w:spacing w:lineRule="auto" w:line="285" w:before="240" w:after="240"/>
        <w:ind w:left="0" w:right="0" w:hanging="0"/>
        <w:jc w:val="center"/>
        <w:rPr>
          <w:rFonts w:ascii="Arial;Helvetica;sans-serif" w:hAnsi="Arial;Helvetica;sans-serif"/>
          <w:b/>
          <w:sz w:val="21"/>
        </w:rPr>
      </w:pPr>
      <w:r>
        <w:rPr>
          <w:rFonts w:ascii="Times New Roman;Times;serif" w:hAnsi="Times New Roman;Times;serif"/>
          <w:b/>
          <w:caps/>
          <w:sz w:val="24"/>
        </w:rPr>
        <w:t>Article II</w:t>
      </w:r>
      <w:bookmarkStart w:id="1239" w:name="_Toc333516823"/>
      <w:bookmarkStart w:id="1240" w:name="_Toc333516654"/>
      <w:bookmarkStart w:id="1241" w:name="_Toc333516483"/>
      <w:bookmarkEnd w:id="1239"/>
      <w:bookmarkEnd w:id="1240"/>
      <w:bookmarkEnd w:id="1241"/>
      <w:r>
        <w:rPr>
          <w:rFonts w:ascii="Arial;Helvetica;sans-serif" w:hAnsi="Arial;Helvetica;sans-serif"/>
          <w:b/>
          <w:sz w:val="21"/>
        </w:rPr>
        <w:t>​</w:t>
      </w:r>
      <w:r>
        <w:rPr>
          <w:rFonts w:ascii="Times New Roman;Times;serif" w:hAnsi="Times New Roman;Times;serif"/>
          <w:b/>
          <w:sz w:val="24"/>
        </w:rPr>
        <w:br/>
      </w:r>
      <w:bookmarkStart w:id="1242" w:name="_Toc228467057"/>
      <w:bookmarkStart w:id="1243" w:name="_Toc493079713"/>
      <w:bookmarkStart w:id="1244" w:name="_Toc491264978"/>
      <w:bookmarkStart w:id="1245" w:name="_Toc491263193"/>
      <w:bookmarkStart w:id="1246" w:name="_Toc491250845"/>
      <w:bookmarkStart w:id="1247" w:name="_Toc491244288"/>
      <w:bookmarkStart w:id="1248" w:name="_Toc490572238"/>
      <w:bookmarkStart w:id="1249" w:name="_Toc488826745"/>
      <w:bookmarkStart w:id="1250" w:name="_Toc488825152"/>
      <w:bookmarkStart w:id="1251" w:name="_Toc445397399"/>
      <w:bookmarkStart w:id="1252" w:name="_Toc441652933"/>
      <w:bookmarkStart w:id="1253" w:name="_Toc343001436"/>
      <w:bookmarkStart w:id="1254" w:name="_Toc341780897"/>
      <w:bookmarkStart w:id="1255" w:name="_Toc341776323"/>
      <w:bookmarkStart w:id="1256" w:name="_Toc341771294"/>
      <w:bookmarkStart w:id="1257" w:name="_Toc340837382"/>
      <w:bookmarkStart w:id="1258" w:name="_Toc340828667"/>
      <w:bookmarkStart w:id="1259" w:name="_Toc340814338"/>
      <w:bookmarkStart w:id="1260" w:name="_Toc340814237"/>
      <w:bookmarkStart w:id="1261" w:name="_Toc340760273"/>
      <w:bookmarkStart w:id="1262" w:name="_Toc340759894"/>
      <w:bookmarkStart w:id="1263" w:name="_Toc340757425"/>
      <w:bookmarkStart w:id="1264" w:name="_Toc338754062"/>
      <w:bookmarkStart w:id="1265" w:name="_Toc338753909"/>
      <w:bookmarkStart w:id="1266" w:name="_Toc338753552"/>
      <w:bookmarkStart w:id="1267" w:name="_Toc338751622"/>
      <w:bookmarkStart w:id="1268" w:name="_Toc337829157"/>
      <w:bookmarkStart w:id="1269" w:name="_Toc337827987"/>
      <w:bookmarkStart w:id="1270" w:name="_Toc337827791"/>
      <w:bookmarkStart w:id="1271" w:name="_Toc337827422"/>
      <w:bookmarkStart w:id="1272" w:name="_Toc337826772"/>
      <w:bookmarkStart w:id="1273" w:name="_Toc334637483"/>
      <w:bookmarkStart w:id="1274" w:name="_Toc333516987"/>
      <w:bookmarkStart w:id="1275" w:name="_Toc333516905"/>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r>
        <w:rPr>
          <w:rFonts w:ascii="Times New Roman;Times;serif" w:hAnsi="Times New Roman;Times;serif"/>
          <w:b/>
          <w:sz w:val="24"/>
        </w:rPr>
        <w:t>PURCHASE AND SALE</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2.1</w:t>
      </w:r>
      <w:bookmarkStart w:id="1276" w:name="_Toc333516484"/>
      <w:bookmarkStart w:id="1277" w:name="_Toc228467058"/>
      <w:bookmarkStart w:id="1278" w:name="_Toc493079714"/>
      <w:bookmarkStart w:id="1279" w:name="_Toc491264979"/>
      <w:bookmarkStart w:id="1280" w:name="_Toc491263194"/>
      <w:bookmarkStart w:id="1281" w:name="_Toc491250846"/>
      <w:bookmarkStart w:id="1282" w:name="_Toc491244289"/>
      <w:bookmarkStart w:id="1283" w:name="_Toc490572239"/>
      <w:bookmarkStart w:id="1284" w:name="_Toc488826746"/>
      <w:bookmarkStart w:id="1285" w:name="_Toc488825153"/>
      <w:bookmarkStart w:id="1286" w:name="_Toc445397400"/>
      <w:bookmarkStart w:id="1287" w:name="_Toc441652934"/>
      <w:bookmarkStart w:id="1288" w:name="_Toc343001437"/>
      <w:bookmarkStart w:id="1289" w:name="_Toc341780898"/>
      <w:bookmarkStart w:id="1290" w:name="_Toc341776324"/>
      <w:bookmarkStart w:id="1291" w:name="_Toc341771295"/>
      <w:bookmarkStart w:id="1292" w:name="_Toc340837383"/>
      <w:bookmarkStart w:id="1293" w:name="_Toc340828668"/>
      <w:bookmarkStart w:id="1294" w:name="_Toc340814339"/>
      <w:bookmarkStart w:id="1295" w:name="_Toc340814238"/>
      <w:bookmarkStart w:id="1296" w:name="_Toc340760274"/>
      <w:bookmarkStart w:id="1297" w:name="_Toc340759895"/>
      <w:bookmarkStart w:id="1298" w:name="_Toc340757426"/>
      <w:bookmarkStart w:id="1299" w:name="_Toc338754063"/>
      <w:bookmarkStart w:id="1300" w:name="_Toc338753910"/>
      <w:bookmarkStart w:id="1301" w:name="_Toc338753553"/>
      <w:bookmarkStart w:id="1302" w:name="_Toc338751623"/>
      <w:bookmarkStart w:id="1303" w:name="_Toc337829158"/>
      <w:bookmarkStart w:id="1304" w:name="_Toc337827988"/>
      <w:bookmarkStart w:id="1305" w:name="_Toc337827792"/>
      <w:bookmarkStart w:id="1306" w:name="_Toc337827423"/>
      <w:bookmarkStart w:id="1307" w:name="_Toc337826773"/>
      <w:bookmarkStart w:id="1308" w:name="_Toc334637484"/>
      <w:bookmarkStart w:id="1309" w:name="_Toc333516988"/>
      <w:bookmarkStart w:id="1310" w:name="_Toc333516906"/>
      <w:bookmarkStart w:id="1311" w:name="_Toc333516824"/>
      <w:bookmarkStart w:id="1312" w:name="_Toc33351665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r>
        <w:rPr>
          <w:rFonts w:ascii="Times New Roman;Times;serif" w:hAnsi="Times New Roman;Times;serif"/>
          <w:sz w:val="24"/>
          <w:u w:val="single"/>
        </w:rPr>
        <w:t>Agreement to Purchase and Sell; Closing</w:t>
      </w:r>
      <w:r>
        <w:rPr>
          <w:rFonts w:ascii="Times New Roman;Times;serif" w:hAnsi="Times New Roman;Times;serif"/>
          <w:sz w:val="24"/>
        </w:rPr>
        <w:t>.  </w:t>
      </w:r>
    </w:p>
    <w:p>
      <w:pPr>
        <w:pStyle w:val="TextBody"/>
        <w:bidi w:val="0"/>
        <w:spacing w:lineRule="auto" w:line="285" w:before="0" w:after="240"/>
        <w:ind w:left="86" w:right="0" w:hanging="0"/>
        <w:jc w:val="both"/>
        <w:rPr>
          <w:rFonts w:ascii="Arial;Helvetica;sans-serif" w:hAnsi="Arial;Helvetica;sans-serif"/>
          <w:sz w:val="21"/>
        </w:rPr>
      </w:pPr>
      <w:r>
        <w:rPr>
          <w:rFonts w:ascii="Times New Roman;Times;serif" w:hAnsi="Times New Roman;Times;serif"/>
          <w:sz w:val="22"/>
        </w:rPr>
        <w:t>(a)</w:t>
      </w:r>
      <w:r>
        <w:rPr>
          <w:rFonts w:ascii="Times New Roman;Times;serif" w:hAnsi="Times New Roman;Times;serif"/>
          <w:sz w:val="24"/>
        </w:rPr>
        <w:t>Subject to the terms and conditions of this Agreement, Sellers hereby sell, transfer, assign, convey and deliver to the Purchaser, and the Purchaser hereby purchases and acquires from Sellers, free and clear of all Liens, all of the Purchased Interests in exchange for the Purchase Price.</w:t>
      </w:r>
      <w:bookmarkStart w:id="1313" w:name="_Toc333516485"/>
      <w:bookmarkStart w:id="1314" w:name="_Toc340760275"/>
      <w:bookmarkStart w:id="1315" w:name="_Toc340759896"/>
      <w:bookmarkStart w:id="1316" w:name="_Toc340757427"/>
      <w:bookmarkStart w:id="1317" w:name="_Toc338754064"/>
      <w:bookmarkStart w:id="1318" w:name="_Toc338753911"/>
      <w:bookmarkStart w:id="1319" w:name="_Toc338753554"/>
      <w:bookmarkStart w:id="1320" w:name="_Toc338751624"/>
      <w:bookmarkStart w:id="1321" w:name="_Toc337829159"/>
      <w:bookmarkStart w:id="1322" w:name="_Toc337827989"/>
      <w:bookmarkStart w:id="1323" w:name="_Toc337827793"/>
      <w:bookmarkStart w:id="1324" w:name="_Toc337827424"/>
      <w:bookmarkStart w:id="1325" w:name="_Toc337826774"/>
      <w:bookmarkStart w:id="1326" w:name="_Toc334637485"/>
      <w:bookmarkStart w:id="1327" w:name="_Toc333516989"/>
      <w:bookmarkStart w:id="1328" w:name="_Toc333516907"/>
      <w:bookmarkStart w:id="1329" w:name="_Toc333516825"/>
      <w:bookmarkStart w:id="1330" w:name="_Toc333516656"/>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r>
        <w:rPr>
          <w:rFonts w:ascii="Arial;Helvetica;sans-serif" w:hAnsi="Arial;Helvetica;sans-serif"/>
          <w:sz w:val="21"/>
        </w:rPr>
        <w:t xml:space="preserve">  </w:t>
      </w:r>
    </w:p>
    <w:p>
      <w:pPr>
        <w:pStyle w:val="TextBody"/>
        <w:bidi w:val="0"/>
        <w:spacing w:lineRule="auto" w:line="285" w:before="0" w:after="240"/>
        <w:ind w:left="86"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consummation of the transactions contemplated by this Agreement, including the Acquisition (the “</w:t>
      </w:r>
      <w:r>
        <w:rPr>
          <w:rFonts w:ascii="Times New Roman;Times;serif" w:hAnsi="Times New Roman;Times;serif"/>
          <w:sz w:val="24"/>
          <w:u w:val="single"/>
        </w:rPr>
        <w:t>Closing</w:t>
      </w:r>
      <w:r>
        <w:rPr>
          <w:rFonts w:ascii="Arial;Helvetica;sans-serif" w:hAnsi="Arial;Helvetica;sans-serif"/>
          <w:sz w:val="21"/>
        </w:rPr>
        <w:t>”</w:t>
      </w:r>
      <w:r>
        <w:rPr>
          <w:rFonts w:ascii="Times New Roman;Times;serif" w:hAnsi="Times New Roman;Times;serif"/>
          <w:sz w:val="24"/>
        </w:rPr>
        <w:t>), shall be deemed to take place at 10:00 a.m. (Pacific Time) on the date hereof (the “</w:t>
      </w:r>
      <w:r>
        <w:rPr>
          <w:rFonts w:ascii="Times New Roman;Times;serif" w:hAnsi="Times New Roman;Times;serif"/>
          <w:sz w:val="24"/>
          <w:u w:val="single"/>
        </w:rPr>
        <w:t>Closing Date</w:t>
      </w:r>
      <w:r>
        <w:rPr>
          <w:rFonts w:ascii="Arial;Helvetica;sans-serif" w:hAnsi="Arial;Helvetica;sans-serif"/>
          <w:sz w:val="21"/>
        </w:rPr>
        <w:t>”</w:t>
      </w:r>
      <w:r>
        <w:rPr>
          <w:rFonts w:ascii="Times New Roman;Times;serif" w:hAnsi="Times New Roman;Times;serif"/>
          <w:sz w:val="24"/>
        </w:rPr>
        <w:t xml:space="preserve">).  The Parties expect to exchange documents electronically, and no Party shall be required to appear at any specific physical location to effect the Closing.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2.2</w:t>
      </w:r>
      <w:bookmarkStart w:id="1331" w:name="_Toc228467059"/>
      <w:bookmarkStart w:id="1332" w:name="_Toc493079715"/>
      <w:bookmarkStart w:id="1333" w:name="_Toc491264980"/>
      <w:bookmarkStart w:id="1334" w:name="_Toc491263195"/>
      <w:bookmarkStart w:id="1335" w:name="_Toc491250847"/>
      <w:bookmarkStart w:id="1336" w:name="_Toc491244290"/>
      <w:bookmarkStart w:id="1337" w:name="_Toc490572240"/>
      <w:bookmarkStart w:id="1338" w:name="_Toc488826747"/>
      <w:bookmarkStart w:id="1339" w:name="_Toc488825154"/>
      <w:bookmarkStart w:id="1340" w:name="_Toc445397401"/>
      <w:bookmarkStart w:id="1341" w:name="_Toc441652935"/>
      <w:bookmarkStart w:id="1342" w:name="_Toc343001438"/>
      <w:bookmarkStart w:id="1343" w:name="_Toc341780899"/>
      <w:bookmarkStart w:id="1344" w:name="_Toc341776325"/>
      <w:bookmarkStart w:id="1345" w:name="_Toc341771296"/>
      <w:bookmarkStart w:id="1346" w:name="_Toc340837384"/>
      <w:bookmarkStart w:id="1347" w:name="_Toc340828669"/>
      <w:bookmarkStart w:id="1348" w:name="_Toc340814340"/>
      <w:bookmarkStart w:id="1349" w:name="_Toc340814239"/>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r>
        <w:rPr>
          <w:rFonts w:ascii="Times New Roman;Times;serif" w:hAnsi="Times New Roman;Times;serif"/>
          <w:sz w:val="24"/>
          <w:u w:val="single"/>
        </w:rPr>
        <w:t>Consideration</w:t>
      </w:r>
      <w:r>
        <w:rPr>
          <w:rFonts w:ascii="Times New Roman;Times;serif" w:hAnsi="Times New Roman;Times;serif"/>
          <w:sz w:val="24"/>
        </w:rPr>
        <w:t>.</w:t>
      </w:r>
    </w:p>
    <w:p>
      <w:pPr>
        <w:pStyle w:val="TextBody"/>
        <w:bidi w:val="0"/>
        <w:spacing w:lineRule="auto" w:line="285" w:before="0" w:after="240"/>
        <w:ind w:left="90" w:right="0" w:hanging="0"/>
        <w:jc w:val="both"/>
        <w:rPr>
          <w:rFonts w:ascii="Arial;Helvetica;sans-serif" w:hAnsi="Arial;Helvetica;sans-serif"/>
          <w:sz w:val="21"/>
        </w:rPr>
      </w:pPr>
      <w:r>
        <w:rPr>
          <w:rFonts w:ascii="Times New Roman;Times;serif" w:hAnsi="Times New Roman;Times;serif"/>
          <w:color w:val="010000"/>
          <w:sz w:val="22"/>
        </w:rPr>
        <w:t>(a)</w:t>
      </w:r>
      <w:bookmarkStart w:id="1350" w:name="_Toc333516657"/>
      <w:bookmarkStart w:id="1351" w:name="_Toc333516486"/>
      <w:bookmarkEnd w:id="1350"/>
      <w:bookmarkEnd w:id="1351"/>
      <w:r>
        <w:rPr>
          <w:rFonts w:ascii="Times New Roman;Times;serif" w:hAnsi="Times New Roman;Times;serif"/>
          <w:sz w:val="24"/>
        </w:rPr>
        <w:t>The aggregate amount to be paid by the Purchaser for the Purchased Interests at the Closing shall be (i) $52,000,000 in cash, less $1,000,000 (the “</w:t>
      </w:r>
      <w:r>
        <w:rPr>
          <w:rFonts w:ascii="Times New Roman;Times;serif" w:hAnsi="Times New Roman;Times;serif"/>
          <w:sz w:val="24"/>
          <w:u w:val="single"/>
        </w:rPr>
        <w:t>Holdback Amount</w:t>
      </w:r>
      <w:r>
        <w:rPr>
          <w:rFonts w:ascii="Arial;Helvetica;sans-serif" w:hAnsi="Arial;Helvetica;sans-serif"/>
          <w:sz w:val="21"/>
        </w:rPr>
        <w:t>”</w:t>
      </w:r>
      <w:r>
        <w:rPr>
          <w:rFonts w:ascii="Times New Roman;Times;serif" w:hAnsi="Times New Roman;Times;serif"/>
          <w:sz w:val="24"/>
        </w:rPr>
        <w:t>) and less the aggregate amount of any Transaction Expenses of the Company and Indebtedness of the Company paid at the Closing ,  (ii) 131,626 of shares of Willdan Common Stock having a value equal to $10,000,000 calculated based upon the volume weighted average price for the twenty (20) Trading Days immediately preceding the third Trading Day prior to the Closing Date, bearing a two-year trading restriction and (iii) less 50% of the R&amp;W insurance premium and associated fees and costs (“R&amp;W Insurance Premium”) (collectively, the “</w:t>
      </w:r>
      <w:r>
        <w:rPr>
          <w:rFonts w:ascii="Times New Roman;Times;serif" w:hAnsi="Times New Roman;Times;serif"/>
          <w:sz w:val="24"/>
          <w:u w:val="single"/>
        </w:rPr>
        <w:t>Initial Purchase Price</w:t>
      </w:r>
      <w:r>
        <w:rPr>
          <w:rFonts w:ascii="Arial;Helvetica;sans-serif" w:hAnsi="Arial;Helvetica;sans-serif"/>
          <w:sz w:val="21"/>
        </w:rPr>
        <w:t>”</w:t>
      </w:r>
      <w:r>
        <w:rPr>
          <w:rFonts w:ascii="Times New Roman;Times;serif" w:hAnsi="Times New Roman;Times;serif"/>
          <w:sz w:val="24"/>
        </w:rPr>
        <w:t>).  The Purchaser shall pay the cash amount of the Initial Purchase Price</w:t>
      </w:r>
      <w:r>
        <w:rPr>
          <w:rFonts w:ascii="Arial;Helvetica;sans-serif" w:hAnsi="Arial;Helvetica;sans-serif"/>
          <w:sz w:val="21"/>
        </w:rPr>
        <w:t xml:space="preserve"> </w:t>
      </w:r>
      <w:r>
        <w:rPr>
          <w:rFonts w:ascii="Times New Roman;Times;serif" w:hAnsi="Times New Roman;Times;serif"/>
          <w:sz w:val="24"/>
        </w:rPr>
        <w:t>at Closing to each of the Sellers via a wire transfer of immediately available funds, in accordance with Section 2.2(b) and to an account designated by each Seller in writing prior to the Closing.  The Purchaser shall also issue the stock consideration of the Initial Purchase Price within three (3) Business Days from the date of Closing, to each of the Sellers via their designated stock brokerage accounts in accordance with Section 2.2(b).   The Holdback Amount under Section 2.2(a) shall be paid to the Sellers, or retained by Purchaser, when, as and to the extent provided in accordance with Section 2.4.</w:t>
      </w:r>
    </w:p>
    <w:p>
      <w:pPr>
        <w:pStyle w:val="TextBody"/>
        <w:bidi w:val="0"/>
        <w:spacing w:lineRule="auto" w:line="285"/>
        <w:ind w:left="86" w:right="0" w:hanging="0"/>
        <w:jc w:val="both"/>
        <w:rPr>
          <w:rFonts w:ascii="Arial;Helvetica;sans-serif" w:hAnsi="Arial;Helvetica;sans-serif"/>
          <w:sz w:val="21"/>
        </w:rPr>
      </w:pPr>
      <w:r>
        <w:rPr>
          <w:rFonts w:ascii="Times New Roman;Times;serif" w:hAnsi="Times New Roman;Times;serif"/>
          <w:sz w:val="22"/>
        </w:rPr>
        <w:t>(b)</w:t>
      </w:r>
      <w:bookmarkStart w:id="1352" w:name="_Toc340760276"/>
      <w:bookmarkStart w:id="1353" w:name="_Toc340759897"/>
      <w:bookmarkStart w:id="1354" w:name="_Toc340757428"/>
      <w:bookmarkEnd w:id="1352"/>
      <w:bookmarkEnd w:id="1353"/>
      <w:bookmarkEnd w:id="1354"/>
      <w:r>
        <w:rPr>
          <w:rFonts w:ascii="Times New Roman;Times;serif" w:hAnsi="Times New Roman;Times;serif"/>
          <w:sz w:val="24"/>
        </w:rPr>
        <w:t>The Initial Purchase Price due the Sellers and the Earn-Out Payment (as defined in Section 2.5) will be allocated among the Sellers in accordance with their ownership percentages of the Shares.  The Initial Purchase Price is subject to adjustment pursuant to Section 2.4, and any such adjustment shall be allocated among the Sellers in accordance with their ownership percentages of the Shares.  The Initial Purchase Price, as adjusted, and the Earn-Out Payment due hereunder will constitute the “</w:t>
      </w:r>
      <w:r>
        <w:rPr>
          <w:rFonts w:ascii="Times New Roman;Times;serif" w:hAnsi="Times New Roman;Times;serif"/>
          <w:sz w:val="24"/>
          <w:u w:val="single"/>
        </w:rPr>
        <w:t>Purchase Price</w:t>
      </w:r>
      <w:r>
        <w:rPr>
          <w:rFonts w:ascii="Arial;Helvetica;sans-serif" w:hAnsi="Arial;Helvetica;sans-serif"/>
          <w:sz w:val="21"/>
        </w:rPr>
        <w:t xml:space="preserve">” </w:t>
      </w:r>
      <w:r>
        <w:rPr>
          <w:rFonts w:ascii="Times New Roman;Times;serif" w:hAnsi="Times New Roman;Times;serif"/>
          <w:sz w:val="24"/>
        </w:rPr>
        <w:t xml:space="preserve">for purposes of this Agreement. </w:t>
      </w:r>
    </w:p>
    <w:p>
      <w:pPr>
        <w:pStyle w:val="TextBody"/>
        <w:bidi w:val="0"/>
        <w:spacing w:lineRule="auto" w:line="314" w:before="0" w:after="0"/>
        <w:ind w:left="0" w:right="0" w:hanging="0"/>
        <w:jc w:val="both"/>
        <w:rPr/>
      </w:pPr>
      <w:r>
        <w:rPr/>
        <w: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2.3</w:t>
      </w:r>
      <w:bookmarkStart w:id="1355" w:name="_Toc228467060"/>
      <w:bookmarkStart w:id="1356" w:name="_Toc493079716"/>
      <w:bookmarkStart w:id="1357" w:name="_Toc491264981"/>
      <w:bookmarkStart w:id="1358" w:name="_Toc491263196"/>
      <w:bookmarkStart w:id="1359" w:name="_Toc491250848"/>
      <w:bookmarkStart w:id="1360" w:name="_Toc491244291"/>
      <w:bookmarkStart w:id="1361" w:name="_Toc490572242"/>
      <w:bookmarkStart w:id="1362" w:name="_Toc488826749"/>
      <w:bookmarkStart w:id="1363" w:name="_Toc488825156"/>
      <w:bookmarkStart w:id="1364" w:name="_Toc445397403"/>
      <w:bookmarkStart w:id="1365" w:name="_Toc441652936"/>
      <w:bookmarkStart w:id="1366" w:name="_Toc343001440"/>
      <w:bookmarkStart w:id="1367" w:name="_Toc341780901"/>
      <w:bookmarkStart w:id="1368" w:name="_Toc341776327"/>
      <w:bookmarkStart w:id="1369" w:name="_Toc341771298"/>
      <w:bookmarkStart w:id="1370" w:name="_Toc340837388"/>
      <w:bookmarkStart w:id="1371" w:name="_Toc340828673"/>
      <w:bookmarkStart w:id="1372" w:name="_Toc340814344"/>
      <w:bookmarkStart w:id="1373" w:name="_Toc340814244"/>
      <w:bookmarkStart w:id="1374" w:name="_Toc340760281"/>
      <w:bookmarkStart w:id="1375" w:name="_Toc340759902"/>
      <w:bookmarkStart w:id="1376" w:name="_Toc340757433"/>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imes New Roman;Times;serif" w:hAnsi="Times New Roman;Times;serif"/>
          <w:sz w:val="24"/>
          <w:u w:val="single"/>
        </w:rPr>
        <w:t>Delivery of Certificates Evidencing Purchased Interests</w:t>
      </w:r>
      <w:bookmarkStart w:id="1377" w:name="_Toc340759903"/>
      <w:bookmarkStart w:id="1378" w:name="_Toc340757434"/>
      <w:bookmarkEnd w:id="1377"/>
      <w:bookmarkEnd w:id="1378"/>
      <w:r>
        <w:rPr>
          <w:rFonts w:ascii="Times New Roman;Times;serif" w:hAnsi="Times New Roman;Times;serif"/>
          <w:sz w:val="24"/>
        </w:rPr>
        <w:t>.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rPr>
        <w:t xml:space="preserve">At the Closing, each Seller shall deliver to the Purchaser transfer instruments, in form and substance reasonably satisfactory to the Purchaser, executed for transfer, representing the Purchased Interest held by each such Seller.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Initial Purchase Price paid upon the Closing and execution of the transfer instruments in accordance with the terms of this Article II shall be deemed to have been exchanged and paid in full satisfaction of all rights pertaining to the Purchased Interests.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At Closing, each Seller shall provide to Purchaser a completed W-9 Form.</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2.4</w:t>
      </w:r>
      <w:bookmarkStart w:id="1379" w:name="_Toc338754065"/>
      <w:bookmarkStart w:id="1380" w:name="_Toc338753912"/>
      <w:bookmarkStart w:id="1381" w:name="_Toc338753555"/>
      <w:bookmarkStart w:id="1382" w:name="_Toc338751625"/>
      <w:bookmarkStart w:id="1383" w:name="_Toc337829160"/>
      <w:bookmarkStart w:id="1384" w:name="_Toc337827990"/>
      <w:bookmarkStart w:id="1385" w:name="_Toc337827794"/>
      <w:bookmarkStart w:id="1386" w:name="_Toc337827425"/>
      <w:bookmarkStart w:id="1387" w:name="_Toc337826775"/>
      <w:bookmarkStart w:id="1388" w:name="_Toc330362492"/>
      <w:bookmarkStart w:id="1389" w:name="_Toc323048379"/>
      <w:bookmarkStart w:id="1390" w:name="_Toc326245789"/>
      <w:bookmarkStart w:id="1391" w:name="_Toc322069584"/>
      <w:bookmarkStart w:id="1392" w:name="_Toc303324360"/>
      <w:bookmarkStart w:id="1393" w:name="_Toc303323914"/>
      <w:bookmarkStart w:id="1394" w:name="_Toc302720272"/>
      <w:bookmarkStart w:id="1395" w:name="_Toc302653278"/>
      <w:bookmarkStart w:id="1396" w:name="_Toc302652005"/>
      <w:bookmarkStart w:id="1397" w:name="_Toc291766595"/>
      <w:bookmarkStart w:id="1398" w:name="_Toc289231444"/>
      <w:bookmarkStart w:id="1399" w:name="_Toc289230426"/>
      <w:bookmarkStart w:id="1400" w:name="_Toc289230273"/>
      <w:bookmarkStart w:id="1401" w:name="_Toc280770909"/>
      <w:bookmarkStart w:id="1402" w:name="_Toc280769490"/>
      <w:bookmarkStart w:id="1403" w:name="_Toc280768939"/>
      <w:bookmarkStart w:id="1404" w:name="_Toc280175596"/>
      <w:bookmarkStart w:id="1405" w:name="_Toc280174179"/>
      <w:bookmarkStart w:id="1406" w:name="_Toc280165631"/>
      <w:bookmarkStart w:id="1407" w:name="_Toc280164813"/>
      <w:bookmarkStart w:id="1408" w:name="_Toc280164233"/>
      <w:bookmarkStart w:id="1409" w:name="_Toc280114546"/>
      <w:bookmarkStart w:id="1410" w:name="_Toc280114003"/>
      <w:bookmarkStart w:id="1411" w:name="_Toc228467061"/>
      <w:bookmarkStart w:id="1412" w:name="_Toc493079717"/>
      <w:bookmarkStart w:id="1413" w:name="_Toc491264982"/>
      <w:bookmarkStart w:id="1414" w:name="_Toc491263197"/>
      <w:bookmarkStart w:id="1415" w:name="_Toc491250849"/>
      <w:bookmarkStart w:id="1416" w:name="_Toc491244292"/>
      <w:bookmarkStart w:id="1417" w:name="_Toc490572243"/>
      <w:bookmarkStart w:id="1418" w:name="_Toc488826750"/>
      <w:bookmarkStart w:id="1419" w:name="_Toc488825157"/>
      <w:bookmarkStart w:id="1420" w:name="_Toc445397404"/>
      <w:bookmarkStart w:id="1421" w:name="_Toc441652937"/>
      <w:bookmarkStart w:id="1422" w:name="_Toc343001441"/>
      <w:bookmarkStart w:id="1423" w:name="_Toc341780902"/>
      <w:bookmarkStart w:id="1424" w:name="_Toc341776328"/>
      <w:bookmarkStart w:id="1425" w:name="_Toc341771299"/>
      <w:bookmarkStart w:id="1426" w:name="_Toc340837389"/>
      <w:bookmarkStart w:id="1427" w:name="_Toc340828674"/>
      <w:bookmarkStart w:id="1428" w:name="_Toc340814345"/>
      <w:bookmarkStart w:id="1429" w:name="_Toc340814245"/>
      <w:bookmarkStart w:id="1430" w:name="_Toc340760282"/>
      <w:bookmarkStart w:id="1431" w:name="_Toc340759904"/>
      <w:bookmarkStart w:id="1432" w:name="_Toc340757435"/>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r>
        <w:rPr>
          <w:rFonts w:ascii="Times New Roman;Times;serif" w:hAnsi="Times New Roman;Times;serif"/>
          <w:sz w:val="24"/>
          <w:u w:val="single"/>
        </w:rPr>
        <w:t>Adjustment to Initial Purchase Price</w:t>
      </w:r>
      <w:bookmarkStart w:id="1433" w:name="_Toc340757436"/>
      <w:bookmarkEnd w:id="1433"/>
      <w:r>
        <w:rPr>
          <w:rFonts w:ascii="Times New Roman;Times;serif" w:hAnsi="Times New Roman;Times;serif"/>
          <w:sz w:val="24"/>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(a)The Initial Purchase Price shall be adjusted upward or downward on a dollar-for-dollar basis (the “</w:t>
      </w:r>
      <w:r>
        <w:rPr>
          <w:rFonts w:ascii="Times New Roman;Times;serif" w:hAnsi="Times New Roman;Times;serif"/>
          <w:sz w:val="24"/>
          <w:u w:val="single"/>
        </w:rPr>
        <w:t>Initial Purchase Price Adjustment</w:t>
      </w:r>
      <w:r>
        <w:rPr>
          <w:rFonts w:ascii="Arial;Helvetica;sans-serif" w:hAnsi="Arial;Helvetica;sans-serif"/>
          <w:sz w:val="21"/>
        </w:rPr>
        <w:t>”</w:t>
      </w:r>
      <w:r>
        <w:rPr>
          <w:rFonts w:ascii="Times New Roman;Times;serif" w:hAnsi="Times New Roman;Times;serif"/>
          <w:sz w:val="24"/>
        </w:rPr>
        <w:t>) to the extent that, as of the close of business on the Closing Date, the Company’s Net Working Capital (the “</w:t>
      </w:r>
      <w:r>
        <w:rPr>
          <w:rFonts w:ascii="Times New Roman;Times;serif" w:hAnsi="Times New Roman;Times;serif"/>
          <w:sz w:val="24"/>
          <w:u w:val="single"/>
        </w:rPr>
        <w:t>Closing NWC</w:t>
      </w:r>
      <w:r>
        <w:rPr>
          <w:rFonts w:ascii="Arial;Helvetica;sans-serif" w:hAnsi="Arial;Helvetica;sans-serif"/>
          <w:sz w:val="21"/>
        </w:rPr>
        <w:t>”</w:t>
      </w:r>
      <w:r>
        <w:rPr>
          <w:rFonts w:ascii="Times New Roman;Times;serif" w:hAnsi="Times New Roman;Times;serif"/>
          <w:sz w:val="24"/>
        </w:rPr>
        <w:t>), calculated as set forth below, is more or less than $0  (the “</w:t>
      </w:r>
      <w:r>
        <w:rPr>
          <w:rFonts w:ascii="Times New Roman;Times;serif" w:hAnsi="Times New Roman;Times;serif"/>
          <w:sz w:val="24"/>
          <w:u w:val="single"/>
        </w:rPr>
        <w:t>Target NWC</w:t>
      </w:r>
      <w:r>
        <w:rPr>
          <w:rFonts w:ascii="Arial;Helvetica;sans-serif" w:hAnsi="Arial;Helvetica;sans-serif"/>
          <w:sz w:val="21"/>
        </w:rPr>
        <w:t>”</w:t>
      </w:r>
      <w:r>
        <w:rPr>
          <w:rFonts w:ascii="Times New Roman;Times;serif" w:hAnsi="Times New Roman;Times;serif"/>
          <w:sz w:val="24"/>
        </w:rPr>
        <w:t xml:space="preserve">).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The Initial Purchase Price Adjustment will be determined by (A) preparing a Closing Date balance sheet that is mutually agreed to by the Parties, (B) calculating the difference between the Closing NWC and the Target NWC, and (C) making payment of the difference to the appropriate party.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The Closing NWC will be calculated as (A) the Company’s current assets, as further described in subparagraph (b) below, less (B) the Company’s current liabilities (excluding the current portion of any Indebtedness and Transaction Expenses incurred by the Company and/or the Sellers that have not been paid prior to Closing)</w:t>
      </w:r>
      <w:r>
        <w:rPr>
          <w:rFonts w:ascii="Times New Roman;Times;serif" w:hAnsi="Times New Roman;Times;serif"/>
          <w:sz w:val="21"/>
        </w:rPr>
        <w:t xml:space="preserve">. </w:t>
      </w:r>
      <w:r>
        <w:rPr>
          <w:rFonts w:ascii="Times New Roman;Times;serif" w:hAnsi="Times New Roman;Times;serif"/>
          <w:sz w:val="24"/>
        </w:rPr>
        <w:t>For clarification, the Closing NWC shall be calculated from Seller’s accounting system on the accrual basis consistent with the Company’s historical accounting practices which shall not be materially different than GAAP, and shall include any work in progress and accrued vacation, holiday, sick time and deferred revenue, as well as a pro rata portion of the expected year-end bonus expense for all employees and any accrued liability for performance or other incentive bonuses.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(b)</w:t>
      </w:r>
      <w:r>
        <w:rPr>
          <w:rFonts w:ascii="Times New Roman;Times;serif" w:hAnsi="Times New Roman;Times;serif"/>
          <w:sz w:val="24"/>
        </w:rPr>
        <w:t>Not later than sixty (60) days after the Closing Date, the amount of the Closing NWC shall be determined and set forth in a statement to be prepared by the Seller Representative (the “</w:t>
      </w:r>
      <w:r>
        <w:rPr>
          <w:rFonts w:ascii="Times New Roman;Times;serif" w:hAnsi="Times New Roman;Times;serif"/>
          <w:sz w:val="24"/>
          <w:u w:val="single"/>
        </w:rPr>
        <w:t>Final Statement</w:t>
      </w:r>
      <w:r>
        <w:rPr>
          <w:rFonts w:ascii="Arial;Helvetica;sans-serif" w:hAnsi="Arial;Helvetica;sans-serif"/>
          <w:sz w:val="21"/>
        </w:rPr>
        <w:t>”</w:t>
      </w:r>
      <w:r>
        <w:rPr>
          <w:rFonts w:ascii="Times New Roman;Times;serif" w:hAnsi="Times New Roman;Times;serif"/>
          <w:sz w:val="24"/>
        </w:rPr>
        <w:t>). The Final Statement shall be prepared from Company’s accounting system on the accrual basis according to Company’s historical practices as consistently applied, which will be substantially in accordance with GAAP, and shall reflect all current assets  and current liabilities (excluding Indebtedness and Transaction Expenses) of the Company as of the Closing Date as described in subparagraph (a)(ii) above. The Parties agree that the earn-out liabilities payable under Section 2.5 hereof will be accounted for on the Purchaser’s Books and Records and, accordingly, will not be considered liabilities of the Company for purposes of calculating NWC.</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 xml:space="preserve">The Seller Representative shall cause the Final Statement to be delivered to the Purchaser for review by the Purchaser and its accountants in accordance with Section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2.4(b).  The Final Statement shall be final and binding upon the Parties for all purposes, unless the Purchaser shall notify the Seller Representative in writing, not later than thirty (30) days from the Purchaser’s receipt of the Final Statement, of a disagreement with the amounts reflected in the Final Statement (the “</w:t>
      </w:r>
      <w:r>
        <w:rPr>
          <w:rFonts w:ascii="Times New Roman;Times;serif" w:hAnsi="Times New Roman;Times;serif"/>
          <w:sz w:val="24"/>
          <w:u w:val="single"/>
        </w:rPr>
        <w:t>Final Statement Disagreement</w:t>
      </w:r>
      <w:r>
        <w:rPr>
          <w:rFonts w:ascii="Arial;Helvetica;sans-serif" w:hAnsi="Arial;Helvetica;sans-serif"/>
          <w:sz w:val="21"/>
        </w:rPr>
        <w:t>”</w:t>
      </w:r>
      <w:r>
        <w:rPr>
          <w:rFonts w:ascii="Times New Roman;Times;serif" w:hAnsi="Times New Roman;Times;serif"/>
          <w:sz w:val="24"/>
        </w:rPr>
        <w:t>), in which event the provisions of subparagraph (d) below shall apply.  Such notice shall specify all items as to which there is disagreement, including the amount, and provide an explanation of the basis for such disagreement.  During the 30-day review period, the Purchaser and its representatives shall have full access to the Company’s Books and Records, and the Seller shall make available to the Purchaser, at reasonable times and upon reasonable notice, the employees, representatives and agents of the Seller who prepared, or assisted in the preparation of, the Final Statement.  The failure of the Purchaser to timely notify the Seller Representative in writing of the existence of a Final Statement Disagreement shall be deemed, for all purposes, the Purchaser’s acceptance of the Final Statement.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In the event and to the extent that the Purchaser shall timely notify the Seller Representative in writing, as provided in subparagraph (c) above, of a Final Statement Disagreement, the Parties shall attempt, in good faith, to resolve such disagreement.  In the event the Parties are unable to resolve such Final Statement Disagreement within ten (10) Business Days from the date of receipt by the Seller Representative of notice from the Purchaser of the Final Statement Disagreement, each of the Purchaser and the Seller Representative shall, within ten (10) Business Days, submit to representatives of a mutually agreed independent accounting firm that has not provided services to Sellers or Purchaser or any of their respective Affiliates within the last three (3) years (the “</w:t>
      </w:r>
      <w:r>
        <w:rPr>
          <w:rFonts w:ascii="Times New Roman;Times;serif" w:hAnsi="Times New Roman;Times;serif"/>
          <w:sz w:val="24"/>
          <w:u w:val="single"/>
        </w:rPr>
        <w:t>Accountants</w:t>
      </w:r>
      <w:r>
        <w:rPr>
          <w:rFonts w:ascii="Arial;Helvetica;sans-serif" w:hAnsi="Arial;Helvetica;sans-serif"/>
          <w:sz w:val="21"/>
        </w:rPr>
        <w:t>”</w:t>
      </w:r>
      <w:r>
        <w:rPr>
          <w:rFonts w:ascii="Times New Roman;Times;serif" w:hAnsi="Times New Roman;Times;serif"/>
          <w:sz w:val="24"/>
        </w:rPr>
        <w:t>) their respective proposal concerning what the amount of Closing NWC should be, together with all relevant financial data, and the Final Statement Disagreement shall be submitted for final and binding arbitration and resolution by the Accountants.  In resolving the Final Statement Disagreement, the Accountants shall only consider those items or amounts in the Final Statement as to which the Parties disagree.  After completing their review of the Final Statement Disagreement, the Accountants shall resolve each item in dispute and confirm their conclusion (and the resulting amounts) in writing to the Seller Representative and the Purchaser.  The Parties shall instruct the Accountants to deliver their written conclusion to the Purchaser and the Seller Representative no later than thirty (30) days following the conclusion of the presentation of the Purchaser’s and the Seller Representative’s respective proposals to the Accountants.  The decision of the Accountants regarding such adjustment shall be final and binding upon the Parties for all purposes and enforceable in any court of competent jurisdiction.  The fees and costs of the Accountants, if any, shall be borne based on the inverse of the percentage that the Accountants’ determination bears to the total amount of the total items in dispute as originally submitted to the Accountants.  For example, should the items in dispute total in amount to $1,000 and the Accountants awards $600 in favor of Sellers, 60% of the costs of its review would be borne by the Purchaser and 40% of the costs would be borne by Sellers.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 xml:space="preserve">In the event the Closing NWC is finally determined to equal or exceed the Target NWC, the excess, if any, and the remaining balance of the Holdback Amount shall be paid to Sellers in accordance with  Section 2.2(b).  In the event the Closing NWC is finally determined to be less than the Target NWC, the Purchaser shall be entitled to retain a portion of the Holdback Amount equal to the negative adjustment amount set forth in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Final Statement (the “NWC Shortfall”), and the remainder of the Holdback Amount, if any, shall be released to Sellers. If the Holdback Amount is insufficient to satisfy the entire NWC Shortfall, then within five (5) Business Days of acceptance of the applicable Closing NWC Statement, the Seller Representative shall collect the amount of deficiency in excess of the Holdback Amount, if any from the Sellers and the Sellers shall pay to the Purchaser the full excess amount of such deficiency in cash.  Any payment required by this subparagraph (e) shall be made within ten (10) days after the determination that there is no dispute among the Parties with respect to the Final Statement if there is no such dispute, or ten (10) days after the resolution of any such dispute pursuant to subparagraph (d) hereof.</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2.5</w:t>
      </w:r>
      <w:bookmarkStart w:id="1434" w:name="_Toc493079718"/>
      <w:bookmarkStart w:id="1435" w:name="_Toc491264983"/>
      <w:bookmarkStart w:id="1436" w:name="_Toc491263198"/>
      <w:bookmarkStart w:id="1437" w:name="_Toc491250850"/>
      <w:bookmarkStart w:id="1438" w:name="_Toc491244293"/>
      <w:bookmarkStart w:id="1439" w:name="_Toc490572244"/>
      <w:bookmarkStart w:id="1440" w:name="_Toc488826751"/>
      <w:bookmarkStart w:id="1441" w:name="_Toc488825158"/>
      <w:bookmarkStart w:id="1442" w:name="_Toc445397405"/>
      <w:bookmarkStart w:id="1443" w:name="_Toc441652938"/>
      <w:bookmarkStart w:id="1444" w:name="_Toc343001442"/>
      <w:bookmarkStart w:id="1445" w:name="_Toc341780903"/>
      <w:bookmarkStart w:id="1446" w:name="_Toc341776329"/>
      <w:bookmarkStart w:id="1447" w:name="_Toc341771300"/>
      <w:bookmarkStart w:id="1448" w:name="_Toc340837390"/>
      <w:bookmarkStart w:id="1449" w:name="_Toc340828675"/>
      <w:bookmarkStart w:id="1450" w:name="_Toc340814346"/>
      <w:bookmarkStart w:id="1451" w:name="_Toc340814246"/>
      <w:bookmarkStart w:id="1452" w:name="_Toc340760283"/>
      <w:bookmarkStart w:id="1453" w:name="_Toc340759905"/>
      <w:bookmarkStart w:id="1454" w:name="_Toc340757437"/>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sz w:val="24"/>
        </w:rPr>
        <w:t xml:space="preserve"> </w:t>
      </w:r>
      <w:bookmarkStart w:id="1455" w:name="_Toc228467062"/>
      <w:bookmarkEnd w:id="1455"/>
      <w:r>
        <w:rPr>
          <w:rFonts w:ascii="Times New Roman;Times;serif" w:hAnsi="Times New Roman;Times;serif"/>
          <w:sz w:val="24"/>
        </w:rPr>
        <w:t>Earn-Out Consideration.  In addition to the Initial Purchase Price, the Sellers may receive additional consideration of up to $12,000,000 (the “</w:t>
      </w:r>
      <w:r>
        <w:rPr>
          <w:rFonts w:ascii="Times New Roman;Times;serif" w:hAnsi="Times New Roman;Times;serif"/>
          <w:sz w:val="24"/>
          <w:u w:val="single"/>
        </w:rPr>
        <w:t>Maximum Earnout</w:t>
      </w:r>
      <w:r>
        <w:rPr>
          <w:rFonts w:ascii="Times New Roman;Times;serif" w:hAnsi="Times New Roman;Times;serif"/>
          <w:sz w:val="24"/>
        </w:rPr>
        <w:t>”) payable in cash, over a two-year earn-out period (the “</w:t>
      </w:r>
      <w:r>
        <w:rPr>
          <w:rFonts w:ascii="Times New Roman;Times;serif" w:hAnsi="Times New Roman;Times;serif"/>
          <w:sz w:val="24"/>
          <w:u w:val="single"/>
        </w:rPr>
        <w:t>Earn-Out Period</w:t>
      </w:r>
      <w:r>
        <w:rPr>
          <w:rFonts w:ascii="Times New Roman;Times;serif" w:hAnsi="Times New Roman;Times;serif"/>
          <w:sz w:val="24"/>
        </w:rPr>
        <w:t xml:space="preserve">”) following the Closing Date.  The earn-out, described below, will be paid in accordance with the following terms (it is being understood that the aggregate of all Earn-Out payments paid to Sellers pursuant to this Agreement shall not exceed the Maximum Earnout under any circumstances): </w:t>
      </w:r>
    </w:p>
    <w:p>
      <w:pPr>
        <w:pStyle w:val="TextBody"/>
        <w:bidi w:val="0"/>
        <w:spacing w:lineRule="auto" w:line="285" w:before="0" w:after="21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(a)</w:t>
      </w:r>
      <w:r>
        <w:rPr>
          <w:rFonts w:ascii="Times New Roman;Times;serif" w:hAnsi="Times New Roman;Times;serif"/>
          <w:sz w:val="24"/>
        </w:rPr>
        <w:t>With respect to the period of the first twenty-four months following the Closing (the “</w:t>
      </w:r>
      <w:r>
        <w:rPr>
          <w:rFonts w:ascii="Times New Roman;Times;serif" w:hAnsi="Times New Roman;Times;serif"/>
          <w:sz w:val="24"/>
          <w:u w:val="single"/>
        </w:rPr>
        <w:t>Earn-Out Period</w:t>
      </w:r>
      <w:r>
        <w:rPr>
          <w:rFonts w:ascii="Arial;Helvetica;sans-serif" w:hAnsi="Arial;Helvetica;sans-serif"/>
          <w:sz w:val="21"/>
        </w:rPr>
        <w:t>”</w:t>
      </w:r>
      <w:r>
        <w:rPr>
          <w:rFonts w:ascii="Times New Roman;Times;serif" w:hAnsi="Times New Roman;Times;serif"/>
          <w:sz w:val="24"/>
        </w:rPr>
        <w:t>), the Purchaser will make an earn-out payment based upon the Company’s earnings before interest, taxes, depreciation and amortization (“</w:t>
      </w:r>
      <w:r>
        <w:rPr>
          <w:rFonts w:ascii="Times New Roman;Times;serif" w:hAnsi="Times New Roman;Times;serif"/>
          <w:sz w:val="24"/>
          <w:u w:val="single"/>
        </w:rPr>
        <w:t>EBITDA</w:t>
      </w:r>
      <w:r>
        <w:rPr>
          <w:rFonts w:ascii="Arial;Helvetica;sans-serif" w:hAnsi="Arial;Helvetica;sans-serif"/>
          <w:sz w:val="21"/>
        </w:rPr>
        <w:t>”</w:t>
      </w:r>
      <w:r>
        <w:rPr>
          <w:rFonts w:ascii="Times New Roman;Times;serif" w:hAnsi="Times New Roman;Times;serif"/>
          <w:sz w:val="24"/>
        </w:rPr>
        <w:t>) during the first and second twelve-month periods comprising the Earn-Out Period (each, an “</w:t>
      </w:r>
      <w:r>
        <w:rPr>
          <w:rFonts w:ascii="Times New Roman;Times;serif" w:hAnsi="Times New Roman;Times;serif"/>
          <w:sz w:val="24"/>
          <w:u w:val="single"/>
        </w:rPr>
        <w:t>Earn-Out Payment</w:t>
      </w:r>
      <w:r>
        <w:rPr>
          <w:rFonts w:ascii="Arial;Helvetica;sans-serif" w:hAnsi="Arial;Helvetica;sans-serif"/>
          <w:sz w:val="21"/>
        </w:rPr>
        <w:t>”</w:t>
      </w:r>
      <w:r>
        <w:rPr>
          <w:rFonts w:ascii="Times New Roman;Times;serif" w:hAnsi="Times New Roman;Times;serif"/>
          <w:sz w:val="24"/>
        </w:rPr>
        <w:t>). For purposes of determining the Earn-Out Payments, EBITDA for any twelve-month period is defined as earnings from operations of the Company during such twelve-month period determined in accordance with GAAP, as adjusted for interest, income taxes, depreciation and amortization allocable to such twelve-month period, and further adjusted by adding back each of the following items to the extent deducted in computing such earnings from operations: (ii) any stock-based compensation expense, equity award amortization, or similar non-cash charges attributable to equity grants or awards made by Purchaser or any of its Affiliates to employees or service providers of the Company after the Closing Date;; (iv) any overhead allocations, management fees, intercompany charges, or other amounts charged or allocated to the Company by Purchaser or any of its Affiliates after the Closing, to the extent such charges would not have been borne by the Company in the Ordinary Course on a standalone basis; (v) any charges, expenses, or write-offs resulting from any change in accounting methods, policies, or principles imposed on the Company by Purchaser or any of its Affiliates after the Closing that differ fromGAAP; and (vi) any non-cash impairment charges, write-downs of goodwill or other intangible assets, or purchase accounting adjustments arising from or related to the Acquisition (collectively, the “</w:t>
      </w:r>
      <w:r>
        <w:rPr>
          <w:rFonts w:ascii="Times New Roman;Times;serif" w:hAnsi="Times New Roman;Times;serif"/>
          <w:sz w:val="24"/>
          <w:u w:val="single"/>
        </w:rPr>
        <w:t>EBITDA Add-Backs</w:t>
      </w:r>
      <w:r>
        <w:rPr>
          <w:rFonts w:ascii="Arial;Helvetica;sans-serif" w:hAnsi="Arial;Helvetica;sans-serif"/>
          <w:sz w:val="21"/>
        </w:rPr>
        <w:t>”</w:t>
      </w:r>
      <w:r>
        <w:rPr>
          <w:rFonts w:ascii="Times New Roman;Times;serif" w:hAnsi="Times New Roman;Times;serif"/>
          <w:sz w:val="24"/>
        </w:rPr>
        <w:t xml:space="preserve">). For the avoidance of doubt, no EBITDA Add-Back shall result in any item being added back more than once. The calculation of the Company’s EBITDA will include any charges borne by the Purchaser from Persons that are not Affiliates of Purchaser solely for the benefit of the Company that otherwise would have been incurred directly by the Company in the Ordinary Course regardless of the sale of the Company contemplated hereby. </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(b)</w:t>
      </w:r>
      <w:r>
        <w:rPr>
          <w:rFonts w:ascii="Times New Roman;Times;serif" w:hAnsi="Times New Roman;Times;serif"/>
          <w:sz w:val="24"/>
        </w:rPr>
        <w:t>If the Company generates EBITDA of or exceeding $[REDACTED]</w:t>
      </w:r>
      <w:r>
        <w:rPr>
          <w:rFonts w:ascii="Arial;Helvetica;sans-serif" w:hAnsi="Arial;Helvetica;sans-serif"/>
          <w:sz w:val="21"/>
        </w:rPr>
        <w:t xml:space="preserve"> </w:t>
      </w:r>
      <w:r>
        <w:rPr>
          <w:rFonts w:ascii="Times New Roman;Times;serif" w:hAnsi="Times New Roman;Times;serif"/>
          <w:sz w:val="24"/>
        </w:rPr>
        <w:t>(the “</w:t>
      </w:r>
      <w:r>
        <w:rPr>
          <w:rFonts w:ascii="Times New Roman;Times;serif" w:hAnsi="Times New Roman;Times;serif"/>
          <w:sz w:val="24"/>
          <w:u w:val="single"/>
        </w:rPr>
        <w:t>Year 1 EBITDA Target</w:t>
      </w:r>
      <w:r>
        <w:rPr>
          <w:rFonts w:ascii="Arial;Helvetica;sans-serif" w:hAnsi="Arial;Helvetica;sans-serif"/>
          <w:sz w:val="21"/>
        </w:rPr>
        <w:t>”</w:t>
      </w:r>
      <w:r>
        <w:rPr>
          <w:rFonts w:ascii="Times New Roman;Times;serif" w:hAnsi="Times New Roman;Times;serif"/>
          <w:sz w:val="24"/>
        </w:rPr>
        <w:t xml:space="preserve">) during </w:t>
      </w:r>
      <w:bookmarkStart w:id="1456" w:name="_Hlk190124948"/>
      <w:bookmarkEnd w:id="1456"/>
      <w:r>
        <w:rPr>
          <w:rFonts w:ascii="Times New Roman;Times;serif" w:hAnsi="Times New Roman;Times;serif"/>
          <w:sz w:val="24"/>
        </w:rPr>
        <w:t xml:space="preserve">the twelve-month period beginning on the Closing Date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and ending on the day prior to the first anniversary of the Closing Date (such period, “</w:t>
      </w:r>
      <w:r>
        <w:rPr>
          <w:rFonts w:ascii="Times New Roman;Times;serif" w:hAnsi="Times New Roman;Times;serif"/>
          <w:sz w:val="24"/>
          <w:u w:val="single"/>
        </w:rPr>
        <w:t>Year 1</w:t>
      </w:r>
      <w:r>
        <w:rPr>
          <w:rFonts w:ascii="Arial;Helvetica;sans-serif" w:hAnsi="Arial;Helvetica;sans-serif"/>
          <w:sz w:val="21"/>
        </w:rPr>
        <w:t>”</w:t>
      </w:r>
      <w:r>
        <w:rPr>
          <w:rFonts w:ascii="Times New Roman;Times;serif" w:hAnsi="Times New Roman;Times;serif"/>
          <w:sz w:val="24"/>
        </w:rPr>
        <w:t>), the Purchaser will make an Earn-Out Payment of $6,000,000. For EBITDA of less than $[REDACTED]</w:t>
      </w:r>
      <w:r>
        <w:rPr>
          <w:rFonts w:ascii="Arial;Helvetica;sans-serif" w:hAnsi="Arial;Helvetica;sans-serif"/>
          <w:sz w:val="21"/>
        </w:rPr>
        <w:t xml:space="preserve"> </w:t>
      </w:r>
      <w:r>
        <w:rPr>
          <w:rFonts w:ascii="Times New Roman;Times;serif" w:hAnsi="Times New Roman;Times;serif"/>
          <w:sz w:val="24"/>
        </w:rPr>
        <w:t xml:space="preserve">but more than $[REDACTED] for Year 1, the amount of the Earn-Out Payment required to be paid in respect of Year 1 will be </w:t>
      </w:r>
      <w:bookmarkStart w:id="1457" w:name="_Hlk190125436"/>
      <w:bookmarkEnd w:id="1457"/>
      <w:r>
        <w:rPr>
          <w:rFonts w:ascii="Times New Roman;Times;serif" w:hAnsi="Times New Roman;Times;serif"/>
          <w:sz w:val="24"/>
        </w:rPr>
        <w:t xml:space="preserve">pro-rated based upon the quotient of (i) the amount by which the Company’s EBITDA exceeds $[REDACTED], divided by (ii) $[REDACTED], multiplied by (iii) $[REDACTED]. No Earn-Out Payment is payable for Year 1 if the Company’s EBITDA is less than $[REDACTED]. The Earn-Out Payment is to be paid in cash to the Seller Representative for distribution to the Sellers under Section 2.2(b) within eighty-five (85) days after the first anniversary of the Closing Date, or ten (10) days after the resolution of an Earn-Out Disagreement. </w:t>
      </w:r>
    </w:p>
    <w:p>
      <w:pPr>
        <w:pStyle w:val="TextBody"/>
        <w:bidi w:val="0"/>
        <w:spacing w:lineRule="auto" w:line="285" w:before="0" w:after="210"/>
        <w:ind w:left="720" w:right="0" w:firstLine="720"/>
        <w:jc w:val="both"/>
        <w:rPr>
          <w:rFonts w:ascii="Arial;Helvetica;sans-serif" w:hAnsi="Arial;Helvetica;sans-serif"/>
          <w:sz w:val="21"/>
        </w:rPr>
      </w:pPr>
      <w:r>
        <w:rPr>
          <w:rFonts w:ascii="Times New Roman;Times;serif" w:hAnsi="Times New Roman;Times;serif"/>
          <w:sz w:val="24"/>
        </w:rPr>
        <w:t xml:space="preserve">. </w:t>
      </w:r>
      <w:r>
        <w:rPr>
          <w:rFonts w:ascii="Times New Roman;Times;serif" w:hAnsi="Times New Roman;Times;serif"/>
          <w:i/>
          <w:sz w:val="24"/>
        </w:rPr>
        <w:t>Earn-Out Example #1: if the Company’s EBITDA for Year 1 is $</w:t>
      </w:r>
      <w:r>
        <w:rPr>
          <w:rFonts w:ascii="Times New Roman;Times;serif" w:hAnsi="Times New Roman;Times;serif"/>
          <w:sz w:val="24"/>
        </w:rPr>
        <w:t>[REDACTED]</w:t>
      </w:r>
      <w:r>
        <w:rPr>
          <w:rFonts w:ascii="Times New Roman;Times;serif" w:hAnsi="Times New Roman;Times;serif"/>
          <w:i/>
          <w:sz w:val="24"/>
        </w:rPr>
        <w:t>, the Earn-Out Payment would be $</w:t>
      </w:r>
      <w:r>
        <w:rPr>
          <w:rFonts w:ascii="Times New Roman;Times;serif" w:hAnsi="Times New Roman;Times;serif"/>
          <w:sz w:val="24"/>
        </w:rPr>
        <w:t xml:space="preserve">[REDACTED] </w:t>
      </w:r>
      <w:r>
        <w:rPr>
          <w:rFonts w:ascii="Times New Roman;Times;serif" w:hAnsi="Times New Roman;Times;serif"/>
          <w:i/>
          <w:sz w:val="24"/>
        </w:rPr>
        <w:t xml:space="preserve">derived as </w:t>
      </w:r>
      <w:r>
        <w:rPr>
          <w:rFonts w:ascii="Times New Roman;Times;serif" w:hAnsi="Times New Roman;Times;serif"/>
          <w:sz w:val="24"/>
        </w:rPr>
        <w:t>[REDACTED]</w:t>
      </w:r>
      <w:r>
        <w:rPr>
          <w:rFonts w:ascii="Times New Roman;Times;serif" w:hAnsi="Times New Roman;Times;serif"/>
          <w:i/>
          <w:sz w:val="24"/>
        </w:rPr>
        <w:t>% of the $</w:t>
      </w:r>
      <w:r>
        <w:rPr>
          <w:rFonts w:ascii="Times New Roman;Times;serif" w:hAnsi="Times New Roman;Times;serif"/>
          <w:sz w:val="24"/>
        </w:rPr>
        <w:t xml:space="preserve">[REDACTED] </w:t>
      </w:r>
      <w:r>
        <w:rPr>
          <w:rFonts w:ascii="Times New Roman;Times;serif" w:hAnsi="Times New Roman;Times;serif"/>
          <w:i/>
          <w:sz w:val="24"/>
        </w:rPr>
        <w:t>total available for that period ((</w:t>
      </w:r>
      <w:r>
        <w:rPr>
          <w:rFonts w:ascii="Times New Roman;Times;serif" w:hAnsi="Times New Roman;Times;serif"/>
          <w:sz w:val="24"/>
        </w:rPr>
        <w:t>[REDACTED]</w:t>
      </w:r>
      <w:r>
        <w:rPr>
          <w:rFonts w:ascii="Times New Roman;Times;serif" w:hAnsi="Times New Roman;Times;serif"/>
          <w:i/>
          <w:sz w:val="24"/>
        </w:rPr>
        <w:t>/</w:t>
      </w:r>
      <w:r>
        <w:rPr>
          <w:rFonts w:ascii="Arial;Helvetica;sans-serif" w:hAnsi="Arial;Helvetica;sans-serif"/>
          <w:sz w:val="21"/>
        </w:rPr>
        <w:t xml:space="preserve"> </w:t>
      </w:r>
      <w:r>
        <w:rPr>
          <w:rFonts w:ascii="Times New Roman;Times;serif" w:hAnsi="Times New Roman;Times;serif"/>
          <w:sz w:val="24"/>
        </w:rPr>
        <w:t>[REDACTED]</w:t>
      </w:r>
      <w:r>
        <w:rPr>
          <w:rFonts w:ascii="Times New Roman;Times;serif" w:hAnsi="Times New Roman;Times;serif"/>
          <w:i/>
          <w:sz w:val="24"/>
        </w:rPr>
        <w:t xml:space="preserve">) x </w:t>
      </w:r>
      <w:r>
        <w:rPr>
          <w:rFonts w:ascii="Times New Roman;Times;serif" w:hAnsi="Times New Roman;Times;serif"/>
          <w:sz w:val="24"/>
        </w:rPr>
        <w:t>[REDACTED]</w:t>
      </w:r>
      <w:r>
        <w:rPr>
          <w:rFonts w:ascii="Times New Roman;Times;serif" w:hAnsi="Times New Roman;Times;serif"/>
          <w:i/>
          <w:sz w:val="24"/>
        </w:rPr>
        <w:t>).</w:t>
      </w:r>
    </w:p>
    <w:p>
      <w:pPr>
        <w:pStyle w:val="TextBody"/>
        <w:bidi w:val="0"/>
        <w:spacing w:lineRule="auto" w:line="285" w:before="0" w:after="210"/>
        <w:ind w:left="720" w:right="0" w:firstLine="720"/>
        <w:jc w:val="both"/>
        <w:rPr>
          <w:rFonts w:ascii="Arial;Helvetica;sans-serif" w:hAnsi="Arial;Helvetica;sans-serif"/>
          <w:sz w:val="21"/>
        </w:rPr>
      </w:pPr>
      <w:r>
        <w:rPr>
          <w:rFonts w:ascii="Times New Roman;Times;serif" w:hAnsi="Times New Roman;Times;serif"/>
          <w:i/>
          <w:sz w:val="24"/>
        </w:rPr>
        <w:t>Earn-Out Example #2: if the Company’s EBITDA for Year 1 is $</w:t>
      </w:r>
      <w:r>
        <w:rPr>
          <w:rFonts w:ascii="Times New Roman;Times;serif" w:hAnsi="Times New Roman;Times;serif"/>
          <w:sz w:val="24"/>
        </w:rPr>
        <w:t>[REDACTED]</w:t>
      </w:r>
      <w:r>
        <w:rPr>
          <w:rFonts w:ascii="Times New Roman;Times;serif" w:hAnsi="Times New Roman;Times;serif"/>
          <w:i/>
          <w:sz w:val="24"/>
        </w:rPr>
        <w:t xml:space="preserve">, the Earn-Out Payment for Year 1 would be </w:t>
      </w:r>
      <w:r>
        <w:rPr>
          <w:rFonts w:ascii="Times New Roman;Times;serif" w:hAnsi="Times New Roman;Times;serif"/>
          <w:sz w:val="24"/>
        </w:rPr>
        <w:t>[REDACTED]</w:t>
      </w:r>
      <w:r>
        <w:rPr>
          <w:rFonts w:ascii="Times New Roman;Times;serif" w:hAnsi="Times New Roman;Times;serif"/>
          <w:i/>
          <w:sz w:val="24"/>
        </w:rPr>
        <w:t>% of the $</w:t>
      </w:r>
      <w:r>
        <w:rPr>
          <w:rFonts w:ascii="Times New Roman;Times;serif" w:hAnsi="Times New Roman;Times;serif"/>
          <w:sz w:val="24"/>
        </w:rPr>
        <w:t xml:space="preserve">[REDACTED] </w:t>
      </w:r>
      <w:r>
        <w:rPr>
          <w:rFonts w:ascii="Times New Roman;Times;serif" w:hAnsi="Times New Roman;Times;serif"/>
          <w:i/>
          <w:sz w:val="24"/>
        </w:rPr>
        <w:t xml:space="preserve">total available for that period, </w:t>
      </w:r>
    </w:p>
    <w:p>
      <w:pPr>
        <w:pStyle w:val="TextBody"/>
        <w:bidi w:val="0"/>
        <w:spacing w:lineRule="auto" w:line="285" w:before="0" w:after="210"/>
        <w:ind w:left="81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If the Company generates EBITDA </w:t>
      </w:r>
      <w:bookmarkStart w:id="1458" w:name="_Hlk190126376"/>
      <w:bookmarkEnd w:id="1458"/>
      <w:r>
        <w:rPr>
          <w:rFonts w:ascii="Times New Roman;Times;serif" w:hAnsi="Times New Roman;Times;serif"/>
          <w:sz w:val="24"/>
        </w:rPr>
        <w:t>of or exceeding $[REDACTED]</w:t>
      </w:r>
      <w:r>
        <w:rPr>
          <w:rFonts w:ascii="Arial;Helvetica;sans-serif" w:hAnsi="Arial;Helvetica;sans-serif"/>
          <w:sz w:val="21"/>
        </w:rPr>
        <w:t xml:space="preserve"> </w:t>
      </w:r>
      <w:r>
        <w:rPr>
          <w:rFonts w:ascii="Times New Roman;Times;serif" w:hAnsi="Times New Roman;Times;serif"/>
          <w:sz w:val="24"/>
        </w:rPr>
        <w:t>(the “</w:t>
      </w:r>
      <w:r>
        <w:rPr>
          <w:rFonts w:ascii="Times New Roman;Times;serif" w:hAnsi="Times New Roman;Times;serif"/>
          <w:sz w:val="24"/>
          <w:u w:val="single"/>
        </w:rPr>
        <w:t>Year 2 EBITDA Target</w:t>
      </w:r>
      <w:r>
        <w:rPr>
          <w:rFonts w:ascii="Arial;Helvetica;sans-serif" w:hAnsi="Arial;Helvetica;sans-serif"/>
          <w:sz w:val="21"/>
        </w:rPr>
        <w:t>”</w:t>
      </w:r>
      <w:r>
        <w:rPr>
          <w:rFonts w:ascii="Times New Roman;Times;serif" w:hAnsi="Times New Roman;Times;serif"/>
          <w:sz w:val="24"/>
        </w:rPr>
        <w:t xml:space="preserve">) during Year 2, the Purchaser will make an Earn-Out Payment of $[REDACTED]. For EBITDA  of less than $[REDACTED] but more than $[REDACTED] for Year 2, the Earn-Out Payment </w:t>
      </w:r>
      <w:bookmarkStart w:id="1459" w:name="_Hlk190129027"/>
      <w:bookmarkEnd w:id="1459"/>
      <w:r>
        <w:rPr>
          <w:rFonts w:ascii="Times New Roman;Times;serif" w:hAnsi="Times New Roman;Times;serif"/>
          <w:sz w:val="24"/>
        </w:rPr>
        <w:t xml:space="preserve">will be pro-rated based upon the quotient of (i) the amount by which the Company’s EBITDA for Year 2 exceeds $[REDACTED], divided by (ii) $[REDACTED], multiplied by (iii) the maximum Earn-Out Payment available for Year 2. No Earn-Out Payment is payable for Year 2 if the Company’s EBITDA for Year 2 </w:t>
      </w:r>
      <w:bookmarkStart w:id="1460" w:name="_Hlk190126312"/>
      <w:bookmarkEnd w:id="1460"/>
      <w:r>
        <w:rPr>
          <w:rFonts w:ascii="Times New Roman;Times;serif" w:hAnsi="Times New Roman;Times;serif"/>
          <w:sz w:val="24"/>
        </w:rPr>
        <w:t>is less than $[REDACTED]. The Earn-Out Payment is to be paid in cash to the Seller Representative for distribution to the Sellers under Section 2.2(b) within eighty-five (85) days after the second anniversary of the Closing Date, or ten (10) days after the resolution of an Earn-Out Disagreement.</w:t>
      </w:r>
    </w:p>
    <w:p>
      <w:pPr>
        <w:pStyle w:val="TextBody"/>
        <w:bidi w:val="0"/>
        <w:spacing w:lineRule="auto" w:line="285" w:before="0" w:after="210"/>
        <w:ind w:left="810" w:right="0" w:firstLine="630"/>
        <w:jc w:val="both"/>
        <w:rPr>
          <w:rFonts w:ascii="Arial;Helvetica;sans-serif" w:hAnsi="Arial;Helvetica;sans-serif"/>
          <w:sz w:val="21"/>
        </w:rPr>
      </w:pPr>
      <w:r>
        <w:rPr>
          <w:rFonts w:ascii="Times New Roman;Times;serif" w:hAnsi="Times New Roman;Times;serif"/>
          <w:i/>
          <w:sz w:val="24"/>
        </w:rPr>
        <w:t>Year 2 Example #1: if the Company’s EBITDA for Year 2 is $</w:t>
      </w:r>
      <w:r>
        <w:rPr>
          <w:rFonts w:ascii="Times New Roman;Times;serif" w:hAnsi="Times New Roman;Times;serif"/>
          <w:sz w:val="24"/>
        </w:rPr>
        <w:t>[REDACTED]</w:t>
      </w:r>
      <w:r>
        <w:rPr>
          <w:rFonts w:ascii="Times New Roman;Times;serif" w:hAnsi="Times New Roman;Times;serif"/>
          <w:i/>
          <w:sz w:val="24"/>
        </w:rPr>
        <w:t xml:space="preserve">, </w:t>
      </w:r>
      <w:bookmarkStart w:id="1461" w:name="_Hlk190128711"/>
      <w:bookmarkEnd w:id="1461"/>
      <w:r>
        <w:rPr>
          <w:rFonts w:ascii="Times New Roman;Times;serif" w:hAnsi="Times New Roman;Times;serif"/>
          <w:i/>
          <w:sz w:val="24"/>
        </w:rPr>
        <w:t>the Earn-Out Payment earned in Year 2 would be $</w:t>
      </w:r>
      <w:r>
        <w:rPr>
          <w:rFonts w:ascii="Times New Roman;Times;serif" w:hAnsi="Times New Roman;Times;serif"/>
          <w:sz w:val="24"/>
        </w:rPr>
        <w:t>[REDACTED]</w:t>
      </w:r>
      <w:r>
        <w:rPr>
          <w:rFonts w:ascii="Times New Roman;Times;serif" w:hAnsi="Times New Roman;Times;serif"/>
          <w:i/>
          <w:sz w:val="24"/>
        </w:rPr>
        <w:t xml:space="preserve">, representing </w:t>
      </w:r>
      <w:r>
        <w:rPr>
          <w:rFonts w:ascii="Times New Roman;Times;serif" w:hAnsi="Times New Roman;Times;serif"/>
          <w:sz w:val="24"/>
        </w:rPr>
        <w:t>[REDACTED]</w:t>
      </w:r>
      <w:r>
        <w:rPr>
          <w:rFonts w:ascii="Times New Roman;Times;serif" w:hAnsi="Times New Roman;Times;serif"/>
          <w:i/>
          <w:sz w:val="24"/>
        </w:rPr>
        <w:t>% of the $</w:t>
      </w:r>
      <w:r>
        <w:rPr>
          <w:rFonts w:ascii="Times New Roman;Times;serif" w:hAnsi="Times New Roman;Times;serif"/>
          <w:sz w:val="24"/>
        </w:rPr>
        <w:t xml:space="preserve">[REDACTED] </w:t>
      </w:r>
      <w:r>
        <w:rPr>
          <w:rFonts w:ascii="Times New Roman;Times;serif" w:hAnsi="Times New Roman;Times;serif"/>
          <w:i/>
          <w:sz w:val="24"/>
        </w:rPr>
        <w:t>maximum Earn-Out Payment available for that period (($</w:t>
      </w:r>
      <w:r>
        <w:rPr>
          <w:rFonts w:ascii="Times New Roman;Times;serif" w:hAnsi="Times New Roman;Times;serif"/>
          <w:sz w:val="24"/>
        </w:rPr>
        <w:t>[REDACTED]</w:t>
      </w:r>
      <w:r>
        <w:rPr>
          <w:rFonts w:ascii="Arial;Helvetica;sans-serif" w:hAnsi="Arial;Helvetica;sans-serif"/>
          <w:sz w:val="21"/>
        </w:rPr>
        <w:t xml:space="preserve"> </w:t>
      </w:r>
      <w:r>
        <w:rPr>
          <w:rFonts w:ascii="Times New Roman;Times;serif" w:hAnsi="Times New Roman;Times;serif"/>
          <w:i/>
          <w:sz w:val="24"/>
        </w:rPr>
        <w:t>Actual EBITDA in excess of $</w:t>
      </w:r>
      <w:r>
        <w:rPr>
          <w:rFonts w:ascii="Times New Roman;Times;serif" w:hAnsi="Times New Roman;Times;serif"/>
          <w:sz w:val="24"/>
        </w:rPr>
        <w:t>[REDACTED]</w:t>
      </w:r>
      <w:r>
        <w:rPr>
          <w:rFonts w:ascii="Arial;Helvetica;sans-serif" w:hAnsi="Arial;Helvetica;sans-serif"/>
          <w:sz w:val="21"/>
        </w:rPr>
        <w:t xml:space="preserve"> </w:t>
      </w:r>
      <w:r>
        <w:rPr>
          <w:rFonts w:ascii="Times New Roman;Times;serif" w:hAnsi="Times New Roman;Times;serif"/>
          <w:i/>
          <w:sz w:val="24"/>
        </w:rPr>
        <w:t>threshold)/ $</w:t>
      </w:r>
      <w:r>
        <w:rPr>
          <w:rFonts w:ascii="Times New Roman;Times;serif" w:hAnsi="Times New Roman;Times;serif"/>
          <w:sz w:val="24"/>
        </w:rPr>
        <w:t>[REDACTED]</w:t>
      </w:r>
      <w:r>
        <w:rPr>
          <w:rFonts w:ascii="Arial;Helvetica;sans-serif" w:hAnsi="Arial;Helvetica;sans-serif"/>
          <w:sz w:val="21"/>
        </w:rPr>
        <w:t xml:space="preserve"> </w:t>
      </w:r>
      <w:r>
        <w:rPr>
          <w:rFonts w:ascii="Times New Roman;Times;serif" w:hAnsi="Times New Roman;Times;serif"/>
          <w:i/>
          <w:sz w:val="24"/>
        </w:rPr>
        <w:t>EBITDA earn out range ($</w:t>
      </w:r>
      <w:r>
        <w:rPr>
          <w:rFonts w:ascii="Times New Roman;Times;serif" w:hAnsi="Times New Roman;Times;serif"/>
          <w:sz w:val="24"/>
        </w:rPr>
        <w:t xml:space="preserve">[REDACTED] </w:t>
      </w:r>
      <w:r>
        <w:rPr>
          <w:rFonts w:ascii="Times New Roman;Times;serif" w:hAnsi="Times New Roman;Times;serif"/>
          <w:i/>
          <w:sz w:val="24"/>
        </w:rPr>
        <w:t>target less $</w:t>
      </w:r>
      <w:r>
        <w:rPr>
          <w:rFonts w:ascii="Times New Roman;Times;serif" w:hAnsi="Times New Roman;Times;serif"/>
          <w:sz w:val="24"/>
        </w:rPr>
        <w:t>[REDACTED]</w:t>
      </w:r>
      <w:r>
        <w:rPr>
          <w:rFonts w:ascii="Arial;Helvetica;sans-serif" w:hAnsi="Arial;Helvetica;sans-serif"/>
          <w:sz w:val="21"/>
        </w:rPr>
        <w:t xml:space="preserve"> </w:t>
      </w:r>
      <w:r>
        <w:rPr>
          <w:rFonts w:ascii="Times New Roman;Times;serif" w:hAnsi="Times New Roman;Times;serif"/>
          <w:i/>
          <w:sz w:val="24"/>
        </w:rPr>
        <w:t>minimum) x $</w:t>
      </w:r>
      <w:r>
        <w:rPr>
          <w:rFonts w:ascii="Times New Roman;Times;serif" w:hAnsi="Times New Roman;Times;serif"/>
          <w:sz w:val="24"/>
        </w:rPr>
        <w:t>[REDACTED]</w:t>
      </w:r>
      <w:r>
        <w:rPr>
          <w:rFonts w:ascii="Times New Roman;Times;serif" w:hAnsi="Times New Roman;Times;serif"/>
          <w:i/>
          <w:sz w:val="24"/>
        </w:rPr>
        <w:t>).</w:t>
      </w:r>
    </w:p>
    <w:p>
      <w:pPr>
        <w:pStyle w:val="TextBody"/>
        <w:bidi w:val="0"/>
        <w:spacing w:lineRule="auto" w:line="314" w:before="0" w:after="240"/>
        <w:ind w:left="720" w:right="0" w:firstLine="720"/>
        <w:jc w:val="both"/>
        <w:rPr>
          <w:rFonts w:ascii="Arial;Helvetica;sans-serif" w:hAnsi="Arial;Helvetica;sans-serif"/>
          <w:sz w:val="21"/>
        </w:rPr>
      </w:pPr>
      <w:r>
        <w:rPr>
          <w:rFonts w:ascii="Times New Roman;Times;serif" w:hAnsi="Times New Roman;Times;serif"/>
          <w:i/>
          <w:sz w:val="24"/>
        </w:rPr>
        <w:t>Year 2 Example #2: if the Company’s EBITDA for Year 2, is $</w:t>
      </w:r>
      <w:r>
        <w:rPr>
          <w:rFonts w:ascii="Times New Roman;Times;serif" w:hAnsi="Times New Roman;Times;serif"/>
          <w:sz w:val="24"/>
        </w:rPr>
        <w:t>[REDACTED]</w:t>
      </w:r>
      <w:r>
        <w:rPr>
          <w:rFonts w:ascii="Times New Roman;Times;serif" w:hAnsi="Times New Roman;Times;serif"/>
          <w:i/>
          <w:sz w:val="24"/>
        </w:rPr>
        <w:t>,  as such EBITDA exceeds the Year 2 EBITDA Target by $</w:t>
      </w:r>
      <w:r>
        <w:rPr>
          <w:rFonts w:ascii="Times New Roman;Times;serif" w:hAnsi="Times New Roman;Times;serif"/>
          <w:sz w:val="24"/>
        </w:rPr>
        <w:t xml:space="preserve">[REDACTED] </w:t>
      </w:r>
      <w:r>
        <w:rPr>
          <w:rFonts w:ascii="Times New Roman;Times;serif" w:hAnsi="Times New Roman;Times;serif"/>
          <w:i/>
          <w:sz w:val="24"/>
        </w:rPr>
        <w:t>($</w:t>
      </w:r>
      <w:r>
        <w:rPr>
          <w:rFonts w:ascii="Times New Roman;Times;serif" w:hAnsi="Times New Roman;Times;serif"/>
          <w:sz w:val="24"/>
        </w:rPr>
        <w:t xml:space="preserve">[REDACTED] </w:t>
      </w:r>
      <w:r>
        <w:rPr>
          <w:rFonts w:ascii="Arial;Helvetica;sans-serif" w:hAnsi="Arial;Helvetica;sans-serif"/>
          <w:sz w:val="21"/>
        </w:rPr>
        <w:t xml:space="preserve">– </w:t>
      </w:r>
      <w:r>
        <w:rPr>
          <w:rFonts w:ascii="Times New Roman;Times;serif" w:hAnsi="Times New Roman;Times;serif"/>
          <w:i/>
          <w:sz w:val="24"/>
        </w:rPr>
        <w:t>$</w:t>
      </w:r>
      <w:r>
        <w:rPr>
          <w:rFonts w:ascii="Times New Roman;Times;serif" w:hAnsi="Times New Roman;Times;serif"/>
          <w:sz w:val="24"/>
        </w:rPr>
        <w:t>[REDACTED]</w:t>
      </w:r>
      <w:r>
        <w:rPr>
          <w:rFonts w:ascii="Times New Roman;Times;serif" w:hAnsi="Times New Roman;Times;serif"/>
          <w:i/>
          <w:sz w:val="24"/>
        </w:rPr>
        <w:t>). The Earn-Out Payment earned in Year 2 would be the $</w:t>
      </w:r>
      <w:r>
        <w:rPr>
          <w:rFonts w:ascii="Times New Roman;Times;serif" w:hAnsi="Times New Roman;Times;serif"/>
          <w:sz w:val="24"/>
        </w:rPr>
        <w:t xml:space="preserve">[REDACTED] </w:t>
      </w:r>
      <w:r>
        <w:rPr>
          <w:rFonts w:ascii="Times New Roman;Times;serif" w:hAnsi="Times New Roman;Times;serif"/>
          <w:i/>
          <w:sz w:val="24"/>
        </w:rPr>
        <w:t>maximum Earn-Out Payment available for that period.</w:t>
      </w:r>
    </w:p>
    <w:p>
      <w:pPr>
        <w:pStyle w:val="TextBody"/>
        <w:bidi w:val="0"/>
        <w:spacing w:lineRule="auto" w:line="285" w:before="0" w:after="0"/>
        <w:ind w:left="81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financial statement showing the Company’s EBITDA for the Earn-Out Period (the “</w:t>
      </w:r>
      <w:r>
        <w:rPr>
          <w:rFonts w:ascii="Times New Roman;Times;serif" w:hAnsi="Times New Roman;Times;serif"/>
          <w:sz w:val="24"/>
          <w:u w:val="single"/>
        </w:rPr>
        <w:t>Earn-Out Financial Statement</w:t>
      </w:r>
      <w:r>
        <w:rPr>
          <w:rFonts w:ascii="Arial;Helvetica;sans-serif" w:hAnsi="Arial;Helvetica;sans-serif"/>
          <w:sz w:val="21"/>
        </w:rPr>
        <w:t>”</w:t>
      </w:r>
      <w:r>
        <w:rPr>
          <w:rFonts w:ascii="Times New Roman;Times;serif" w:hAnsi="Times New Roman;Times;serif"/>
          <w:sz w:val="24"/>
        </w:rPr>
        <w:t xml:space="preserve">) shall be prepared by the Purchaser in accordance with  GAAP and delivered to the Seller Representative no later than forty-five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40"/>
        <w:ind w:left="810" w:right="0" w:hanging="0"/>
        <w:jc w:val="both"/>
        <w:rPr>
          <w:rFonts w:ascii="Arial;Helvetica;sans-serif" w:hAnsi="Arial;Helvetica;sans-serif"/>
          <w:sz w:val="21"/>
        </w:rPr>
      </w:pPr>
      <w:r>
        <w:rPr>
          <w:rFonts w:ascii="Times New Roman;Times;serif" w:hAnsi="Times New Roman;Times;serif"/>
          <w:sz w:val="24"/>
        </w:rPr>
        <w:t>(45) days following the end of the Earn-Out Period.  Unless the Seller Representative shall notify the Purchaser in writing, not later than thirty (30) days from the Seller Representative’s receipt of the Earn-Out Financial Statement, of a disagreement with the Earn-Out Financial Statement (an “</w:t>
      </w:r>
      <w:r>
        <w:rPr>
          <w:rFonts w:ascii="Times New Roman;Times;serif" w:hAnsi="Times New Roman;Times;serif"/>
          <w:sz w:val="24"/>
          <w:u w:val="single"/>
        </w:rPr>
        <w:t>Earn-Out Disagreement</w:t>
      </w:r>
      <w:r>
        <w:rPr>
          <w:rFonts w:ascii="Arial;Helvetica;sans-serif" w:hAnsi="Arial;Helvetica;sans-serif"/>
          <w:sz w:val="21"/>
        </w:rPr>
        <w:t>”</w:t>
      </w:r>
      <w:r>
        <w:rPr>
          <w:rFonts w:ascii="Times New Roman;Times;serif" w:hAnsi="Times New Roman;Times;serif"/>
          <w:sz w:val="24"/>
        </w:rPr>
        <w:t>), the Earn-Out Financial Statement shall be final and binding upon the parties hereto. Unless there is an Earn-Out Disagreement (which shall be resolved in accordance with subparagraph (e) below), the Purchaser shall, within ten (10) days following the acceptance or deemed acceptance by the Seller Representative of the Earn-Out Financial Statement, pay the appropriate Earn-Out Payment to the Seller Representative in cash via wire transfer of immediately available funds for appropriate distribution under Sections 2.2(b) and (c).  If there is an Earn-Out Disagreement, the amount of the Earn-Out Payment not in dispute shall be paid pursuant to the immediately preceding sentence.</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(e)</w:t>
      </w:r>
      <w:r>
        <w:rPr>
          <w:rFonts w:ascii="Arial;Helvetica;sans-serif" w:hAnsi="Arial;Helvetica;sans-serif"/>
          <w:sz w:val="21"/>
        </w:rPr>
        <w:t xml:space="preserve"> </w:t>
      </w:r>
      <w:r>
        <w:rPr>
          <w:rFonts w:ascii="Times New Roman;Times;serif" w:hAnsi="Times New Roman;Times;serif"/>
          <w:sz w:val="24"/>
        </w:rPr>
        <w:t xml:space="preserve">Notice of Earn-Out Disagreement shall specify all items as to which there is an Earn-Out Disagreement, including the amount, and provide an explanation of the basis for such Earn-Out Disagreement;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the Seller Representative shall not be precluded from raising additional points of disagreement or providing additional explanations in the subsequent discussions and arbitration discussed in subparagraph (i) below.  The Seller Representative’s failure to timely notify the Purchaser in writing of the existence of an Earn-Out Disagreement shall be deemed, for all purposes, to be the Seller Representative’s acceptance of the Earn-Out Financial Statement. In the event and to the extent that the Seller Representative shall timely notify the Purchaser in writing, as provided in subparagraph (d), of an Earn-Out Disagreement, the Parties hereto shall attempt, in good faith, to resolve such Earn-Out Disagreement (“</w:t>
      </w:r>
      <w:r>
        <w:rPr>
          <w:rFonts w:ascii="Times New Roman;Times;serif" w:hAnsi="Times New Roman;Times;serif"/>
          <w:sz w:val="24"/>
          <w:u w:val="single"/>
        </w:rPr>
        <w:t>Earn-Out Resolution Discussions</w:t>
      </w:r>
      <w:r>
        <w:rPr>
          <w:rFonts w:ascii="Arial;Helvetica;sans-serif" w:hAnsi="Arial;Helvetica;sans-serif"/>
          <w:sz w:val="21"/>
        </w:rPr>
        <w:t>”</w:t>
      </w:r>
      <w:r>
        <w:rPr>
          <w:rFonts w:ascii="Times New Roman;Times;serif" w:hAnsi="Times New Roman;Times;serif"/>
          <w:sz w:val="24"/>
        </w:rPr>
        <w:t xml:space="preserve">).  In the event that the Parties are unable to resolve such Earn-Out Disagreement within twenty (20) Business Days after the date of receipt by the Purchaser of notice from the Seller Representative of the Earn-Out Disagreement, the Purchaser and the Seller Representative shall, within ten (10) Business Days, submit to the Accountants its or his proposal to settle the Earn-Out Disagreement.  Further, the Parties shall submit to the Accountants all relevant financial data, and the Earn-Out Disagreement shall be submitted for final and binding arbitration and resolution by the Accountants.  In resolving the Earn-Out Disagreement, the Accountants shall only consider those items or amounts in the Earn-Out Financial Statement as to which the Parties have continued to disagree after the Earn-Out Resolution Discussions.  After completing their review of the Earn-Out Disagreement, the Accountants shall resolve each item in dispute and confirm their conclusion in writing to the Seller Representative and the Purchaser.  The Parties shall instruct the Accountants to deliver their written conclusion to the Purchaser and the Seller Representative no later than thirty (30) days following the conclusion of the presentation of the Purchaser’s and the Seller Representative’s respective proposals on the Earn-Out Disagreement to the Accountants.  The decision of the Accountants shall be final and binding upon the parties hereto for all purposes and enforceable in any court of competent jurisdiction.  Within three (3) days following the decision of the Accountants, the Purchaser shall make the required payment in cash to the Seller Representative for appropriate distribution, via wire transfer of immediately available funds.  The fees and costs of the Accountants, if any, in connection with such arbitration shall be borne based on the inverse of the percentage that the Accountants’ determination bears to the total amount of the total items in dispute as originally submitted to the Accountants.  For example, should the items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in dispute total in amount to $1,000 and the Accountants awards $600 in favor of Sellers, 60% of the costs of its review would be borne by the Purchaser and 40% of the costs would be borne by Sellers.</w:t>
      </w:r>
    </w:p>
    <w:p>
      <w:pPr>
        <w:pStyle w:val="TextBody"/>
        <w:bidi w:val="0"/>
        <w:spacing w:lineRule="auto" w:line="285" w:before="0" w:after="21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(f)</w:t>
      </w:r>
      <w:r>
        <w:rPr>
          <w:rFonts w:ascii="Arial;Helvetica;sans-serif" w:hAnsi="Arial;Helvetica;sans-serif"/>
          <w:sz w:val="21"/>
        </w:rPr>
        <w:t xml:space="preserve"> </w:t>
      </w:r>
      <w:r>
        <w:rPr>
          <w:rFonts w:ascii="Times New Roman;Times;serif" w:hAnsi="Times New Roman;Times;serif"/>
          <w:sz w:val="24"/>
        </w:rPr>
        <w:t>The Purchaser will make the work papers and back-up materials used in preparing the Earn-Out Financial Statements, and the books, records and financial staff of the Purchaser and the Company, available to the Seller Representative and his accountants and other representatives at reasonable times and upon reasonable notice at any time during (A) the preparation by the Purchaser of the Earn-Out Statement, (B) the review by the Seller Representative of the Earn-Out Statement, and (C) the resolution by the Parties of any objections thereto.</w:t>
      </w:r>
    </w:p>
    <w:p>
      <w:pPr>
        <w:pStyle w:val="TextBody"/>
        <w:bidi w:val="0"/>
        <w:spacing w:lineRule="auto" w:line="285"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(g)</w:t>
      </w:r>
      <w:r>
        <w:rPr>
          <w:rFonts w:ascii="Times New Roman;Times;serif" w:hAnsi="Times New Roman;Times;serif"/>
          <w:sz w:val="24"/>
        </w:rPr>
        <w:t>Until the expiration of the Earn-Out Period, except as consented to in writing by the Seller Representative, the Purchaser shall:</w:t>
      </w:r>
    </w:p>
    <w:p>
      <w:pPr>
        <w:pStyle w:val="TextBody"/>
        <w:bidi w:val="0"/>
        <w:spacing w:lineRule="auto" w:line="314" w:before="0" w:after="0"/>
        <w:ind w:left="720" w:right="0" w:hanging="0"/>
        <w:jc w:val="both"/>
        <w:rPr/>
      </w:pPr>
      <w:r>
        <w:rPr/>
        <w:t>​</w:t>
      </w:r>
    </w:p>
    <w:p>
      <w:pPr>
        <w:pStyle w:val="TextBody"/>
        <w:bidi w:val="0"/>
        <w:spacing w:lineRule="auto" w:line="285" w:before="0" w:after="0"/>
        <w:ind w:left="720" w:right="0" w:firstLine="1440"/>
        <w:jc w:val="both"/>
        <w:rPr>
          <w:rFonts w:ascii="Times New Roman;Times;serif" w:hAnsi="Times New Roman;Times;serif"/>
          <w:sz w:val="24"/>
        </w:rPr>
      </w:pPr>
      <w:r>
        <w:rPr>
          <w:rFonts w:ascii="Times New Roman;Times;serif" w:hAnsi="Times New Roman;Times;serif"/>
          <w:sz w:val="24"/>
        </w:rPr>
        <w:t>(i)conduct the operations of the Company in the usual and Ordinary Course to the extent such conduct is in compliance with the Purchaser’s operating policies (copies of which have been provided to Seller Representative) and take no action or make any omission intended to, or that would knowingly result in (A) a reduction in EBITDA below that which would have been achieved if such action had not been taken, or (B) a material increase in costs or expenses allocated to the Company that is not consistent with the Ordinary Course and is intended to, reduce the Company's EBITDA below that which would have been achieved if such action had not been taken;</w:t>
      </w:r>
    </w:p>
    <w:p>
      <w:pPr>
        <w:pStyle w:val="TextBody"/>
        <w:bidi w:val="0"/>
        <w:spacing w:lineRule="auto" w:line="314" w:before="0" w:after="0"/>
        <w:ind w:left="0" w:right="0" w:hanging="0"/>
        <w:jc w:val="both"/>
        <w:rPr/>
      </w:pPr>
      <w:r>
        <w:rPr/>
        <w:t>​</w:t>
      </w:r>
    </w:p>
    <w:p>
      <w:pPr>
        <w:pStyle w:val="TextBody"/>
        <w:bidi w:val="0"/>
        <w:spacing w:lineRule="auto" w:line="285" w:before="0" w:after="0"/>
        <w:ind w:left="720" w:right="0" w:firstLine="1440"/>
        <w:jc w:val="both"/>
        <w:rPr>
          <w:rFonts w:ascii="Arial;Helvetica;sans-serif" w:hAnsi="Arial;Helvetica;sans-serif"/>
          <w:sz w:val="21"/>
        </w:rPr>
      </w:pPr>
      <w:r>
        <w:rPr>
          <w:rFonts w:ascii="Times New Roman;Times;serif" w:hAnsi="Times New Roman;Times;serif"/>
          <w:sz w:val="24"/>
        </w:rPr>
        <w:t>(ii) use best efforts to maintain the relations and good will with suppliers, customers, landlords, creditors, employees, agents and others having business relationships with Company as of the Closing Date and during the Earn-Out Period</w:t>
      </w:r>
      <w:bookmarkStart w:id="1462" w:name="_DV_M366"/>
      <w:bookmarkEnd w:id="1462"/>
      <w:r>
        <w:rPr>
          <w:rFonts w:ascii="Times New Roman;Times;serif" w:hAnsi="Times New Roman;Times;serif"/>
          <w:sz w:val="24"/>
        </w:rPr>
        <w:t>;</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Arial;Helvetica;sans-serif" w:hAnsi="Arial;Helvetica;sans-serif"/>
          <w:sz w:val="21"/>
        </w:rPr>
      </w:pPr>
      <w:bookmarkStart w:id="1463" w:name="_DV_M367"/>
      <w:bookmarkEnd w:id="1463"/>
      <w:r>
        <w:rPr>
          <w:rFonts w:ascii="Times New Roman;Times;serif" w:hAnsi="Times New Roman;Times;serif"/>
          <w:sz w:val="24"/>
        </w:rPr>
        <w:t>(iii)maintain a financial reporting system that will separately account for</w:t>
      </w:r>
      <w:bookmarkStart w:id="1464" w:name="_DV_C214"/>
      <w:bookmarkEnd w:id="1464"/>
      <w:r>
        <w:rPr>
          <w:rFonts w:ascii="Times New Roman;Times;serif" w:hAnsi="Times New Roman;Times;serif"/>
          <w:sz w:val="24"/>
        </w:rPr>
        <w:t xml:space="preserve">EBITDA, and allow Seller Representative reasonable access to such system from time to time during the Earn-Out Period; </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Arial;Helvetica;sans-serif" w:hAnsi="Arial;Helvetica;sans-serif"/>
          <w:sz w:val="21"/>
        </w:rPr>
      </w:pPr>
      <w:r>
        <w:rPr>
          <w:rFonts w:ascii="Times New Roman;Times;serif" w:hAnsi="Times New Roman;Times;serif"/>
          <w:sz w:val="24"/>
        </w:rPr>
        <w:t>(iv)</w:t>
      </w:r>
      <w:bookmarkStart w:id="1465" w:name="_DV_M368"/>
      <w:bookmarkEnd w:id="1465"/>
      <w:r>
        <w:rPr>
          <w:rFonts w:ascii="Times New Roman;Times;serif" w:hAnsi="Times New Roman;Times;serif"/>
          <w:sz w:val="24"/>
        </w:rPr>
        <w:t xml:space="preserve">make reasonable commercial efforts to ensure that the Company maintains the services of </w:t>
      </w:r>
      <w:bookmarkStart w:id="1466" w:name="_DV_C217"/>
      <w:bookmarkEnd w:id="1466"/>
      <w:r>
        <w:rPr>
          <w:rFonts w:ascii="Times New Roman;Times;serif" w:hAnsi="Times New Roman;Times;serif"/>
          <w:sz w:val="24"/>
        </w:rPr>
        <w:t>any</w:t>
      </w:r>
      <w:bookmarkStart w:id="1467" w:name="_DV_M369"/>
      <w:bookmarkEnd w:id="1467"/>
      <w:r>
        <w:rPr>
          <w:rFonts w:ascii="Arial;Helvetica;sans-serif" w:hAnsi="Arial;Helvetica;sans-serif"/>
          <w:sz w:val="21"/>
        </w:rPr>
        <w:t xml:space="preserve"> </w:t>
      </w:r>
      <w:r>
        <w:rPr>
          <w:rFonts w:ascii="Times New Roman;Times;serif" w:hAnsi="Times New Roman;Times;serif"/>
          <w:sz w:val="24"/>
        </w:rPr>
        <w:t xml:space="preserve">technical and management employees who </w:t>
      </w:r>
      <w:bookmarkStart w:id="1468" w:name="_DV_C219"/>
      <w:bookmarkEnd w:id="1468"/>
      <w:r>
        <w:rPr>
          <w:rFonts w:ascii="Times New Roman;Times;serif" w:hAnsi="Times New Roman;Times;serif"/>
          <w:sz w:val="24"/>
        </w:rPr>
        <w:t>are essential to perform any then current Contracts</w:t>
      </w:r>
      <w:bookmarkStart w:id="1469" w:name="_DV_M370"/>
      <w:bookmarkEnd w:id="1469"/>
      <w:r>
        <w:rPr>
          <w:rFonts w:ascii="Arial;Helvetica;sans-serif" w:hAnsi="Arial;Helvetica;sans-serif"/>
          <w:sz w:val="21"/>
        </w:rPr>
        <w:t xml:space="preserve"> </w:t>
      </w:r>
      <w:r>
        <w:rPr>
          <w:rFonts w:ascii="Times New Roman;Times;serif" w:hAnsi="Times New Roman;Times;serif"/>
          <w:sz w:val="24"/>
        </w:rPr>
        <w:t>of the Company</w:t>
      </w:r>
      <w:bookmarkStart w:id="1470" w:name="_DV_C224"/>
      <w:bookmarkEnd w:id="1470"/>
      <w:r>
        <w:rPr>
          <w:rFonts w:ascii="Times New Roman;Times;serif" w:hAnsi="Times New Roman;Times;serif"/>
          <w:sz w:val="24"/>
        </w:rPr>
        <w:t xml:space="preserve">; </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Times New Roman;Times;serif" w:hAnsi="Times New Roman;Times;serif"/>
          <w:sz w:val="24"/>
        </w:rPr>
      </w:pPr>
      <w:r>
        <w:rPr>
          <w:rFonts w:ascii="Times New Roman;Times;serif" w:hAnsi="Times New Roman;Times;serif"/>
          <w:sz w:val="24"/>
        </w:rPr>
        <w:t>(v)not terminate, transfer, assign or novate to any Person any then current Contracts of the Company or those executed within the Earn-Out Period without first mutually agreeing to make a pro-rata adjustment of the Earn-Out targets;</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Arial;Helvetica;sans-serif" w:hAnsi="Arial;Helvetica;sans-serif"/>
          <w:sz w:val="21"/>
        </w:rPr>
      </w:pPr>
      <w:r>
        <w:rPr>
          <w:rFonts w:ascii="Times New Roman;Times;serif" w:hAnsi="Times New Roman;Times;serif"/>
          <w:sz w:val="24"/>
        </w:rPr>
        <w:t xml:space="preserve">(vi) regularly consult with and consider in good faith the recommendations and requests of the </w:t>
      </w:r>
      <w:bookmarkStart w:id="1471" w:name="_DV_M373"/>
      <w:bookmarkEnd w:id="1471"/>
      <w:r>
        <w:rPr>
          <w:rFonts w:ascii="Times New Roman;Times;serif" w:hAnsi="Times New Roman;Times;serif"/>
          <w:sz w:val="24"/>
        </w:rPr>
        <w:t xml:space="preserve">Seller Representative </w:t>
      </w:r>
      <w:bookmarkStart w:id="1472" w:name="_DV_C226"/>
      <w:bookmarkEnd w:id="1472"/>
      <w:r>
        <w:rPr>
          <w:rFonts w:ascii="Times New Roman;Times;serif" w:hAnsi="Times New Roman;Times;serif"/>
          <w:sz w:val="24"/>
        </w:rPr>
        <w:t>regarding</w:t>
      </w:r>
      <w:r>
        <w:rPr>
          <w:rFonts w:ascii="Arial;Helvetica;sans-serif" w:hAnsi="Arial;Helvetica;sans-serif"/>
          <w:sz w:val="21"/>
        </w:rPr>
        <w:t xml:space="preserve"> </w:t>
      </w:r>
      <w:r>
        <w:rPr>
          <w:rFonts w:ascii="Times New Roman;Times;serif" w:hAnsi="Times New Roman;Times;serif"/>
          <w:sz w:val="24"/>
        </w:rPr>
        <w:t xml:space="preserve">management </w:t>
      </w:r>
      <w:bookmarkStart w:id="1473" w:name="_DV_C228"/>
      <w:bookmarkEnd w:id="1473"/>
      <w:r>
        <w:rPr>
          <w:rFonts w:ascii="Times New Roman;Times;serif" w:hAnsi="Times New Roman;Times;serif"/>
          <w:sz w:val="24"/>
        </w:rPr>
        <w:t>of then current</w:t>
      </w:r>
      <w:bookmarkStart w:id="1474" w:name="_DV_M374"/>
      <w:bookmarkEnd w:id="1474"/>
      <w:r>
        <w:rPr>
          <w:rFonts w:ascii="Arial;Helvetica;sans-serif" w:hAnsi="Arial;Helvetica;sans-serif"/>
          <w:sz w:val="21"/>
        </w:rPr>
        <w:t xml:space="preserve"> </w:t>
      </w:r>
      <w:r>
        <w:rPr>
          <w:rFonts w:ascii="Times New Roman;Times;serif" w:hAnsi="Times New Roman;Times;serif"/>
          <w:sz w:val="24"/>
        </w:rPr>
        <w:t xml:space="preserve">projects, and bidding on new projects </w:t>
      </w:r>
      <w:bookmarkStart w:id="1475" w:name="_DV_C229"/>
      <w:bookmarkEnd w:id="1475"/>
      <w:r>
        <w:rPr>
          <w:rFonts w:ascii="Times New Roman;Times;serif" w:hAnsi="Times New Roman;Times;serif"/>
          <w:sz w:val="24"/>
        </w:rPr>
        <w:t xml:space="preserve">proposed to be </w:t>
      </w:r>
      <w:bookmarkStart w:id="1476" w:name="_DV_M375"/>
      <w:bookmarkEnd w:id="1476"/>
      <w:r>
        <w:rPr>
          <w:rFonts w:ascii="Times New Roman;Times;serif" w:hAnsi="Times New Roman;Times;serif"/>
          <w:sz w:val="24"/>
        </w:rPr>
        <w:t xml:space="preserve">undertaken by the </w:t>
      </w:r>
      <w:bookmarkStart w:id="1477" w:name="_DV_C231"/>
      <w:bookmarkEnd w:id="1477"/>
      <w:r>
        <w:rPr>
          <w:rFonts w:ascii="Times New Roman;Times;serif" w:hAnsi="Times New Roman;Times;serif"/>
          <w:sz w:val="24"/>
        </w:rPr>
        <w:t>Company; </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Times New Roman;Times;serif" w:hAnsi="Times New Roman;Times;serif"/>
          <w:sz w:val="24"/>
        </w:rPr>
      </w:pPr>
      <w:r>
        <w:rPr>
          <w:rFonts w:ascii="Times New Roman;Times;serif" w:hAnsi="Times New Roman;Times;serif"/>
          <w:sz w:val="24"/>
        </w:rPr>
        <w:t xml:space="preserve">(vii)consult with and consider in good faith the recommendations and requests of the Seller Representative regarding the budget for the Company during the Earn-Out Period;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Times New Roman;Times;serif" w:hAnsi="Times New Roman;Times;serif"/>
          <w:sz w:val="24"/>
        </w:rPr>
      </w:pPr>
      <w:r>
        <w:rPr>
          <w:rFonts w:ascii="Times New Roman;Times;serif" w:hAnsi="Times New Roman;Times;serif"/>
          <w:sz w:val="24"/>
        </w:rPr>
        <w:t xml:space="preserve">(viii)consult with and consider in good faith the recommendations and requests of the Seller Representative regarding employees’ salaries and bonuses and office openings and closures; and </w:t>
      </w:r>
    </w:p>
    <w:p>
      <w:pPr>
        <w:pStyle w:val="TextBody"/>
        <w:bidi w:val="0"/>
        <w:spacing w:lineRule="auto" w:line="314" w:before="0" w:after="0"/>
        <w:ind w:left="720" w:right="0" w:firstLine="1440"/>
        <w:jc w:val="both"/>
        <w:rPr/>
      </w:pPr>
      <w:r>
        <w:rPr/>
        <w:t>​</w:t>
      </w:r>
    </w:p>
    <w:p>
      <w:pPr>
        <w:pStyle w:val="TextBody"/>
        <w:bidi w:val="0"/>
        <w:spacing w:lineRule="auto" w:line="285" w:before="0" w:after="0"/>
        <w:ind w:left="720" w:right="0" w:firstLine="1440"/>
        <w:jc w:val="both"/>
        <w:rPr>
          <w:rFonts w:ascii="Arial;Helvetica;sans-serif" w:hAnsi="Arial;Helvetica;sans-serif"/>
          <w:sz w:val="21"/>
        </w:rPr>
      </w:pPr>
      <w:r>
        <w:rPr>
          <w:rFonts w:ascii="Times New Roman;Times;serif" w:hAnsi="Times New Roman;Times;serif"/>
          <w:sz w:val="24"/>
        </w:rPr>
        <w:t>(ix)</w:t>
      </w:r>
      <w:r>
        <w:rPr>
          <w:rFonts w:ascii="Arial;Helvetica;sans-serif" w:hAnsi="Arial;Helvetica;sans-serif"/>
          <w:sz w:val="21"/>
        </w:rPr>
        <w:t xml:space="preserve"> </w:t>
      </w:r>
      <w:r>
        <w:rPr>
          <w:rFonts w:ascii="Times New Roman;Times;serif" w:hAnsi="Times New Roman;Times;serif"/>
          <w:sz w:val="24"/>
        </w:rPr>
        <w:t>provide as appropriate in the then current circumstances</w:t>
      </w:r>
      <w:bookmarkStart w:id="1478" w:name="_DV_M376"/>
      <w:bookmarkEnd w:id="1478"/>
      <w:r>
        <w:rPr>
          <w:rFonts w:ascii="Arial;Helvetica;sans-serif" w:hAnsi="Arial;Helvetica;sans-serif"/>
          <w:sz w:val="21"/>
        </w:rPr>
        <w:t xml:space="preserve"> </w:t>
      </w:r>
      <w:r>
        <w:rPr>
          <w:rFonts w:ascii="Times New Roman;Times;serif" w:hAnsi="Times New Roman;Times;serif"/>
          <w:sz w:val="24"/>
        </w:rPr>
        <w:t xml:space="preserve">reasonable support to the Company as may be reasonably requested by </w:t>
      </w:r>
      <w:bookmarkStart w:id="1479" w:name="_DV_C232"/>
      <w:bookmarkEnd w:id="1479"/>
      <w:r>
        <w:rPr>
          <w:rFonts w:ascii="Times New Roman;Times;serif" w:hAnsi="Times New Roman;Times;serif"/>
          <w:sz w:val="24"/>
        </w:rPr>
        <w:t xml:space="preserve">the </w:t>
      </w:r>
      <w:bookmarkStart w:id="1480" w:name="_DV_M377"/>
      <w:bookmarkEnd w:id="1480"/>
      <w:r>
        <w:rPr>
          <w:rFonts w:ascii="Times New Roman;Times;serif" w:hAnsi="Times New Roman;Times;serif"/>
          <w:sz w:val="24"/>
        </w:rPr>
        <w:t xml:space="preserve">Seller Representative from time to time, in the Ordinary Course, including, without limitation, working capital, technical support, equipment, office space, supplies and assistance with recruiting and other corporate functions;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any direct costs mutually agreed to be borne by the Purchaser solely for the benefit of the Company will be accrued for purposes of determining the Earn-Out Payment. </w:t>
      </w:r>
    </w:p>
    <w:p>
      <w:pPr>
        <w:pStyle w:val="TextBody"/>
        <w:bidi w:val="0"/>
        <w:spacing w:lineRule="auto" w:line="314" w:before="0" w:after="0"/>
        <w:ind w:left="0" w:right="0" w:hanging="0"/>
        <w:jc w:val="both"/>
        <w:rPr/>
      </w:pPr>
      <w:r>
        <w:rPr/>
        <w:t>​</w:t>
      </w:r>
    </w:p>
    <w:p>
      <w:pPr>
        <w:pStyle w:val="TextBody"/>
        <w:bidi w:val="0"/>
        <w:spacing w:lineRule="auto" w:line="285" w:before="0" w:after="21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(h)</w:t>
      </w:r>
      <w:r>
        <w:rPr>
          <w:rFonts w:ascii="Times New Roman;Times;serif" w:hAnsi="Times New Roman;Times;serif"/>
          <w:sz w:val="24"/>
        </w:rPr>
        <w:t>Notwithstanding anything to the contrary in this Agreement, Purchaser shall not be obligated to pay all or any portion of the Earn-Out Payment on the date such payment is otherwise due hereunder if and to the extent that the payment of such amount would result in a Senior Event of Default or a Senior Event of Default exists at the time of such contemplated payment. Purchaser shall use commercially reasonable good faith efforts to avoid the occurrence of, and to cure, any Senior Event of Default that would prevent or delay payment of any Earn-Out Payment. Any Earn-Out Payment deferred pursuant to this Section 2.5(h) shall accrue interest at the rate of prime plus 3% per annum from the date such payment was originally due until the date of actual payment. Purchaser shall pay any amount it is obligated to pay under this section, together with all accrued interest thereon, as soon as the restrictions set forth in the first sentence of this Section 2.5(h) no longer exist. Sellers acknowledge and agree that any failure by Purchaser to pay all or any portion of the Earn-Out Payment on the date otherwise due hereunder solely by virtue of this section shall not constitute a default under or a breach of this Agreement for any reason, provided that Purchaser is in compliance with its obligations under this Section 2.5(h). The Senior Creditor shall be an express third-party beneficiary with respect to this section.</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 xml:space="preserve">Section 2.6 </w:t>
      </w:r>
      <w:bookmarkStart w:id="1481" w:name="_Toc228467063"/>
      <w:bookmarkEnd w:id="1481"/>
      <w:r>
        <w:rPr>
          <w:rFonts w:ascii="Times New Roman;Times;serif" w:hAnsi="Times New Roman;Times;serif"/>
          <w:sz w:val="24"/>
        </w:rPr>
        <w:t>Withholding.  Purchaser, the Company, and any of their Affiliates shall be entitled to deduct and withhold (or have deducted and withheld) from any amounts payable pursuant to this Agreement such amounts as it determines are required or permitted to be deducted or withheld therefrom or in connection therewith under the Code or any provision of state, local or federal Tax Law or under any other applicable Law.  To the extent such amounts are so deducted or withheld, such amounts shall be treated for all purposes under this Agreement as having been paid to the Person to whom such amounts would otherwise have been paid.</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 xml:space="preserve">Section 2.7 </w:t>
      </w:r>
      <w:bookmarkStart w:id="1482" w:name="_Toc228467064"/>
      <w:bookmarkEnd w:id="1482"/>
      <w:r>
        <w:rPr>
          <w:rFonts w:ascii="Times New Roman;Times;serif" w:hAnsi="Times New Roman;Times;serif"/>
          <w:sz w:val="24"/>
        </w:rPr>
        <w:t>No Further Ownership in Purchased Interests.  As of the Closing, the Sellers shall cease to have any direct or indirect rights with respect to the Purchased Interests.</w:t>
      </w:r>
    </w:p>
    <w:p>
      <w:pPr>
        <w:pStyle w:val="TextBody"/>
        <w:bidi w:val="0"/>
        <w:spacing w:lineRule="auto" w:line="314" w:before="0" w:after="0"/>
        <w:ind w:left="0" w:right="0" w:hanging="0"/>
        <w:jc w:val="both"/>
        <w:rPr/>
      </w:pPr>
      <w:r>
        <w:rPr/>
        <w:t>​</w:t>
      </w:r>
    </w:p>
    <w:p>
      <w:pPr>
        <w:pStyle w:val="TextBody"/>
        <w:bidi w:val="0"/>
        <w:spacing w:lineRule="auto" w:line="314" w:before="0" w:after="0"/>
        <w:ind w:left="1440" w:right="0" w:hanging="0"/>
        <w:jc w:val="both"/>
        <w:rPr/>
      </w:pPr>
      <w:bookmarkStart w:id="1483" w:name="_Toc223341398"/>
      <w:bookmarkEnd w:id="1483"/>
      <w:r>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III</w:t>
      </w:r>
      <w:bookmarkStart w:id="1484" w:name="_Toc333516827"/>
      <w:bookmarkStart w:id="1485" w:name="_Toc333516663"/>
      <w:bookmarkStart w:id="1486" w:name="_Toc333516492"/>
      <w:bookmarkEnd w:id="1484"/>
      <w:bookmarkEnd w:id="1485"/>
      <w:bookmarkEnd w:id="1486"/>
      <w:r>
        <w:rPr>
          <w:rFonts w:ascii="Arial;Helvetica;sans-serif" w:hAnsi="Arial;Helvetica;sans-serif"/>
          <w:b/>
          <w:sz w:val="21"/>
        </w:rPr>
        <w:t>​</w:t>
      </w:r>
      <w:r>
        <w:rPr>
          <w:rFonts w:ascii="Times New Roman;Times;serif" w:hAnsi="Times New Roman;Times;serif"/>
          <w:b/>
          <w:sz w:val="24"/>
        </w:rPr>
        <w:br/>
      </w:r>
      <w:bookmarkStart w:id="1487" w:name="_Toc228467065"/>
      <w:bookmarkStart w:id="1488" w:name="_Toc493079719"/>
      <w:bookmarkStart w:id="1489" w:name="_Toc491264984"/>
      <w:bookmarkStart w:id="1490" w:name="_Toc491263199"/>
      <w:bookmarkStart w:id="1491" w:name="_Toc491250851"/>
      <w:bookmarkStart w:id="1492" w:name="_Toc491244294"/>
      <w:bookmarkStart w:id="1493" w:name="_Toc490572245"/>
      <w:bookmarkStart w:id="1494" w:name="_Toc488826752"/>
      <w:bookmarkStart w:id="1495" w:name="_Toc488825159"/>
      <w:bookmarkStart w:id="1496" w:name="_Toc445397406"/>
      <w:bookmarkStart w:id="1497" w:name="_Toc441652939"/>
      <w:bookmarkStart w:id="1498" w:name="_Toc343001443"/>
      <w:bookmarkStart w:id="1499" w:name="_Toc341780904"/>
      <w:bookmarkStart w:id="1500" w:name="_Toc341776330"/>
      <w:bookmarkStart w:id="1501" w:name="_Toc341771301"/>
      <w:bookmarkStart w:id="1502" w:name="_Toc340837391"/>
      <w:bookmarkStart w:id="1503" w:name="_Toc340828676"/>
      <w:bookmarkStart w:id="1504" w:name="_Toc340814347"/>
      <w:bookmarkStart w:id="1505" w:name="_Toc340814247"/>
      <w:bookmarkStart w:id="1506" w:name="_Toc340760284"/>
      <w:bookmarkStart w:id="1507" w:name="_Toc340759906"/>
      <w:bookmarkStart w:id="1508" w:name="_Toc340757438"/>
      <w:bookmarkStart w:id="1509" w:name="_Toc338754067"/>
      <w:bookmarkStart w:id="1510" w:name="_Toc338753914"/>
      <w:bookmarkStart w:id="1511" w:name="_Toc338753557"/>
      <w:bookmarkStart w:id="1512" w:name="_Toc338751627"/>
      <w:bookmarkStart w:id="1513" w:name="_Toc337829162"/>
      <w:bookmarkStart w:id="1514" w:name="_Toc337827992"/>
      <w:bookmarkStart w:id="1515" w:name="_Toc337827796"/>
      <w:bookmarkStart w:id="1516" w:name="_Toc337827427"/>
      <w:bookmarkStart w:id="1517" w:name="_Toc337826777"/>
      <w:bookmarkStart w:id="1518" w:name="_Toc334637487"/>
      <w:bookmarkStart w:id="1519" w:name="_Toc333516991"/>
      <w:bookmarkStart w:id="1520" w:name="_Toc333516909"/>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r>
        <w:rPr>
          <w:rFonts w:ascii="Times New Roman;Times;serif" w:hAnsi="Times New Roman;Times;serif"/>
          <w:b/>
          <w:sz w:val="24"/>
        </w:rPr>
        <w:t>REPRESENTATIONS AND WARRANTIES RELATING TO THE COMPANY</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 xml:space="preserve">The Sellers, jointly and severally, hereby represent and warrant to the Purchaser, as of the Closing Date, the following: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w:t>
      </w:r>
      <w:bookmarkStart w:id="1521" w:name="_Toc333516493"/>
      <w:bookmarkStart w:id="1522" w:name="_Toc493079720"/>
      <w:bookmarkStart w:id="1523" w:name="_Toc491264985"/>
      <w:bookmarkStart w:id="1524" w:name="_Toc491263200"/>
      <w:bookmarkStart w:id="1525" w:name="_Toc491250852"/>
      <w:bookmarkStart w:id="1526" w:name="_Toc491244295"/>
      <w:bookmarkStart w:id="1527" w:name="_Toc490572246"/>
      <w:bookmarkStart w:id="1528" w:name="_Toc488826753"/>
      <w:bookmarkStart w:id="1529" w:name="_Toc488825160"/>
      <w:bookmarkStart w:id="1530" w:name="_Toc445397407"/>
      <w:bookmarkStart w:id="1531" w:name="_Toc441652940"/>
      <w:bookmarkStart w:id="1532" w:name="_Toc343001444"/>
      <w:bookmarkStart w:id="1533" w:name="_Toc341780905"/>
      <w:bookmarkStart w:id="1534" w:name="_Toc341776331"/>
      <w:bookmarkStart w:id="1535" w:name="_Toc341771302"/>
      <w:bookmarkStart w:id="1536" w:name="_Toc340837392"/>
      <w:bookmarkStart w:id="1537" w:name="_Toc340828677"/>
      <w:bookmarkStart w:id="1538" w:name="_Toc340814348"/>
      <w:bookmarkStart w:id="1539" w:name="_Toc340814248"/>
      <w:bookmarkStart w:id="1540" w:name="_Toc340760285"/>
      <w:bookmarkStart w:id="1541" w:name="_Toc340759907"/>
      <w:bookmarkStart w:id="1542" w:name="_Toc340757439"/>
      <w:bookmarkStart w:id="1543" w:name="_Toc338754068"/>
      <w:bookmarkStart w:id="1544" w:name="_Toc338753915"/>
      <w:bookmarkStart w:id="1545" w:name="_Toc338753558"/>
      <w:bookmarkStart w:id="1546" w:name="_Toc338751628"/>
      <w:bookmarkStart w:id="1547" w:name="_Toc337829163"/>
      <w:bookmarkStart w:id="1548" w:name="_Toc337827993"/>
      <w:bookmarkStart w:id="1549" w:name="_Toc337827797"/>
      <w:bookmarkStart w:id="1550" w:name="_Toc337827428"/>
      <w:bookmarkStart w:id="1551" w:name="_Toc337826778"/>
      <w:bookmarkStart w:id="1552" w:name="_Toc334637488"/>
      <w:bookmarkStart w:id="1553" w:name="_Toc333516992"/>
      <w:bookmarkStart w:id="1554" w:name="_Toc333516910"/>
      <w:bookmarkStart w:id="1555" w:name="_Toc333516828"/>
      <w:bookmarkStart w:id="1556" w:name="_Toc333516664"/>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r>
        <w:rPr>
          <w:rFonts w:ascii="Times New Roman;Times;serif" w:hAnsi="Times New Roman;Times;serif"/>
          <w:sz w:val="24"/>
        </w:rPr>
        <w:t xml:space="preserve"> </w:t>
      </w:r>
      <w:bookmarkStart w:id="1557" w:name="_Toc228467066"/>
      <w:bookmarkEnd w:id="1557"/>
      <w:r>
        <w:rPr>
          <w:rFonts w:ascii="Times New Roman;Times;serif" w:hAnsi="Times New Roman;Times;serif"/>
          <w:sz w:val="24"/>
        </w:rPr>
        <w:t xml:space="preserve">Organization.  The Company is a limited liability company, duly organized, validly existing and in good standing under the laws of the State of Georgia.  The Company has all requisite corporate power and authority to own, lease and operate its properties and to carry on its Business as currently conducted.  The Company is duly qualified to transact business as a foreign entity and is in good standing in each other jurisdiction in which the ownership or leasing of its properties or assets or the conduct of its Business requires such qualification except where the failure to qualify would not, individually or in the aggregate, have a Company Material Adverse Effect.  A list of the jurisdictions in which the Company is qualified to conduct its Business is set forth in </w:t>
      </w:r>
      <w:r>
        <w:rPr>
          <w:rFonts w:ascii="Times New Roman;Times;serif" w:hAnsi="Times New Roman;Times;serif"/>
          <w:sz w:val="24"/>
          <w:u w:val="single"/>
        </w:rPr>
        <w:t>Schedule 3.1</w:t>
      </w:r>
      <w:r>
        <w:rPr>
          <w:rFonts w:ascii="Times New Roman;Times;serif" w:hAnsi="Times New Roman;Times;serif"/>
          <w:sz w:val="24"/>
        </w:rPr>
        <w:t>.  Except as set forth on Schedule 3.1, the Company does not have any subsidiaries or Controlled Affiliates. The Sellers have previously made available to the Purchaser complete copies of the Company’s articles of organization, operating agreement and any other organizational documents of the Company, each as amended, amended and restated, supplemented or otherwise modified from time to time (the “</w:t>
      </w:r>
      <w:r>
        <w:rPr>
          <w:rFonts w:ascii="Times New Roman;Times;serif" w:hAnsi="Times New Roman;Times;serif"/>
          <w:sz w:val="24"/>
          <w:u w:val="single"/>
        </w:rPr>
        <w:t>Organizational Documents</w:t>
      </w:r>
      <w:r>
        <w:rPr>
          <w:rFonts w:ascii="Times New Roman;Times;serif" w:hAnsi="Times New Roman;Times;serif"/>
          <w:sz w:val="24"/>
        </w:rPr>
        <w:t xml:space="preserve">”). </w:t>
      </w:r>
    </w:p>
    <w:p>
      <w:pPr>
        <w:pStyle w:val="TextBody"/>
        <w:bidi w:val="0"/>
        <w:spacing w:lineRule="auto" w:line="285" w:before="0" w:after="240"/>
        <w:ind w:left="1530" w:right="0" w:hanging="0"/>
        <w:jc w:val="both"/>
        <w:rPr>
          <w:rFonts w:ascii="Times New Roman;Times;serif" w:hAnsi="Times New Roman;Times;serif"/>
          <w:sz w:val="24"/>
        </w:rPr>
      </w:pPr>
      <w:r>
        <w:rPr>
          <w:rFonts w:ascii="Times New Roman;Times;serif" w:hAnsi="Times New Roman;Times;serif"/>
          <w:sz w:val="24"/>
        </w:rPr>
        <w:t>Section 3.2</w:t>
      </w:r>
      <w:bookmarkStart w:id="1558" w:name="_Toc333516494"/>
      <w:bookmarkStart w:id="1559" w:name="_Toc493079721"/>
      <w:bookmarkStart w:id="1560" w:name="_Toc491264986"/>
      <w:bookmarkStart w:id="1561" w:name="_Toc491263201"/>
      <w:bookmarkStart w:id="1562" w:name="_Toc491250853"/>
      <w:bookmarkStart w:id="1563" w:name="_Toc491244296"/>
      <w:bookmarkStart w:id="1564" w:name="_Toc490572247"/>
      <w:bookmarkStart w:id="1565" w:name="_Toc488826754"/>
      <w:bookmarkStart w:id="1566" w:name="_Toc488825161"/>
      <w:bookmarkStart w:id="1567" w:name="_Toc445397408"/>
      <w:bookmarkStart w:id="1568" w:name="_Toc441652941"/>
      <w:bookmarkStart w:id="1569" w:name="_Toc343001445"/>
      <w:bookmarkStart w:id="1570" w:name="_Toc341780906"/>
      <w:bookmarkStart w:id="1571" w:name="_Toc341776332"/>
      <w:bookmarkStart w:id="1572" w:name="_Toc341771303"/>
      <w:bookmarkStart w:id="1573" w:name="_Toc340837393"/>
      <w:bookmarkStart w:id="1574" w:name="_Toc340828678"/>
      <w:bookmarkStart w:id="1575" w:name="_Toc340814349"/>
      <w:bookmarkStart w:id="1576" w:name="_Toc340814249"/>
      <w:bookmarkStart w:id="1577" w:name="_Toc340760286"/>
      <w:bookmarkStart w:id="1578" w:name="_Toc340759908"/>
      <w:bookmarkStart w:id="1579" w:name="_Toc340757440"/>
      <w:bookmarkStart w:id="1580" w:name="_Toc338754069"/>
      <w:bookmarkStart w:id="1581" w:name="_Toc338753916"/>
      <w:bookmarkStart w:id="1582" w:name="_Toc338753559"/>
      <w:bookmarkStart w:id="1583" w:name="_Toc338751629"/>
      <w:bookmarkStart w:id="1584" w:name="_Toc337829164"/>
      <w:bookmarkStart w:id="1585" w:name="_Toc337827994"/>
      <w:bookmarkStart w:id="1586" w:name="_Toc337827798"/>
      <w:bookmarkStart w:id="1587" w:name="_Toc337827429"/>
      <w:bookmarkStart w:id="1588" w:name="_Toc337826779"/>
      <w:bookmarkStart w:id="1589" w:name="_Toc334637489"/>
      <w:bookmarkStart w:id="1590" w:name="_Toc333516993"/>
      <w:bookmarkStart w:id="1591" w:name="_Toc333516911"/>
      <w:bookmarkStart w:id="1592" w:name="_Toc333516829"/>
      <w:bookmarkStart w:id="1593" w:name="_Toc333516665"/>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r>
        <w:rPr>
          <w:rFonts w:ascii="Times New Roman;Times;serif" w:hAnsi="Times New Roman;Times;serif"/>
          <w:sz w:val="24"/>
        </w:rPr>
        <w:t xml:space="preserve"> </w:t>
      </w:r>
      <w:bookmarkStart w:id="1594" w:name="_Toc228467067"/>
      <w:bookmarkEnd w:id="1594"/>
      <w:r>
        <w:rPr>
          <w:rFonts w:ascii="Times New Roman;Times;serif" w:hAnsi="Times New Roman;Times;serif"/>
          <w:sz w:val="24"/>
        </w:rPr>
        <w:t>Authorization.  The Company has all necessary power and authority to execute and deliver the Company Ancillary Documents to which it is a party and to perform its obligations thereunder and to consummate the transactions contemplated thereby, including the Acquisition.  The execution, delivery and performance by the Company of the Company Ancillary Documents to which it is a party and the consummation of the transactions contemplated thereby have been duly authorized and approved by the Sellers as the sole members of the Company, and no other proceedings on the part of the Company or any member of the Company are necessary to authorize this Agreement and each such other Company Ancillary Documents, or to consummate the transactions contemplated hereby and thereby.  When each of the agreements that are Company Ancillary Documents to which the Company is a party have been duly executed and delivered by the Company, and assuming due authorization, execution and delivery thereof by the other parties thereto, each such agreement will constitute the valid and binding agreement of the Company, enforceable against the Company in accordance with its terms, except as such enforceability (a) may be limited by bankruptcy, insolvency, moratorium or other similar Laws affecting or relating to enforcement of creditors’ rights generally, and (b) is subject to general principles of equity (regardless of whether enforceability is considered in a proceeding at law or in equity).</w:t>
      </w:r>
      <w:bookmarkStart w:id="1595" w:name="_Toc333516495"/>
      <w:bookmarkStart w:id="1596" w:name="_Toc441652942"/>
      <w:bookmarkStart w:id="1597" w:name="_Toc343001446"/>
      <w:bookmarkStart w:id="1598" w:name="_Toc341780907"/>
      <w:bookmarkStart w:id="1599" w:name="_Toc341776333"/>
      <w:bookmarkStart w:id="1600" w:name="_Toc341771304"/>
      <w:bookmarkStart w:id="1601" w:name="_Toc340837394"/>
      <w:bookmarkStart w:id="1602" w:name="_Toc340828679"/>
      <w:bookmarkStart w:id="1603" w:name="_Toc340814350"/>
      <w:bookmarkStart w:id="1604" w:name="_Toc340814250"/>
      <w:bookmarkStart w:id="1605" w:name="_Toc340760287"/>
      <w:bookmarkStart w:id="1606" w:name="_Toc340759909"/>
      <w:bookmarkStart w:id="1607" w:name="_Toc340757441"/>
      <w:bookmarkStart w:id="1608" w:name="_Toc338754070"/>
      <w:bookmarkStart w:id="1609" w:name="_Toc338753917"/>
      <w:bookmarkStart w:id="1610" w:name="_Toc338753560"/>
      <w:bookmarkStart w:id="1611" w:name="_Toc338751630"/>
      <w:bookmarkStart w:id="1612" w:name="_Toc337829165"/>
      <w:bookmarkStart w:id="1613" w:name="_Toc337827995"/>
      <w:bookmarkStart w:id="1614" w:name="_Toc337827799"/>
      <w:bookmarkStart w:id="1615" w:name="_Toc337827430"/>
      <w:bookmarkStart w:id="1616" w:name="_Toc337826780"/>
      <w:bookmarkStart w:id="1617" w:name="_Toc334637490"/>
      <w:bookmarkStart w:id="1618" w:name="_Toc333516994"/>
      <w:bookmarkStart w:id="1619" w:name="_Toc333516912"/>
      <w:bookmarkStart w:id="1620" w:name="_Toc333516830"/>
      <w:bookmarkStart w:id="1621" w:name="_Toc333516666"/>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3.3</w:t>
      </w:r>
      <w:bookmarkStart w:id="1622" w:name="_Toc441652943"/>
      <w:bookmarkStart w:id="1623" w:name="_Toc340757442"/>
      <w:bookmarkEnd w:id="1622"/>
      <w:bookmarkEnd w:id="1623"/>
      <w:r>
        <w:rPr>
          <w:rFonts w:ascii="Times New Roman;Times;serif" w:hAnsi="Times New Roman;Times;serif"/>
          <w:sz w:val="24"/>
        </w:rPr>
        <w:t xml:space="preserve"> </w:t>
      </w:r>
      <w:bookmarkStart w:id="1624" w:name="_Toc228467068"/>
      <w:bookmarkEnd w:id="1624"/>
      <w:r>
        <w:rPr>
          <w:rFonts w:ascii="Times New Roman;Times;serif" w:hAnsi="Times New Roman;Times;serif"/>
          <w:sz w:val="24"/>
        </w:rPr>
        <w:t xml:space="preserve">Purchased Interests.  The Purchased Interests constitute all of the outstanding Membership Interests of the Company and are held of record and beneficially, free and clear of any Liens, as of immediately prior to Closing, by the Sellers.  The Purchased Interests have been duly authorized and validly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left"/>
        <w:rPr>
          <w:rFonts w:ascii="Arial;Helvetica;sans-serif" w:hAnsi="Arial;Helvetica;sans-serif"/>
        </w:rPr>
      </w:pPr>
      <w:r>
        <w:rPr>
          <w:rFonts w:ascii="Times New Roman;Times;serif" w:hAnsi="Times New Roman;Times;serif"/>
          <w:b w:val="false"/>
          <w:i w:val="false"/>
          <w:caps w:val="false"/>
          <w:smallCaps w:val="false"/>
          <w:sz w:val="24"/>
        </w:rPr>
        <w:t>issued.  </w:t>
      </w:r>
      <w:r>
        <w:rPr>
          <w:rFonts w:ascii="Times New Roman;Times;serif" w:hAnsi="Times New Roman;Times;serif"/>
          <w:b w:val="false"/>
          <w:i w:val="false"/>
          <w:caps w:val="false"/>
          <w:smallCaps w:val="false"/>
          <w:sz w:val="24"/>
          <w:u w:val="single"/>
        </w:rPr>
        <w:t>Schedule 3.3</w:t>
      </w:r>
      <w:r>
        <w:rPr>
          <w:rFonts w:ascii="Arial;Helvetica;sans-serif" w:hAnsi="Arial;Helvetica;sans-serif"/>
          <w:caps w:val="false"/>
          <w:smallCaps w:val="false"/>
        </w:rPr>
        <w:t xml:space="preserve"> </w:t>
      </w:r>
      <w:r>
        <w:rPr>
          <w:rFonts w:ascii="Times New Roman;Times;serif" w:hAnsi="Times New Roman;Times;serif"/>
          <w:b w:val="false"/>
          <w:i w:val="false"/>
          <w:caps w:val="false"/>
          <w:smallCaps w:val="false"/>
          <w:sz w:val="24"/>
        </w:rPr>
        <w:t xml:space="preserve">accurately and completely sets forth the number of all Purchased Interests that are authorized and outstanding, and the holder thereof.  Except as set forth in </w:t>
      </w:r>
      <w:r>
        <w:rPr>
          <w:rFonts w:ascii="Times New Roman;Times;serif" w:hAnsi="Times New Roman;Times;serif"/>
          <w:b w:val="false"/>
          <w:i w:val="false"/>
          <w:caps w:val="false"/>
          <w:smallCaps w:val="false"/>
          <w:sz w:val="24"/>
          <w:u w:val="single"/>
        </w:rPr>
        <w:t>Schedule 3.3</w:t>
      </w:r>
      <w:r>
        <w:rPr>
          <w:rFonts w:ascii="Times New Roman;Times;serif" w:hAnsi="Times New Roman;Times;serif"/>
          <w:b w:val="false"/>
          <w:i w:val="false"/>
          <w:caps w:val="false"/>
          <w:smallCaps w:val="false"/>
          <w:sz w:val="24"/>
        </w:rPr>
        <w:t>, (a) there are no outstanding options, warrants, rights, calls, conversion rights, rights of exchange, subscriptions, or convertible or exchangeable securities relating to the Purchased Interests or other equity interests of the Company; (b) there are no distributions that have accrued but are unpaid on the Purchased Interests or other equity interests of the Company; (c) there are no outstanding Contracts of the Company or any Seller to purchase or otherwise acquire any outstanding Purchased Interests or other equity interests of the Company, or securities or obligations of any kind convertible into any Purchased Interests or other equity interests of the Company; and (d) there are no Contracts between any Seller and any other Person relating to the management of the Company or any equity interest of the Company.</w:t>
      </w:r>
      <w:r>
        <w:rPr>
          <w:rFonts w:ascii="Arial;Helvetica;sans-serif" w:hAnsi="Arial;Helvetica;sans-serif"/>
          <w:caps w:val="false"/>
          <w:smallCaps w:val="false"/>
        </w:rPr>
        <w:t xml:space="preserve"> </w:t>
      </w:r>
      <w:bookmarkStart w:id="1625" w:name="_Toc333516496"/>
      <w:bookmarkEnd w:id="1625"/>
    </w:p>
    <w:p>
      <w:pPr>
        <w:pStyle w:val="TextBody"/>
        <w:bidi w:val="0"/>
        <w:spacing w:lineRule="auto" w:line="285" w:before="0" w:after="240"/>
        <w:ind w:left="1530" w:right="0" w:hanging="0"/>
        <w:jc w:val="both"/>
        <w:rPr>
          <w:rFonts w:ascii="Times New Roman;Times;serif" w:hAnsi="Times New Roman;Times;serif"/>
          <w:sz w:val="24"/>
        </w:rPr>
      </w:pPr>
      <w:r>
        <w:rPr>
          <w:rFonts w:ascii="Times New Roman;Times;serif" w:hAnsi="Times New Roman;Times;serif"/>
          <w:sz w:val="24"/>
        </w:rPr>
        <w:t>Section 3.4</w:t>
      </w:r>
      <w:bookmarkStart w:id="1626" w:name="_Toc333516497"/>
      <w:bookmarkStart w:id="1627" w:name="_Toc493079724"/>
      <w:bookmarkStart w:id="1628" w:name="_Toc491264989"/>
      <w:bookmarkStart w:id="1629" w:name="_Toc491263204"/>
      <w:bookmarkStart w:id="1630" w:name="_Toc491250856"/>
      <w:bookmarkStart w:id="1631" w:name="_Toc491244299"/>
      <w:bookmarkStart w:id="1632" w:name="_Toc490572250"/>
      <w:bookmarkStart w:id="1633" w:name="_Toc488826757"/>
      <w:bookmarkStart w:id="1634" w:name="_Toc488825164"/>
      <w:bookmarkStart w:id="1635" w:name="_Toc445397411"/>
      <w:bookmarkStart w:id="1636" w:name="_Toc441652945"/>
      <w:bookmarkStart w:id="1637" w:name="_Toc343001448"/>
      <w:bookmarkStart w:id="1638" w:name="_Toc341780909"/>
      <w:bookmarkStart w:id="1639" w:name="_Toc341776335"/>
      <w:bookmarkStart w:id="1640" w:name="_Toc341771306"/>
      <w:bookmarkStart w:id="1641" w:name="_Toc340837396"/>
      <w:bookmarkStart w:id="1642" w:name="_Toc340828681"/>
      <w:bookmarkStart w:id="1643" w:name="_Toc340814352"/>
      <w:bookmarkStart w:id="1644" w:name="_Toc340814252"/>
      <w:bookmarkStart w:id="1645" w:name="_Toc340760289"/>
      <w:bookmarkStart w:id="1646" w:name="_Toc340759911"/>
      <w:bookmarkStart w:id="1647" w:name="_Toc340757444"/>
      <w:bookmarkStart w:id="1648" w:name="_Toc338754072"/>
      <w:bookmarkStart w:id="1649" w:name="_Toc338753919"/>
      <w:bookmarkStart w:id="1650" w:name="_Toc338753562"/>
      <w:bookmarkStart w:id="1651" w:name="_Toc338751632"/>
      <w:bookmarkStart w:id="1652" w:name="_Toc337829167"/>
      <w:bookmarkStart w:id="1653" w:name="_Toc337827997"/>
      <w:bookmarkStart w:id="1654" w:name="_Toc337827801"/>
      <w:bookmarkStart w:id="1655" w:name="_Toc337827432"/>
      <w:bookmarkStart w:id="1656" w:name="_Toc337826782"/>
      <w:bookmarkStart w:id="1657" w:name="_Toc334637492"/>
      <w:bookmarkStart w:id="1658" w:name="_Toc333516996"/>
      <w:bookmarkStart w:id="1659" w:name="_Toc333516914"/>
      <w:bookmarkStart w:id="1660" w:name="_Toc333516832"/>
      <w:bookmarkStart w:id="1661" w:name="_Toc333516668"/>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r>
        <w:rPr>
          <w:rFonts w:ascii="Times New Roman;Times;serif" w:hAnsi="Times New Roman;Times;serif"/>
          <w:sz w:val="24"/>
        </w:rPr>
        <w:t xml:space="preserve"> </w:t>
      </w:r>
      <w:bookmarkStart w:id="1662" w:name="_Toc228467069"/>
      <w:bookmarkEnd w:id="1662"/>
      <w:r>
        <w:rPr>
          <w:rFonts w:ascii="Times New Roman;Times;serif" w:hAnsi="Times New Roman;Times;serif"/>
          <w:sz w:val="24"/>
        </w:rPr>
        <w:t>Absence of Restrictions and Conflicts.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1663" w:name="_Toc333516669"/>
      <w:bookmarkStart w:id="1664" w:name="_Toc333516498"/>
      <w:bookmarkEnd w:id="1663"/>
      <w:bookmarkEnd w:id="1664"/>
      <w:r>
        <w:rPr>
          <w:rFonts w:ascii="Times New Roman;Times;serif" w:hAnsi="Times New Roman;Times;serif"/>
          <w:sz w:val="24"/>
        </w:rPr>
        <w:t xml:space="preserve">Except as set forth on </w:t>
      </w:r>
      <w:r>
        <w:rPr>
          <w:rFonts w:ascii="Times New Roman;Times;serif" w:hAnsi="Times New Roman;Times;serif"/>
          <w:sz w:val="24"/>
          <w:u w:val="single"/>
        </w:rPr>
        <w:t>Schedule 3.4(a)</w:t>
      </w:r>
      <w:r>
        <w:rPr>
          <w:rFonts w:ascii="Times New Roman;Times;serif" w:hAnsi="Times New Roman;Times;serif"/>
          <w:sz w:val="24"/>
        </w:rPr>
        <w:t>, the consummation of the Acquisition and the other transactions contemplated by this Agreement and the Company Ancillary Documents does not and will not, (i) conflict with or violate the Organizational Documents, (ii) to the Knowledge of the Sellers, conflict with or violate any Law applicable to the Company, or by which any property or asset of the Company is bound, or (iii) require any consent which has not been previously obtained or result in any violation or breach of or constitute (with or without notice or lapse of time or both) a default (or give to others any right of termination, amendment, acceleration or cancellation) under, or result in the triggering of any payments or result in the creation of any Lien or other encumbrance on any property or asset of the Company, in all cases, pursuant to any of the terms, conditions or provisions of any Contract to which the Company is a party, except with respect to clauses (ii) and (iii) for any such conflicts, violations, breaches, defaults or other occurrences that would not, individually or in the aggregate, reasonably be expected to be material to the Company, taken as a whole; provided, however, that notwithstanding the foregoing or anything to the contrary in this Agreement, neither the Company nor any Seller shall be deemed to be in breach of this Section 3.4(a), nor shall any Purchaser Indemnified Party have any claim for Damages arising under this Agreement, with respect to the failure to obtain prior to Closing any consent that is disclosed on Schedule 3.4(a) (the "Scheduled Consents"), it being acknowledged by Purchaser that Purchaser has agreed to consummate the Acquisition without the prior receipt of such Scheduled Consents and has accepted the risk associated therewith.</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1665" w:name="_Toc333516670"/>
      <w:bookmarkStart w:id="1666" w:name="_Toc333516499"/>
      <w:bookmarkEnd w:id="1665"/>
      <w:bookmarkEnd w:id="1666"/>
      <w:r>
        <w:rPr>
          <w:rFonts w:ascii="Times New Roman;Times;serif" w:hAnsi="Times New Roman;Times;serif"/>
          <w:sz w:val="24"/>
        </w:rPr>
        <w:t xml:space="preserve">Except as set forth on </w:t>
      </w:r>
      <w:r>
        <w:rPr>
          <w:rFonts w:ascii="Times New Roman;Times;serif" w:hAnsi="Times New Roman;Times;serif"/>
          <w:sz w:val="24"/>
          <w:u w:val="single"/>
        </w:rPr>
        <w:t>Schedule 3.4(b)</w:t>
      </w:r>
      <w:r>
        <w:rPr>
          <w:rFonts w:ascii="Arial;Helvetica;sans-serif" w:hAnsi="Arial;Helvetica;sans-serif"/>
          <w:sz w:val="21"/>
        </w:rPr>
        <w:t xml:space="preserve"> </w:t>
      </w:r>
      <w:r>
        <w:rPr>
          <w:rFonts w:ascii="Times New Roman;Times;serif" w:hAnsi="Times New Roman;Times;serif"/>
          <w:sz w:val="24"/>
        </w:rPr>
        <w:t>and to the Knowledge of the Sellers, the execution and delivery by the Company of the Company Ancillary Documents to which it is a party does not, and the performance of its obligations thereunder will not, require any consent, approval, authorization or permit of, or filing with or notification to, any Governmental Entity, except where such consent, approval, authorization or permit has been previously obtained, such filing or notification has been previously made, or where the failure to obtain such consents, approvals, authorizations or permits, or to make such filings or notifications, would not, individually or in the aggregate, reasonably be expected to result be material to the Company, taken as a whole.</w:t>
      </w:r>
      <w:r>
        <w:rPr>
          <w:rFonts w:ascii="Arial;Helvetica;sans-serif" w:hAnsi="Arial;Helvetica;sans-serif"/>
          <w:sz w:val="21"/>
        </w:rPr>
        <w:t xml:space="preserv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3.5</w:t>
      </w:r>
      <w:bookmarkStart w:id="1667" w:name="_Toc333516500"/>
      <w:bookmarkStart w:id="1668" w:name="_Toc493079725"/>
      <w:bookmarkStart w:id="1669" w:name="_Toc491264990"/>
      <w:bookmarkStart w:id="1670" w:name="_Toc491263205"/>
      <w:bookmarkStart w:id="1671" w:name="_Toc491250857"/>
      <w:bookmarkStart w:id="1672" w:name="_Toc491244300"/>
      <w:bookmarkStart w:id="1673" w:name="_Toc490572251"/>
      <w:bookmarkStart w:id="1674" w:name="_Toc488826758"/>
      <w:bookmarkStart w:id="1675" w:name="_Toc488825165"/>
      <w:bookmarkStart w:id="1676" w:name="_Toc445397412"/>
      <w:bookmarkStart w:id="1677" w:name="_Toc441652946"/>
      <w:bookmarkStart w:id="1678" w:name="_Toc343001449"/>
      <w:bookmarkStart w:id="1679" w:name="_Toc341780910"/>
      <w:bookmarkStart w:id="1680" w:name="_Toc341776336"/>
      <w:bookmarkStart w:id="1681" w:name="_Toc341771307"/>
      <w:bookmarkStart w:id="1682" w:name="_Toc340837397"/>
      <w:bookmarkStart w:id="1683" w:name="_Toc340828682"/>
      <w:bookmarkStart w:id="1684" w:name="_Toc340814353"/>
      <w:bookmarkStart w:id="1685" w:name="_Toc340814253"/>
      <w:bookmarkStart w:id="1686" w:name="_Toc340760290"/>
      <w:bookmarkStart w:id="1687" w:name="_Toc340759912"/>
      <w:bookmarkStart w:id="1688" w:name="_Toc340757445"/>
      <w:bookmarkStart w:id="1689" w:name="_Toc338754073"/>
      <w:bookmarkStart w:id="1690" w:name="_Toc338753920"/>
      <w:bookmarkStart w:id="1691" w:name="_Toc338753563"/>
      <w:bookmarkStart w:id="1692" w:name="_Toc338751633"/>
      <w:bookmarkStart w:id="1693" w:name="_Toc337829168"/>
      <w:bookmarkStart w:id="1694" w:name="_Toc337827998"/>
      <w:bookmarkStart w:id="1695" w:name="_Toc337827802"/>
      <w:bookmarkStart w:id="1696" w:name="_Toc337827433"/>
      <w:bookmarkStart w:id="1697" w:name="_Toc337826783"/>
      <w:bookmarkStart w:id="1698" w:name="_Toc334637493"/>
      <w:bookmarkStart w:id="1699" w:name="_Toc333516997"/>
      <w:bookmarkStart w:id="1700" w:name="_Toc333516915"/>
      <w:bookmarkStart w:id="1701" w:name="_Toc333516833"/>
      <w:bookmarkStart w:id="1702" w:name="_Toc333516671"/>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r>
        <w:rPr>
          <w:rFonts w:ascii="Times New Roman;Times;serif" w:hAnsi="Times New Roman;Times;serif"/>
          <w:sz w:val="24"/>
        </w:rPr>
        <w:t xml:space="preserve"> </w:t>
      </w:r>
      <w:bookmarkStart w:id="1703" w:name="_Toc228467070"/>
      <w:bookmarkEnd w:id="1703"/>
      <w:r>
        <w:rPr>
          <w:rFonts w:ascii="Times New Roman;Times;serif" w:hAnsi="Times New Roman;Times;serif"/>
          <w:sz w:val="24"/>
        </w:rPr>
        <w:t xml:space="preserve">Real Property.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1704" w:name="_Toc333516672"/>
      <w:bookmarkStart w:id="1705" w:name="_Toc333516501"/>
      <w:bookmarkEnd w:id="1704"/>
      <w:bookmarkEnd w:id="1705"/>
      <w:r>
        <w:rPr>
          <w:rFonts w:ascii="Times New Roman;Times;serif" w:hAnsi="Times New Roman;Times;serif"/>
          <w:sz w:val="24"/>
          <w:u w:val="single"/>
        </w:rPr>
        <w:t>Schedule 3.5(a)</w:t>
      </w:r>
      <w:r>
        <w:rPr>
          <w:rFonts w:ascii="Arial;Helvetica;sans-serif" w:hAnsi="Arial;Helvetica;sans-serif"/>
          <w:sz w:val="21"/>
        </w:rPr>
        <w:t xml:space="preserve"> </w:t>
      </w:r>
      <w:r>
        <w:rPr>
          <w:rFonts w:ascii="Times New Roman;Times;serif" w:hAnsi="Times New Roman;Times;serif"/>
          <w:sz w:val="24"/>
        </w:rPr>
        <w:t>correctly identifies all Leased Real Property, and the Sellers have delivered or otherwise made available, or caused to be delivered, to the Purchaser all leases, agreements and subleases, and any amendments thereto, with respect to such Leased Real Property (the “</w:t>
      </w:r>
      <w:r>
        <w:rPr>
          <w:rFonts w:ascii="Times New Roman;Times;serif" w:hAnsi="Times New Roman;Times;serif"/>
          <w:sz w:val="24"/>
          <w:u w:val="single"/>
        </w:rPr>
        <w:t>Leases</w:t>
      </w:r>
      <w:r>
        <w:rPr>
          <w:rFonts w:ascii="Arial;Helvetica;sans-serif" w:hAnsi="Arial;Helvetica;sans-serif"/>
          <w:sz w:val="21"/>
        </w:rPr>
        <w:t>”</w:t>
      </w:r>
      <w:r>
        <w:rPr>
          <w:rFonts w:ascii="Times New Roman;Times;serif" w:hAnsi="Times New Roman;Times;serif"/>
          <w:sz w:val="24"/>
        </w:rPr>
        <w:t xml:space="preserve">).  The Leases are in full force and effect, and there are no existing material defaults or any events that with the passage of time or the giving of notice, or both, would constitute an event of default by the Company under any Lease to which it is a party, or, to the Knowledge of the Sellers, by any other party to any Lease.  Except as described in </w:t>
      </w:r>
      <w:r>
        <w:rPr>
          <w:rFonts w:ascii="Times New Roman;Times;serif" w:hAnsi="Times New Roman;Times;serif"/>
          <w:sz w:val="24"/>
          <w:u w:val="single"/>
        </w:rPr>
        <w:t>Schedule 3.5(a)</w:t>
      </w:r>
      <w:r>
        <w:rPr>
          <w:rFonts w:ascii="Times New Roman;Times;serif" w:hAnsi="Times New Roman;Times;serif"/>
          <w:sz w:val="24"/>
        </w:rPr>
        <w:t>, no consent, waiver, approval or authorization that has not been previously obtained is required from the landlord or lessee under any Lease as a result of the execution of this Agreement or the consummation of the transactions contemplated hereby, including the Acquisition.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1706" w:name="_Toc333516673"/>
      <w:bookmarkStart w:id="1707" w:name="_Toc333516502"/>
      <w:bookmarkEnd w:id="1706"/>
      <w:bookmarkEnd w:id="1707"/>
      <w:r>
        <w:rPr>
          <w:rFonts w:ascii="Times New Roman;Times;serif" w:hAnsi="Times New Roman;Times;serif"/>
          <w:sz w:val="24"/>
        </w:rPr>
        <w:t>The Company does not own, or has never owned, any interest in any parcel of real property.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1708" w:name="_Toc333516674"/>
      <w:bookmarkStart w:id="1709" w:name="_Toc333516503"/>
      <w:bookmarkEnd w:id="1708"/>
      <w:bookmarkEnd w:id="1709"/>
      <w:r>
        <w:rPr>
          <w:rFonts w:ascii="Times New Roman;Times;serif" w:hAnsi="Times New Roman;Times;serif"/>
          <w:sz w:val="24"/>
        </w:rPr>
        <w:t xml:space="preserve">With respect to each piece of Leased Real Property, the Company has a good and valid leasehold interest, and, to the Knowledge of the Sellers, each such leasehold interest is free and clear of any Lien except for Permitted Liens, except as set forth on </w:t>
      </w:r>
      <w:r>
        <w:rPr>
          <w:rFonts w:ascii="Times New Roman;Times;serif" w:hAnsi="Times New Roman;Times;serif"/>
          <w:sz w:val="24"/>
          <w:u w:val="single"/>
        </w:rPr>
        <w:t>Schedule 3.5(c)</w:t>
      </w:r>
      <w:r>
        <w:rPr>
          <w:rFonts w:ascii="Times New Roman;Times;serif" w:hAnsi="Times New Roman;Times;serif"/>
          <w:sz w:val="24"/>
        </w:rPr>
        <w:t>.  To the Knowledge of the Sellers, there are no pending or threatened condemnation proceedings, lawsuits or administrative actions relating to the Leased Real Property.  Other than the Company to the Knowledge of the Sellers, there are no parties in possession or parties having any rights to occupy any of the Leased Real Property that is leased by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bookmarkStart w:id="1710" w:name="_Toc333516675"/>
      <w:bookmarkStart w:id="1711" w:name="_Toc333516504"/>
      <w:bookmarkEnd w:id="1710"/>
      <w:bookmarkEnd w:id="1711"/>
      <w:r>
        <w:rPr>
          <w:rFonts w:ascii="Times New Roman;Times;serif" w:hAnsi="Times New Roman;Times;serif"/>
          <w:sz w:val="24"/>
        </w:rPr>
        <w:t>Each piece of Leased Real Property is adequate and suitable in all material respects for the purposes for which it is currently being used.  To the Knowledge of the Sellers, the Company has reasonably adequate rights of ingress and egress with respect to all Leased Real Property and the improvements thereon pursuant to public streets and roads or by good, marketable and insurable appurtenant easements.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bookmarkStart w:id="1712" w:name="_Toc333516677"/>
      <w:bookmarkStart w:id="1713" w:name="_Toc333516506"/>
      <w:bookmarkEnd w:id="1712"/>
      <w:bookmarkEnd w:id="1713"/>
      <w:r>
        <w:rPr>
          <w:rFonts w:ascii="Times New Roman;Times;serif" w:hAnsi="Times New Roman;Times;serif"/>
          <w:sz w:val="24"/>
        </w:rPr>
        <w:t>The Company does not owe any brokerage commission with respect to any Leased Real Property.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bookmarkStart w:id="1714" w:name="_Toc333516678"/>
      <w:bookmarkStart w:id="1715" w:name="_Toc333516507"/>
      <w:bookmarkEnd w:id="1714"/>
      <w:bookmarkEnd w:id="1715"/>
      <w:r>
        <w:rPr>
          <w:rFonts w:ascii="Times New Roman;Times;serif" w:hAnsi="Times New Roman;Times;serif"/>
          <w:sz w:val="24"/>
        </w:rPr>
        <w:t>The Leased Real Property constitutes all of the real property utilized by the Company in the operation of its Business and is sufficient for the Company to operate the Business as currently conducted.</w:t>
      </w:r>
      <w:r>
        <w:rPr>
          <w:rFonts w:ascii="Arial;Helvetica;sans-serif" w:hAnsi="Arial;Helvetica;sans-serif"/>
          <w:sz w:val="21"/>
        </w:rPr>
        <w:t xml:space="preserve">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3.6</w:t>
      </w:r>
      <w:bookmarkStart w:id="1716" w:name="_Toc333516508"/>
      <w:bookmarkStart w:id="1717" w:name="_Toc493079726"/>
      <w:bookmarkStart w:id="1718" w:name="_Toc491264991"/>
      <w:bookmarkStart w:id="1719" w:name="_Toc491263206"/>
      <w:bookmarkStart w:id="1720" w:name="_Toc491250858"/>
      <w:bookmarkStart w:id="1721" w:name="_Toc491244301"/>
      <w:bookmarkStart w:id="1722" w:name="_Toc490572252"/>
      <w:bookmarkStart w:id="1723" w:name="_Toc488826759"/>
      <w:bookmarkStart w:id="1724" w:name="_Toc488825166"/>
      <w:bookmarkStart w:id="1725" w:name="_Toc445397413"/>
      <w:bookmarkStart w:id="1726" w:name="_Toc441652947"/>
      <w:bookmarkStart w:id="1727" w:name="_Toc343001450"/>
      <w:bookmarkStart w:id="1728" w:name="_Toc341780911"/>
      <w:bookmarkStart w:id="1729" w:name="_Toc341776337"/>
      <w:bookmarkStart w:id="1730" w:name="_Toc341771308"/>
      <w:bookmarkStart w:id="1731" w:name="_Toc340837398"/>
      <w:bookmarkStart w:id="1732" w:name="_Toc340828683"/>
      <w:bookmarkStart w:id="1733" w:name="_Toc340814354"/>
      <w:bookmarkStart w:id="1734" w:name="_Toc340814254"/>
      <w:bookmarkStart w:id="1735" w:name="_Toc340760291"/>
      <w:bookmarkStart w:id="1736" w:name="_Toc340759913"/>
      <w:bookmarkStart w:id="1737" w:name="_Toc340757446"/>
      <w:bookmarkStart w:id="1738" w:name="_Toc338754074"/>
      <w:bookmarkStart w:id="1739" w:name="_Toc338753921"/>
      <w:bookmarkStart w:id="1740" w:name="_Toc338753564"/>
      <w:bookmarkStart w:id="1741" w:name="_Toc338751634"/>
      <w:bookmarkStart w:id="1742" w:name="_Toc337829169"/>
      <w:bookmarkStart w:id="1743" w:name="_Toc337827999"/>
      <w:bookmarkStart w:id="1744" w:name="_Toc337827803"/>
      <w:bookmarkStart w:id="1745" w:name="_Toc337827434"/>
      <w:bookmarkStart w:id="1746" w:name="_Toc337826784"/>
      <w:bookmarkStart w:id="1747" w:name="_Toc334637494"/>
      <w:bookmarkStart w:id="1748" w:name="_Toc333516998"/>
      <w:bookmarkStart w:id="1749" w:name="_Toc333516916"/>
      <w:bookmarkStart w:id="1750" w:name="_Toc333516834"/>
      <w:bookmarkStart w:id="1751" w:name="_Toc333516679"/>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r>
        <w:rPr>
          <w:rFonts w:ascii="Times New Roman;Times;serif" w:hAnsi="Times New Roman;Times;serif"/>
          <w:sz w:val="24"/>
        </w:rPr>
        <w:t xml:space="preserve"> </w:t>
      </w:r>
      <w:bookmarkStart w:id="1752" w:name="_Toc228467071"/>
      <w:bookmarkEnd w:id="1752"/>
      <w:r>
        <w:rPr>
          <w:rFonts w:ascii="Times New Roman;Times;serif" w:hAnsi="Times New Roman;Times;serif"/>
          <w:sz w:val="24"/>
        </w:rPr>
        <w:t xml:space="preserve">Title to Assets; Related Matters.  Except as set forth in </w:t>
      </w:r>
      <w:r>
        <w:rPr>
          <w:rFonts w:ascii="Times New Roman;Times;serif" w:hAnsi="Times New Roman;Times;serif"/>
          <w:sz w:val="24"/>
          <w:u w:val="single"/>
        </w:rPr>
        <w:t>Schedule 3.6</w:t>
      </w:r>
      <w:r>
        <w:rPr>
          <w:rFonts w:ascii="Times New Roman;Times;serif" w:hAnsi="Times New Roman;Times;serif"/>
          <w:sz w:val="24"/>
        </w:rPr>
        <w:t xml:space="preserve">, the Company has good and marketable title to all of its properties and assets, free and clear of all Liens, except Permitted Liens.  All material equipment and other material items of tangible personal property and assets of the Company (a) are in good operating condition and capable being used for their intended purposes, ordinary wear and tear excepted, and (b) are usable in the Ordinary Course.  There has not been any significant interruption of operations of the Business due to, or notice from any Governmental Entity with respect to, inadequate maintenance by the Company of any tangible personal property and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Arial;Helvetica;sans-serif" w:hAnsi="Arial;Helvetica;sans-serif"/>
        </w:rPr>
      </w:pPr>
      <w:r>
        <w:rPr>
          <w:rFonts w:ascii="Times New Roman;Times;serif" w:hAnsi="Times New Roman;Times;serif"/>
          <w:b w:val="false"/>
          <w:i w:val="false"/>
          <w:caps w:val="false"/>
          <w:smallCaps w:val="false"/>
          <w:sz w:val="24"/>
        </w:rPr>
        <w:t xml:space="preserve">assets.  Except as disclosed in </w:t>
      </w:r>
      <w:r>
        <w:rPr>
          <w:rFonts w:ascii="Times New Roman;Times;serif" w:hAnsi="Times New Roman;Times;serif"/>
          <w:b w:val="false"/>
          <w:i w:val="false"/>
          <w:caps w:val="false"/>
          <w:smallCaps w:val="false"/>
          <w:sz w:val="24"/>
          <w:u w:val="single"/>
        </w:rPr>
        <w:t>Schedule 3.6</w:t>
      </w:r>
      <w:r>
        <w:rPr>
          <w:rFonts w:ascii="Arial;Helvetica;sans-serif" w:hAnsi="Arial;Helvetica;sans-serif"/>
          <w:caps w:val="false"/>
          <w:smallCaps w:val="false"/>
        </w:rPr>
        <w:t xml:space="preserve"> </w:t>
      </w:r>
      <w:r>
        <w:rPr>
          <w:rFonts w:ascii="Times New Roman;Times;serif" w:hAnsi="Times New Roman;Times;serif"/>
          <w:b w:val="false"/>
          <w:i w:val="false"/>
          <w:caps w:val="false"/>
          <w:smallCaps w:val="false"/>
          <w:sz w:val="24"/>
        </w:rPr>
        <w:t xml:space="preserve">or incurred in the Ordinary Course, since January 1, 2025, the Company has not sold, transferred or disposed of any material assets.  The assets and properties of the Company constitute all of the material assets, services, properties, goodwill and rights (including Company Intellectual Property rights) used in the business of the Company as currently conducted.  All of the Business assets and properties located at the Leased Real Property are owned or validly leased by the Company, as applicable.  Except as set forth in </w:t>
      </w:r>
      <w:r>
        <w:rPr>
          <w:rFonts w:ascii="Times New Roman;Times;serif" w:hAnsi="Times New Roman;Times;serif"/>
          <w:b w:val="false"/>
          <w:i w:val="false"/>
          <w:caps w:val="false"/>
          <w:smallCaps w:val="false"/>
          <w:sz w:val="24"/>
          <w:u w:val="single"/>
        </w:rPr>
        <w:t>Schedule 3.6</w:t>
      </w:r>
      <w:r>
        <w:rPr>
          <w:rFonts w:ascii="Times New Roman;Times;serif" w:hAnsi="Times New Roman;Times;serif"/>
          <w:b w:val="false"/>
          <w:i w:val="false"/>
          <w:caps w:val="false"/>
          <w:smallCaps w:val="false"/>
          <w:sz w:val="24"/>
        </w:rPr>
        <w:t>, no asset or property used in, or held for use in, the Business is leased from or owned by any Seller or an Affiliate of any Seller (other than the Company).</w:t>
      </w:r>
    </w:p>
    <w:p>
      <w:pPr>
        <w:pStyle w:val="TextBody"/>
        <w:bidi w:val="0"/>
        <w:spacing w:lineRule="auto" w:line="285"/>
        <w:ind w:left="1530" w:right="0" w:hanging="0"/>
        <w:jc w:val="both"/>
        <w:rPr>
          <w:rFonts w:ascii="Times New Roman;Times;serif" w:hAnsi="Times New Roman;Times;serif"/>
          <w:sz w:val="24"/>
        </w:rPr>
      </w:pPr>
      <w:r>
        <w:rPr>
          <w:rFonts w:ascii="Times New Roman;Times;serif" w:hAnsi="Times New Roman;Times;serif"/>
          <w:sz w:val="24"/>
        </w:rPr>
        <w:t>Section 3.7</w:t>
      </w:r>
      <w:bookmarkStart w:id="1753" w:name="_Hlk511036520"/>
      <w:bookmarkStart w:id="1754" w:name="_Toc333516509"/>
      <w:bookmarkStart w:id="1755" w:name="_Toc493079727"/>
      <w:bookmarkStart w:id="1756" w:name="_Toc491264992"/>
      <w:bookmarkStart w:id="1757" w:name="_Toc491263207"/>
      <w:bookmarkStart w:id="1758" w:name="_Toc491250859"/>
      <w:bookmarkStart w:id="1759" w:name="_Toc491244302"/>
      <w:bookmarkStart w:id="1760" w:name="_Toc490572253"/>
      <w:bookmarkStart w:id="1761" w:name="_Toc488826760"/>
      <w:bookmarkStart w:id="1762" w:name="_Toc488825167"/>
      <w:bookmarkStart w:id="1763" w:name="_Toc445397414"/>
      <w:bookmarkStart w:id="1764" w:name="_Toc441652948"/>
      <w:bookmarkStart w:id="1765" w:name="_Toc343001451"/>
      <w:bookmarkStart w:id="1766" w:name="_Toc341780912"/>
      <w:bookmarkStart w:id="1767" w:name="_Toc341776338"/>
      <w:bookmarkStart w:id="1768" w:name="_Toc341771309"/>
      <w:bookmarkStart w:id="1769" w:name="_Toc340837399"/>
      <w:bookmarkStart w:id="1770" w:name="_Toc340828684"/>
      <w:bookmarkStart w:id="1771" w:name="_Toc340814355"/>
      <w:bookmarkStart w:id="1772" w:name="_Toc340814255"/>
      <w:bookmarkStart w:id="1773" w:name="_Toc340760292"/>
      <w:bookmarkStart w:id="1774" w:name="_Toc340759914"/>
      <w:bookmarkStart w:id="1775" w:name="_Toc340757447"/>
      <w:bookmarkStart w:id="1776" w:name="_Toc338754075"/>
      <w:bookmarkStart w:id="1777" w:name="_Toc338753922"/>
      <w:bookmarkStart w:id="1778" w:name="_Toc338753565"/>
      <w:bookmarkStart w:id="1779" w:name="_Toc338751635"/>
      <w:bookmarkStart w:id="1780" w:name="_Toc337829170"/>
      <w:bookmarkStart w:id="1781" w:name="_Toc337828000"/>
      <w:bookmarkStart w:id="1782" w:name="_Toc337827804"/>
      <w:bookmarkStart w:id="1783" w:name="_Toc337827435"/>
      <w:bookmarkStart w:id="1784" w:name="_Toc337826785"/>
      <w:bookmarkStart w:id="1785" w:name="_Toc334637495"/>
      <w:bookmarkStart w:id="1786" w:name="_Toc333516999"/>
      <w:bookmarkStart w:id="1787" w:name="_Toc333516917"/>
      <w:bookmarkStart w:id="1788" w:name="_Toc333516835"/>
      <w:bookmarkStart w:id="1789" w:name="_Toc333516680"/>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r>
        <w:rPr>
          <w:rFonts w:ascii="Times New Roman;Times;serif" w:hAnsi="Times New Roman;Times;serif"/>
          <w:sz w:val="24"/>
        </w:rPr>
        <w:t xml:space="preserve"> </w:t>
      </w:r>
      <w:bookmarkStart w:id="1790" w:name="_Toc228467072"/>
      <w:bookmarkEnd w:id="1790"/>
      <w:r>
        <w:rPr>
          <w:rFonts w:ascii="Times New Roman;Times;serif" w:hAnsi="Times New Roman;Times;serif"/>
          <w:sz w:val="24"/>
        </w:rPr>
        <w:t>Financial Statements. Complete copies of the Company’s unaudited financial statements consisting of the balance sheet of the Company at December 31</w:t>
      </w:r>
      <w:r>
        <w:rPr>
          <w:rFonts w:ascii="Times New Roman;Times;serif" w:hAnsi="Times New Roman;Times;serif"/>
          <w:sz w:val="18"/>
        </w:rPr>
        <w:t>st</w:t>
      </w:r>
      <w:r>
        <w:rPr>
          <w:rFonts w:ascii="Times New Roman;Times;serif" w:hAnsi="Times New Roman;Times;serif"/>
          <w:sz w:val="24"/>
        </w:rPr>
        <w:t>, 2025 and the related statements of income and retained earnings, stockholders’ equity and cash flow for the year then ended (the “</w:t>
      </w:r>
      <w:r>
        <w:rPr>
          <w:rFonts w:ascii="Times New Roman;Times;serif" w:hAnsi="Times New Roman;Times;serif"/>
          <w:sz w:val="24"/>
          <w:u w:val="single"/>
        </w:rPr>
        <w:t>Financial Statements</w:t>
      </w:r>
      <w:r>
        <w:rPr>
          <w:rFonts w:ascii="Times New Roman;Times;serif" w:hAnsi="Times New Roman;Times;serif"/>
          <w:sz w:val="24"/>
        </w:rPr>
        <w:t xml:space="preserve">”) are attached as </w:t>
      </w:r>
      <w:r>
        <w:rPr>
          <w:rFonts w:ascii="Times New Roman;Times;serif" w:hAnsi="Times New Roman;Times;serif"/>
          <w:sz w:val="24"/>
          <w:u w:val="single"/>
        </w:rPr>
        <w:t>Schedule 3.7</w:t>
      </w:r>
      <w:r>
        <w:rPr>
          <w:rFonts w:ascii="Times New Roman;Times;serif" w:hAnsi="Times New Roman;Times;serif"/>
          <w:sz w:val="24"/>
        </w:rPr>
        <w:t>, and unaudited financial statements consisting of the balance sheet of the Company as at March 31, 2026 and the related statement of income for the three month period then ended (the “</w:t>
      </w:r>
      <w:r>
        <w:rPr>
          <w:rFonts w:ascii="Times New Roman;Times;serif" w:hAnsi="Times New Roman;Times;serif"/>
          <w:sz w:val="24"/>
          <w:u w:val="single"/>
        </w:rPr>
        <w:t>Interim Financial Statements</w:t>
      </w:r>
      <w:r>
        <w:rPr>
          <w:rFonts w:ascii="Times New Roman;Times;serif" w:hAnsi="Times New Roman;Times;serif"/>
          <w:sz w:val="24"/>
        </w:rPr>
        <w:t xml:space="preserve">”) and together with the Financial Statements, are included in </w:t>
      </w:r>
      <w:r>
        <w:rPr>
          <w:rFonts w:ascii="Times New Roman;Times;serif" w:hAnsi="Times New Roman;Times;serif"/>
          <w:sz w:val="24"/>
          <w:u w:val="single"/>
        </w:rPr>
        <w:t>Schedule 3.7</w:t>
      </w:r>
      <w:r>
        <w:rPr>
          <w:rFonts w:ascii="Times New Roman;Times;serif" w:hAnsi="Times New Roman;Times;serif"/>
          <w:sz w:val="24"/>
        </w:rPr>
        <w:t xml:space="preserve"> and have been delivered or otherwise made available to Purchaser.  The Financial Statements have been prepared in accordance with the Company’s historical accounting practices applied on a consistent basis throughout the periods involved, subject, in the case of Interim Financial Statements, to normal and recurring year-end adjustments (the effect of which will not be materially adverse) and are not materially different than GAAP.  The Financial Statements are based on the Books and Records of the Company, and fairly present the financial condition of the Company as of the respective dates they were prepared and the results of the operations of the Company for the periods indicated and include the accrual of a pro-rata share of any reasonably expected bonus pools to be paid from the earnings of the Company upon the completion of the fiscal year. The balance sheet of the Company as of December 31, 2025 is referred to herein as the “Balance Sheet” and the date thereof as the “</w:t>
      </w:r>
      <w:r>
        <w:rPr>
          <w:rFonts w:ascii="Times New Roman;Times;serif" w:hAnsi="Times New Roman;Times;serif"/>
          <w:sz w:val="24"/>
          <w:u w:val="single"/>
        </w:rPr>
        <w:t>Balance Sheet Date</w:t>
      </w:r>
      <w:r>
        <w:rPr>
          <w:rFonts w:ascii="Times New Roman;Times;serif" w:hAnsi="Times New Roman;Times;serif"/>
          <w:sz w:val="24"/>
        </w:rPr>
        <w:t>” and the balance sheet of the Company as of March 31, 2026 is referred to herein as the “</w:t>
      </w:r>
      <w:r>
        <w:rPr>
          <w:rFonts w:ascii="Times New Roman;Times;serif" w:hAnsi="Times New Roman;Times;serif"/>
          <w:sz w:val="24"/>
          <w:u w:val="single"/>
        </w:rPr>
        <w:t>Interim Balance Sheet</w:t>
      </w:r>
      <w:r>
        <w:rPr>
          <w:rFonts w:ascii="Times New Roman;Times;serif" w:hAnsi="Times New Roman;Times;serif"/>
          <w:sz w:val="24"/>
        </w:rPr>
        <w:t>” and the date thereof as the “Interim Balance Sheet Date”.  The Company maintains a standard system of accounting established and administered substantially in accordance with GAAP. No accrual has been provided for vacation, holiday or sick pay accrued by employees, and no provision for deferred Taxes has been made in the Financial Statements.</w:t>
      </w:r>
    </w:p>
    <w:p>
      <w:pPr>
        <w:pStyle w:val="TextBody"/>
        <w:bidi w:val="0"/>
        <w:spacing w:lineRule="auto" w:line="314" w:before="0" w:after="0"/>
        <w:ind w:left="0" w:right="0" w:hanging="0"/>
        <w:jc w:val="both"/>
        <w:rPr/>
      </w:pPr>
      <w:bookmarkStart w:id="1791" w:name="_Toc340757448"/>
      <w:bookmarkStart w:id="1792" w:name="_Toc493079728"/>
      <w:bookmarkStart w:id="1793" w:name="_Toc491264993"/>
      <w:bookmarkStart w:id="1794" w:name="_Toc491263208"/>
      <w:bookmarkStart w:id="1795" w:name="_Toc491250860"/>
      <w:bookmarkStart w:id="1796" w:name="_Toc491244303"/>
      <w:bookmarkStart w:id="1797" w:name="_Toc490572254"/>
      <w:bookmarkStart w:id="1798" w:name="_Toc488826761"/>
      <w:bookmarkStart w:id="1799" w:name="_Toc488825168"/>
      <w:bookmarkStart w:id="1800" w:name="_Toc445397415"/>
      <w:bookmarkStart w:id="1801" w:name="_Toc441652949"/>
      <w:bookmarkStart w:id="1802" w:name="_Toc343001452"/>
      <w:bookmarkStart w:id="1803" w:name="_Toc341780913"/>
      <w:bookmarkStart w:id="1804" w:name="_Toc341776339"/>
      <w:bookmarkStart w:id="1805" w:name="_Toc341771310"/>
      <w:bookmarkStart w:id="1806" w:name="_Toc340837400"/>
      <w:bookmarkStart w:id="1807" w:name="_Toc340828685"/>
      <w:bookmarkStart w:id="1808" w:name="_Toc340814356"/>
      <w:bookmarkStart w:id="1809" w:name="_Toc340814256"/>
      <w:bookmarkStart w:id="1810" w:name="_Toc340760293"/>
      <w:bookmarkStart w:id="1811" w:name="_Toc340759915"/>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r>
        <w:rPr/>
        <w: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 xml:space="preserve">Section 3.8 </w:t>
      </w:r>
      <w:bookmarkStart w:id="1812" w:name="_Toc228467073"/>
      <w:bookmarkEnd w:id="1812"/>
      <w:r>
        <w:rPr>
          <w:rFonts w:ascii="Times New Roman;Times;serif" w:hAnsi="Times New Roman;Times;serif"/>
          <w:sz w:val="24"/>
        </w:rPr>
        <w:t>Accounts Receivable</w:t>
      </w:r>
      <w:bookmarkStart w:id="1813" w:name="_Toc340760294"/>
      <w:bookmarkStart w:id="1814" w:name="_Toc340759916"/>
      <w:bookmarkEnd w:id="1813"/>
      <w:bookmarkEnd w:id="1814"/>
      <w:r>
        <w:rPr>
          <w:rFonts w:ascii="Times New Roman;Times;serif" w:hAnsi="Times New Roman;Times;serif"/>
          <w:sz w:val="24"/>
        </w:rPr>
        <w:t xml:space="preserve">.  All billed and unbilled accounts receivable of the Company (a) arose in the Ordinary Course, (b) except as provided in the associated allowance for doubtful accounts on the Final Statement, are valid, existing and result from bona fide transactions and are reasonably expected to be collectible without resort to legal proceedings or collection agencies, and (c) except as set forth on </w:t>
      </w:r>
      <w:r>
        <w:rPr>
          <w:rFonts w:ascii="Times New Roman;Times;serif" w:hAnsi="Times New Roman;Times;serif"/>
          <w:sz w:val="24"/>
          <w:u w:val="single"/>
        </w:rPr>
        <w:t>Schedule 3.8</w:t>
      </w:r>
      <w:r>
        <w:rPr>
          <w:rFonts w:ascii="Times New Roman;Times;serif" w:hAnsi="Times New Roman;Times;serif"/>
          <w:sz w:val="24"/>
        </w:rPr>
        <w:t xml:space="preserve">, are not subject to any refund or adjustment or, any defense, right of set-off, assignment, restriction, security interest or other lien.  Except as set forth on </w:t>
      </w:r>
      <w:r>
        <w:rPr>
          <w:rFonts w:ascii="Times New Roman;Times;serif" w:hAnsi="Times New Roman;Times;serif"/>
          <w:sz w:val="24"/>
          <w:u w:val="single"/>
        </w:rPr>
        <w:t>Schedule 3.8</w:t>
      </w:r>
      <w:r>
        <w:rPr>
          <w:rFonts w:ascii="Times New Roman;Times;serif" w:hAnsi="Times New Roman;Times;serif"/>
          <w:sz w:val="24"/>
        </w:rPr>
        <w:t xml:space="preserve">, no third party has initiated or threatened in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Arial;Helvetica;sans-serif" w:hAnsi="Arial;Helvetica;sans-serif"/>
        </w:rPr>
      </w:pPr>
      <w:r>
        <w:rPr>
          <w:rFonts w:ascii="Times New Roman;Times;serif" w:hAnsi="Times New Roman;Times;serif"/>
          <w:b w:val="false"/>
          <w:i w:val="false"/>
          <w:caps w:val="false"/>
          <w:smallCaps w:val="false"/>
          <w:sz w:val="24"/>
        </w:rPr>
        <w:t xml:space="preserve">writing to initiate, a dispute regarding the collectability of any accounts receivable. All billed and unbilled accounts receivable reflected in the Final Statement, net of the associated allowance for doubtful accounts, and, to the Knowledge of the Sellers, are fully collectible within three hundred and sixty-five (365) days after the date hereof and payable at their face amounts.  The Company has never factored any of its respective accounts receivable.  No account receivable set forth on </w:t>
      </w:r>
      <w:r>
        <w:rPr>
          <w:rFonts w:ascii="Times New Roman;Times;serif" w:hAnsi="Times New Roman;Times;serif"/>
          <w:b w:val="false"/>
          <w:i w:val="false"/>
          <w:caps w:val="false"/>
          <w:smallCaps w:val="false"/>
          <w:sz w:val="24"/>
          <w:u w:val="single"/>
        </w:rPr>
        <w:t>Schedule 3.8</w:t>
      </w:r>
      <w:r>
        <w:rPr>
          <w:rFonts w:ascii="Arial;Helvetica;sans-serif" w:hAnsi="Arial;Helvetica;sans-serif"/>
          <w:caps w:val="false"/>
          <w:smallCaps w:val="false"/>
        </w:rPr>
        <w:t xml:space="preserve"> </w:t>
      </w:r>
      <w:r>
        <w:rPr>
          <w:rFonts w:ascii="Times New Roman;Times;serif" w:hAnsi="Times New Roman;Times;serif"/>
          <w:b w:val="false"/>
          <w:i w:val="false"/>
          <w:caps w:val="false"/>
          <w:smallCaps w:val="false"/>
          <w:sz w:val="24"/>
        </w:rPr>
        <w:t>is with a party with whom the Company has had or settled a dispute regarding the collection of any past account receivable.</w:t>
      </w:r>
    </w:p>
    <w:p>
      <w:pPr>
        <w:pStyle w:val="TextBody"/>
        <w:bidi w:val="0"/>
        <w:spacing w:lineRule="auto" w:line="285" w:before="0" w:after="240"/>
        <w:ind w:left="1530" w:right="0" w:firstLine="720"/>
        <w:jc w:val="both"/>
        <w:rPr>
          <w:rFonts w:ascii="Times New Roman;Times;serif" w:hAnsi="Times New Roman;Times;serif"/>
          <w:sz w:val="24"/>
        </w:rPr>
      </w:pPr>
      <w:r>
        <w:rPr>
          <w:rFonts w:ascii="Times New Roman;Times;serif" w:hAnsi="Times New Roman;Times;serif"/>
          <w:sz w:val="24"/>
        </w:rPr>
        <w:t>Section 3.10</w:t>
      </w:r>
      <w:bookmarkStart w:id="1815" w:name="_Toc493079729"/>
      <w:bookmarkStart w:id="1816" w:name="_Toc491264994"/>
      <w:bookmarkStart w:id="1817" w:name="_Toc491263209"/>
      <w:bookmarkStart w:id="1818" w:name="_Toc491250861"/>
      <w:bookmarkStart w:id="1819" w:name="_Toc491244304"/>
      <w:bookmarkStart w:id="1820" w:name="_Toc490572255"/>
      <w:bookmarkStart w:id="1821" w:name="_Toc488826762"/>
      <w:bookmarkStart w:id="1822" w:name="_Toc488825169"/>
      <w:bookmarkStart w:id="1823" w:name="_Toc445397416"/>
      <w:bookmarkStart w:id="1824" w:name="_Toc441652950"/>
      <w:bookmarkStart w:id="1825" w:name="_Toc343001453"/>
      <w:bookmarkStart w:id="1826" w:name="_Toc341780914"/>
      <w:bookmarkStart w:id="1827" w:name="_Toc341776340"/>
      <w:bookmarkStart w:id="1828" w:name="_Toc341771311"/>
      <w:bookmarkStart w:id="1829" w:name="_Toc340837401"/>
      <w:bookmarkStart w:id="1830" w:name="_Toc340828686"/>
      <w:bookmarkStart w:id="1831" w:name="_Toc340814357"/>
      <w:bookmarkStart w:id="1832" w:name="_Toc340814257"/>
      <w:bookmarkStart w:id="1833" w:name="_Toc340760295"/>
      <w:bookmarkStart w:id="1834" w:name="_Toc340759917"/>
      <w:bookmarkStart w:id="1835" w:name="_Toc340757449"/>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r>
        <w:rPr>
          <w:rFonts w:ascii="Times New Roman;Times;serif" w:hAnsi="Times New Roman;Times;serif"/>
          <w:sz w:val="24"/>
        </w:rPr>
        <w:t xml:space="preserve"> </w:t>
      </w:r>
      <w:bookmarkStart w:id="1836" w:name="_Toc228467074"/>
      <w:bookmarkEnd w:id="1836"/>
      <w:r>
        <w:rPr>
          <w:rFonts w:ascii="Times New Roman;Times;serif" w:hAnsi="Times New Roman;Times;serif"/>
          <w:sz w:val="24"/>
        </w:rPr>
        <w:t>Tax Returns; Taxes​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rPr>
        <w:t xml:space="preserve">The Company has timely filed with all appropriate Governmental Entities all income, sales, use, and other Tax Returns required to be filed prior to the Closing Date by it in respect of all applicable Taxes of the Company.  All such Tax Returns are correct and complete in all material respects and were prepared in compliance in all material respects with applicable Law.  All Taxes due, or claimed to be due by any Tax authority, pursuant thereto (whether or not shown as due on any Tax Return) were paid when due.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No written claim has ever been made by a Governmental Entity in a jurisdiction in which the Company does not file Tax Returns that the Company is or may be subject to taxation by that jurisdiction.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There are no Liens on any of the assets of the Company that arose in connection with any failure (or alleged failure) to pay any Tax (other than Permitted Liens).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 xml:space="preserve">Except as set forth in </w:t>
      </w:r>
      <w:r>
        <w:rPr>
          <w:rFonts w:ascii="Times New Roman;Times;serif" w:hAnsi="Times New Roman;Times;serif"/>
          <w:sz w:val="24"/>
          <w:u w:val="single"/>
        </w:rPr>
        <w:t>Schedule 3.9(d)</w:t>
      </w:r>
      <w:r>
        <w:rPr>
          <w:rFonts w:ascii="Times New Roman;Times;serif" w:hAnsi="Times New Roman;Times;serif"/>
          <w:sz w:val="24"/>
        </w:rPr>
        <w:t xml:space="preserve">, the Company has collected and withheld all Taxes that they have been required to collect or withhold and have timely submitted all such collected and withheld Taxes to the appropriate authorities. The Company has complied in all material respects and is in compliance in all material respects with all applicable Laws relating to the payment, withholding and information reporting requirements relating to any Taxes required to be collected or withheld.  All individuals paid for services by the Company have been properly classified as either employees or independent contractors in accordance with the Code and applicable Tax laws.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 xml:space="preserve">Except as set forth in </w:t>
      </w:r>
      <w:r>
        <w:rPr>
          <w:rFonts w:ascii="Times New Roman;Times;serif" w:hAnsi="Times New Roman;Times;serif"/>
          <w:sz w:val="24"/>
          <w:u w:val="single"/>
        </w:rPr>
        <w:t>Schedule 3.9(e)</w:t>
      </w:r>
      <w:r>
        <w:rPr>
          <w:rFonts w:ascii="Times New Roman;Times;serif" w:hAnsi="Times New Roman;Times;serif"/>
          <w:sz w:val="24"/>
        </w:rPr>
        <w:t>, the Company will not be required to include any item of income in, or exclude any item of deduction from, taxable income for any period ending after the Closing Date (each, a “</w:t>
      </w:r>
      <w:r>
        <w:rPr>
          <w:rFonts w:ascii="Times New Roman;Times;serif" w:hAnsi="Times New Roman;Times;serif"/>
          <w:sz w:val="24"/>
          <w:u w:val="single"/>
        </w:rPr>
        <w:t>Post-Closing Tax Period</w:t>
      </w:r>
      <w:r>
        <w:rPr>
          <w:rFonts w:ascii="Arial;Helvetica;sans-serif" w:hAnsi="Arial;Helvetica;sans-serif"/>
          <w:sz w:val="21"/>
        </w:rPr>
        <w:t>”</w:t>
      </w:r>
      <w:r>
        <w:rPr>
          <w:rFonts w:ascii="Times New Roman;Times;serif" w:hAnsi="Times New Roman;Times;serif"/>
          <w:sz w:val="24"/>
        </w:rPr>
        <w:t>) as a result of any (i) change in accounting method for any period ending on or prior to the Closing Date (each, a “</w:t>
      </w:r>
      <w:r>
        <w:rPr>
          <w:rFonts w:ascii="Times New Roman;Times;serif" w:hAnsi="Times New Roman;Times;serif"/>
          <w:sz w:val="24"/>
          <w:u w:val="single"/>
        </w:rPr>
        <w:t>Pre-Closing Tax Period</w:t>
      </w:r>
      <w:r>
        <w:rPr>
          <w:rFonts w:ascii="Arial;Helvetica;sans-serif" w:hAnsi="Arial;Helvetica;sans-serif"/>
          <w:sz w:val="21"/>
        </w:rPr>
        <w:t>”</w:t>
      </w:r>
      <w:r>
        <w:rPr>
          <w:rFonts w:ascii="Times New Roman;Times;serif" w:hAnsi="Times New Roman;Times;serif"/>
          <w:sz w:val="24"/>
        </w:rPr>
        <w:t>) under Section 481 of the Code (or any analogous or comparable provision of United States, state or local or non-United States Tax law) other than as a result of the transactions contemplated hereunder, (ii) written agreement with a Tax authority with regard to the Tax liability of the Company for any Pre-Closing Tax Period, (iii) deferred intercompany gain described in United States Treasury Regulations under Section 1502 of the Code (or any corresponding or similar provision of state, local or non-United States Tax law) arising from any transaction that occurred prior to the Closing Date or prior to the Closing on the Closing Date, (iv) installment sale or open transaction disposition made prior to the Closing Date or prior to the Closing on the Closing Date, or (v) prepaid amount received on or prior to the Closing Date.</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r>
        <w:rPr>
          <w:rFonts w:ascii="Times New Roman;Times;serif" w:hAnsi="Times New Roman;Times;serif"/>
          <w:sz w:val="24"/>
        </w:rPr>
        <w:t>There is no notice from any Governmental Entity with respect to the assessment of any additional Taxes for any period for which Tax Returns have been or will be filed.  There is no Litigation concerning any Liability for Taxes of the Company, either (i) claimed or raised by any Governmental Entity and delivered to the Company in writing, or (ii), based upon personal contact with any agent of such Governmental Entity.  No Tax audits or other administrative proceedings are presently pending or, to the Knowledge of the Sellers, threatened with respect to any Taxes for which the Company has been or could be liable.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(g)</w:t>
      </w:r>
      <w:r>
        <w:rPr>
          <w:rFonts w:ascii="Times New Roman;Times;serif" w:hAnsi="Times New Roman;Times;serif"/>
          <w:sz w:val="24"/>
        </w:rPr>
        <w:t>The Company has made available to the Purchaser true, correct and complete copies of all federal, state, local and foreign Tax Returns and all written communications from or to the IRS or other Governmental Entity in the Company’s custody, possession or control and relating to any such Tax Returns, examination reports and statements of deficiencies filed, assessed against or agreed to by the Company since January 1, 2024.</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(h)</w:t>
      </w:r>
      <w:r>
        <w:rPr>
          <w:rFonts w:ascii="Times New Roman;Times;serif" w:hAnsi="Times New Roman;Times;serif"/>
          <w:sz w:val="24"/>
        </w:rPr>
        <w:t>The Company has not executed or entered into with any taxing authority (i) any agreement, waiver or other document extending or having the effect of extending or waiving the period for assessments or collection of any Taxes for which the Company would or could be liable, (ii) any closing agreement pursuant to Section 7121 of the Code, or any predecessor provision thereof or any similar provision of state, local or foreign Tax law that relates to the assets or operation of the Company, or (iii) any power of attorney with respect to any Tax matter that is currently in force.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 xml:space="preserve">Except as set forth in </w:t>
      </w:r>
      <w:r>
        <w:rPr>
          <w:rFonts w:ascii="Times New Roman;Times;serif" w:hAnsi="Times New Roman;Times;serif"/>
          <w:sz w:val="24"/>
          <w:u w:val="single"/>
        </w:rPr>
        <w:t>Schedule 3.9(i)</w:t>
      </w:r>
      <w:r>
        <w:rPr>
          <w:rFonts w:ascii="Times New Roman;Times;serif" w:hAnsi="Times New Roman;Times;serif"/>
          <w:sz w:val="24"/>
        </w:rPr>
        <w:t>, no Tax assessment or deficiency which has not been paid, or for which an adequate reserve has not been set aside, has been made or proposed in writing against the Company, nor are any of the Tax Returns now being or, threatened to be audited.  All Tax deficiencies determined as a result of any completed audit have been satisfied.  The Company has delivered or otherwise made available to the Purchaser complete copies of all audit reports and statements of deficiencies with respect to any Tax assessed against or agreed to by the Company for the three most recent taxable periods for which such audit reports and statements of deficiencies have been received by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(j)</w:t>
      </w:r>
      <w:r>
        <w:rPr>
          <w:rFonts w:ascii="Times New Roman;Times;serif" w:hAnsi="Times New Roman;Times;serif"/>
          <w:sz w:val="24"/>
        </w:rPr>
        <w:t>The Company is not a party to any agreement, contract, arrangement or plan that, has resulted or would result, separately or in the aggregate, in the payment of any “excess parachute payment” within the meaning of Code Section 280G (or any corresponding provision of state, local, or foreign Tax Law) in connection with the transactions contemplated by this Agreement, including the Acquisition.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(k)</w:t>
      </w:r>
      <w:r>
        <w:rPr>
          <w:rFonts w:ascii="Times New Roman;Times;serif" w:hAnsi="Times New Roman;Times;serif"/>
          <w:sz w:val="24"/>
        </w:rPr>
        <w:t>The Company is not a party to or bound by any Tax sharing, Tax indemnity or Tax allocation agreement or other similar arrangement, excluding, however, any agreement or arrangement the primary purpose of which is not the allocation or payment of Tax liability and in which such provisions regarding Taxes are typical of such agreements or arrangements.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(l)</w:t>
      </w:r>
      <w:r>
        <w:rPr>
          <w:rFonts w:ascii="Times New Roman;Times;serif" w:hAnsi="Times New Roman;Times;serif"/>
          <w:sz w:val="24"/>
        </w:rPr>
        <w:t xml:space="preserve">Except as set forth in </w:t>
      </w:r>
      <w:r>
        <w:rPr>
          <w:rFonts w:ascii="Times New Roman;Times;serif" w:hAnsi="Times New Roman;Times;serif"/>
          <w:sz w:val="24"/>
          <w:u w:val="single"/>
        </w:rPr>
        <w:t>Schedule 3.9(l)</w:t>
      </w:r>
      <w:r>
        <w:rPr>
          <w:rFonts w:ascii="Times New Roman;Times;serif" w:hAnsi="Times New Roman;Times;serif"/>
          <w:sz w:val="24"/>
        </w:rPr>
        <w:t>, the Company has not been a member of an affiliated group filing a consolidated federal income Tax Return.</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(m)</w:t>
      </w:r>
      <w:r>
        <w:rPr>
          <w:rFonts w:ascii="Times New Roman;Times;serif" w:hAnsi="Times New Roman;Times;serif"/>
          <w:sz w:val="24"/>
        </w:rPr>
        <w:t>The Company has no material liability for the Taxes of any Person other than the Company (A) under Reg. Section 1.1502-6 (or any similar provision of state, local or foreign Law), (B) as a transferee or successor, or (C) by a contract other than contracts entered into in the Ordinary Course or any agreement or arrangement the primary purpose of which is not the allocation or payment of Tax liability and in which such provisions regarding Taxes are typical of such agreements or arrangements.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(n)</w:t>
      </w:r>
      <w:r>
        <w:rPr>
          <w:rFonts w:ascii="Times New Roman;Times;serif" w:hAnsi="Times New Roman;Times;serif"/>
          <w:sz w:val="24"/>
        </w:rPr>
        <w:t>The Company will not be required to make an adjustment to any Tax attribute of, or the basis of any asset of, the Company under Section 1.1502-36(d) of the Treasury Regulations as a result of the transactions contemplated by this Agreement, including the Acquisition.</w:t>
      </w:r>
    </w:p>
    <w:p>
      <w:pPr>
        <w:pStyle w:val="TextBody"/>
        <w:bidi w:val="0"/>
        <w:spacing w:lineRule="auto" w:line="314" w:before="0" w:after="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1"/>
        </w:rPr>
        <w:t>(o)</w:t>
      </w:r>
      <w:r>
        <w:rPr>
          <w:rFonts w:ascii="Times New Roman;Times;serif" w:hAnsi="Times New Roman;Times;serif"/>
          <w:sz w:val="24"/>
        </w:rPr>
        <w:t>To the Knowledge of the Sellers, the Company is not under examination by any taxing authority.</w:t>
      </w:r>
    </w:p>
    <w:p>
      <w:pPr>
        <w:pStyle w:val="TextBody"/>
        <w:bidi w:val="0"/>
        <w:spacing w:lineRule="auto" w:line="314" w:before="0" w:after="0"/>
        <w:ind w:left="720" w:right="0" w:firstLine="720"/>
        <w:jc w:val="both"/>
        <w:rPr/>
      </w:pPr>
      <w:r>
        <w:rPr/>
        <w:t>​</w:t>
      </w:r>
    </w:p>
    <w:p>
      <w:pPr>
        <w:pStyle w:val="TextBody"/>
        <w:bidi w:val="0"/>
        <w:spacing w:lineRule="auto" w:line="285" w:before="0" w:after="240"/>
        <w:ind w:left="720" w:right="0" w:hanging="0"/>
        <w:jc w:val="left"/>
        <w:rPr>
          <w:rFonts w:ascii="Arial;Helvetica;sans-serif" w:hAnsi="Arial;Helvetica;sans-serif"/>
          <w:sz w:val="21"/>
        </w:rPr>
      </w:pPr>
      <w:r>
        <w:rPr>
          <w:rFonts w:ascii="Times New Roman;Times;serif" w:hAnsi="Times New Roman;Times;serif"/>
          <w:b w:val="false"/>
          <w:i w:val="false"/>
          <w:caps w:val="false"/>
          <w:smallCaps w:val="false"/>
          <w:sz w:val="24"/>
        </w:rPr>
        <w:t xml:space="preserve">(p) </w:t>
      </w:r>
      <w:r>
        <w:rPr>
          <w:rFonts w:ascii="Times New Roman;Times;serif" w:hAnsi="Times New Roman;Times;serif"/>
          <w:sz w:val="24"/>
        </w:rPr>
        <w:t>The Company is, and since formation has been, properly classified as a partnership for U.S. federal and applicable state and local income tax purposes, and has not made or been subject to any election to be treated as a corporation.</w:t>
      </w:r>
    </w:p>
    <w:p>
      <w:pPr>
        <w:pStyle w:val="TextBody"/>
        <w:bidi w:val="0"/>
        <w:spacing w:lineRule="auto" w:line="314" w:before="0" w:after="0"/>
        <w:ind w:left="0" w:right="0" w:hanging="0"/>
        <w:jc w:val="both"/>
        <w:rPr/>
      </w:pPr>
      <w:r>
        <w:rPr/>
        <w: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3.11</w:t>
      </w:r>
      <w:bookmarkStart w:id="1837" w:name="_Toc333516510"/>
      <w:bookmarkStart w:id="1838" w:name="_Toc228467075"/>
      <w:bookmarkStart w:id="1839" w:name="_Toc493079730"/>
      <w:bookmarkStart w:id="1840" w:name="_Toc491264995"/>
      <w:bookmarkStart w:id="1841" w:name="_Toc491263210"/>
      <w:bookmarkStart w:id="1842" w:name="_Toc491250862"/>
      <w:bookmarkStart w:id="1843" w:name="_Toc491244305"/>
      <w:bookmarkStart w:id="1844" w:name="_Toc490572256"/>
      <w:bookmarkStart w:id="1845" w:name="_Toc488826763"/>
      <w:bookmarkStart w:id="1846" w:name="_Toc488825170"/>
      <w:bookmarkStart w:id="1847" w:name="_Toc445397417"/>
      <w:bookmarkStart w:id="1848" w:name="_Toc441652951"/>
      <w:bookmarkStart w:id="1849" w:name="_Toc343001455"/>
      <w:bookmarkStart w:id="1850" w:name="_Toc341780916"/>
      <w:bookmarkStart w:id="1851" w:name="_Toc341776342"/>
      <w:bookmarkStart w:id="1852" w:name="_Toc341771313"/>
      <w:bookmarkStart w:id="1853" w:name="_Toc340837403"/>
      <w:bookmarkStart w:id="1854" w:name="_Toc340828688"/>
      <w:bookmarkStart w:id="1855" w:name="_Toc340814359"/>
      <w:bookmarkStart w:id="1856" w:name="_Toc340814259"/>
      <w:bookmarkStart w:id="1857" w:name="_Toc340760298"/>
      <w:bookmarkStart w:id="1858" w:name="_Toc340759920"/>
      <w:bookmarkStart w:id="1859" w:name="_Toc340757452"/>
      <w:bookmarkStart w:id="1860" w:name="_Toc338754076"/>
      <w:bookmarkStart w:id="1861" w:name="_Toc338753923"/>
      <w:bookmarkStart w:id="1862" w:name="_Toc338753566"/>
      <w:bookmarkStart w:id="1863" w:name="_Toc338751636"/>
      <w:bookmarkStart w:id="1864" w:name="_Toc337829171"/>
      <w:bookmarkStart w:id="1865" w:name="_Toc337828001"/>
      <w:bookmarkStart w:id="1866" w:name="_Toc337827805"/>
      <w:bookmarkStart w:id="1867" w:name="_Toc337827436"/>
      <w:bookmarkStart w:id="1868" w:name="_Toc337826786"/>
      <w:bookmarkStart w:id="1869" w:name="_Toc334637496"/>
      <w:bookmarkStart w:id="1870" w:name="_Toc333517000"/>
      <w:bookmarkStart w:id="1871" w:name="_Toc333516918"/>
      <w:bookmarkStart w:id="1872" w:name="_Toc333516836"/>
      <w:bookmarkStart w:id="1873" w:name="_Toc333516681"/>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r>
        <w:rPr>
          <w:rFonts w:ascii="Times New Roman;Times;serif" w:hAnsi="Times New Roman;Times;serif"/>
          <w:sz w:val="24"/>
        </w:rPr>
        <w:t>No Undisclosed Liabilities</w:t>
      </w:r>
      <w:bookmarkStart w:id="1874" w:name="_Toc340760299"/>
      <w:bookmarkStart w:id="1875" w:name="_Toc340759921"/>
      <w:bookmarkStart w:id="1876" w:name="_Toc340757453"/>
      <w:bookmarkEnd w:id="1874"/>
      <w:bookmarkEnd w:id="1875"/>
      <w:bookmarkEnd w:id="1876"/>
      <w:r>
        <w:rPr>
          <w:rFonts w:ascii="Times New Roman;Times;serif" w:hAnsi="Times New Roman;Times;serif"/>
          <w:sz w:val="24"/>
        </w:rPr>
        <w:t xml:space="preserve">.  Except as set forth in the Financial Statements or </w:t>
      </w:r>
      <w:r>
        <w:rPr>
          <w:rFonts w:ascii="Times New Roman;Times;serif" w:hAnsi="Times New Roman;Times;serif"/>
          <w:sz w:val="24"/>
          <w:u w:val="single"/>
        </w:rPr>
        <w:t>Schedule 3.10</w:t>
      </w:r>
      <w:r>
        <w:rPr>
          <w:rFonts w:ascii="Times New Roman;Times;serif" w:hAnsi="Times New Roman;Times;serif"/>
          <w:sz w:val="24"/>
        </w:rPr>
        <w:t xml:space="preserve">, the Company has no Liabilities of a nature required by GAAP to be reflected on the face of a balance sheet or in the notes thereto, other than (a) Liabilities incurred since the date of the Balance Sheet in the Ordinary Course, (b) forward-looking obligations to perform under any Contracts of the Company, or (c) the matters disclosed in or arising out of matters set forth in the schedules to this Agreement.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3.12</w:t>
      </w:r>
      <w:bookmarkStart w:id="1877" w:name="_Toc333516511"/>
      <w:bookmarkStart w:id="1878" w:name="_Toc228467076"/>
      <w:bookmarkStart w:id="1879" w:name="_Toc493079731"/>
      <w:bookmarkStart w:id="1880" w:name="_Toc491264996"/>
      <w:bookmarkStart w:id="1881" w:name="_Toc491263211"/>
      <w:bookmarkStart w:id="1882" w:name="_Toc491250863"/>
      <w:bookmarkStart w:id="1883" w:name="_Toc491244306"/>
      <w:bookmarkStart w:id="1884" w:name="_Toc490572257"/>
      <w:bookmarkStart w:id="1885" w:name="_Toc488826764"/>
      <w:bookmarkStart w:id="1886" w:name="_Toc488825171"/>
      <w:bookmarkStart w:id="1887" w:name="_Toc445397418"/>
      <w:bookmarkStart w:id="1888" w:name="_Toc441652952"/>
      <w:bookmarkStart w:id="1889" w:name="_Toc343001456"/>
      <w:bookmarkStart w:id="1890" w:name="_Toc341780917"/>
      <w:bookmarkStart w:id="1891" w:name="_Toc341776343"/>
      <w:bookmarkStart w:id="1892" w:name="_Toc341771314"/>
      <w:bookmarkStart w:id="1893" w:name="_Toc340837404"/>
      <w:bookmarkStart w:id="1894" w:name="_Toc340828689"/>
      <w:bookmarkStart w:id="1895" w:name="_Toc340814360"/>
      <w:bookmarkStart w:id="1896" w:name="_Toc340814260"/>
      <w:bookmarkStart w:id="1897" w:name="_Toc340760300"/>
      <w:bookmarkStart w:id="1898" w:name="_Toc340759922"/>
      <w:bookmarkStart w:id="1899" w:name="_Toc340757454"/>
      <w:bookmarkStart w:id="1900" w:name="_Toc338754077"/>
      <w:bookmarkStart w:id="1901" w:name="_Toc338753924"/>
      <w:bookmarkStart w:id="1902" w:name="_Toc338753567"/>
      <w:bookmarkStart w:id="1903" w:name="_Toc338751637"/>
      <w:bookmarkStart w:id="1904" w:name="_Toc337829172"/>
      <w:bookmarkStart w:id="1905" w:name="_Toc337828002"/>
      <w:bookmarkStart w:id="1906" w:name="_Toc337827806"/>
      <w:bookmarkStart w:id="1907" w:name="_Toc337827437"/>
      <w:bookmarkStart w:id="1908" w:name="_Toc337826787"/>
      <w:bookmarkStart w:id="1909" w:name="_Toc334637497"/>
      <w:bookmarkStart w:id="1910" w:name="_Toc333517001"/>
      <w:bookmarkStart w:id="1911" w:name="_Toc333516919"/>
      <w:bookmarkStart w:id="1912" w:name="_Toc333516837"/>
      <w:bookmarkStart w:id="1913" w:name="_Toc333516682"/>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r>
        <w:rPr>
          <w:rFonts w:ascii="Times New Roman;Times;serif" w:hAnsi="Times New Roman;Times;serif"/>
          <w:sz w:val="24"/>
        </w:rPr>
        <w:t>Absence of Certain Changes</w:t>
      </w:r>
      <w:bookmarkStart w:id="1914" w:name="_Toc340760301"/>
      <w:bookmarkStart w:id="1915" w:name="_Toc340759923"/>
      <w:bookmarkStart w:id="1916" w:name="_Toc340757455"/>
      <w:bookmarkEnd w:id="1914"/>
      <w:bookmarkEnd w:id="1915"/>
      <w:bookmarkEnd w:id="1916"/>
      <w:r>
        <w:rPr>
          <w:rFonts w:ascii="Times New Roman;Times;serif" w:hAnsi="Times New Roman;Times;serif"/>
          <w:sz w:val="24"/>
        </w:rPr>
        <w:t xml:space="preserve">.  Since January 1, 2026, and except as set forth in </w:t>
      </w:r>
      <w:r>
        <w:rPr>
          <w:rFonts w:ascii="Times New Roman;Times;serif" w:hAnsi="Times New Roman;Times;serif"/>
          <w:sz w:val="24"/>
          <w:u w:val="single"/>
        </w:rPr>
        <w:t>Schedule 3.11</w:t>
      </w:r>
      <w:r>
        <w:rPr>
          <w:rFonts w:ascii="Times New Roman;Times;serif" w:hAnsi="Times New Roman;Times;serif"/>
          <w:sz w:val="24"/>
        </w:rPr>
        <w:t xml:space="preserve"> and for matters incurred in the Ordinary Course, (a) there has not been any Company Material Adverse Effect or any state of facts, circumstance, event, change, effect or occurrence that, individually or in the aggregate, would reasonably be expected to result in a Company Material Adverse Effect, and (b) the Company has not: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amended its organizational documents or merged or consolidated with any other Person, or changed or agreed to rearrange in any manner the character of its Business;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 xml:space="preserve">failed to maintain its Books and Records in the Ordinary Course;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(iii)</w:t>
      </w:r>
      <w:r>
        <w:rPr>
          <w:rFonts w:ascii="Times New Roman;Times;serif" w:hAnsi="Times New Roman;Times;serif"/>
          <w:sz w:val="24"/>
        </w:rPr>
        <w:t>issued, sold or purchased any options or rights to subscribe, with respect to its Membership Interests, or entered into any Contract or commitment to issue, sell or purchase, any Purchased Interests or other equity interests;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(iv)</w:t>
      </w:r>
      <w:r>
        <w:rPr>
          <w:rFonts w:ascii="Times New Roman;Times;serif" w:hAnsi="Times New Roman;Times;serif"/>
          <w:sz w:val="24"/>
        </w:rPr>
        <w:t xml:space="preserve">issued any note, bond or other debt security, or created, incurred, assumed or refinanced any Indebtedness, or guaranteed any Indebtedness, or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Times New Roman;Times;serif" w:hAnsi="Times New Roman;Times;serif"/>
          <w:sz w:val="24"/>
        </w:rPr>
      </w:pPr>
      <w:r>
        <w:rPr>
          <w:rFonts w:ascii="Times New Roman;Times;serif" w:hAnsi="Times New Roman;Times;serif"/>
          <w:sz w:val="24"/>
        </w:rPr>
        <w:t>incurred or assumed any Liability (whether or not currently payable), or incurred any Lien on any of its assets or rights;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w:t>
      </w:r>
      <w:r>
        <w:rPr>
          <w:rFonts w:ascii="Times New Roman;Times;serif" w:hAnsi="Times New Roman;Times;serif"/>
          <w:sz w:val="24"/>
        </w:rPr>
        <w:t>acquired any assets or properties or made or authorized, accelerated or deferred any capital expenditures;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w:t>
      </w:r>
      <w:r>
        <w:rPr>
          <w:rFonts w:ascii="Times New Roman;Times;serif" w:hAnsi="Times New Roman;Times;serif"/>
          <w:sz w:val="24"/>
        </w:rPr>
        <w:t>declared, set aside or paid any dividends or made any other distributions of any kind to its shareholders, members or holders of equity interests, or made any direct or indirect redemption, retirement, purchase or other acquisition of any shares of its membership interest, capital stock, units or other equity interests;</w:t>
      </w:r>
    </w:p>
    <w:p>
      <w:pPr>
        <w:pStyle w:val="TextBody"/>
        <w:bidi w:val="0"/>
        <w:spacing w:lineRule="auto" w:line="285" w:before="0" w:after="240"/>
        <w:ind w:left="1440" w:right="0" w:hanging="0"/>
        <w:jc w:val="both"/>
        <w:rPr>
          <w:rFonts w:ascii="Arial;Helvetica;sans-serif" w:hAnsi="Arial;Helvetica;sans-serif"/>
          <w:sz w:val="21"/>
        </w:rPr>
      </w:pPr>
      <w:r>
        <w:rPr>
          <w:rFonts w:ascii="Times New Roman;Times;serif" w:hAnsi="Times New Roman;Times;serif"/>
          <w:sz w:val="22"/>
        </w:rPr>
        <w:t>(vii)</w:t>
      </w:r>
      <w:r>
        <w:rPr>
          <w:rFonts w:ascii="Times New Roman;Times;serif" w:hAnsi="Times New Roman;Times;serif"/>
          <w:sz w:val="24"/>
        </w:rPr>
        <w:t>changed any of its accounting or tax methods, policies, practices, or principles, changed its reserve amounts or policies, changed any depreciation or amortization policies or previously adopted rates, or written-off as uncollectible any accounts receivable;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(viii)</w:t>
      </w:r>
      <w:r>
        <w:rPr>
          <w:rFonts w:ascii="Times New Roman;Times;serif" w:hAnsi="Times New Roman;Times;serif"/>
          <w:sz w:val="24"/>
        </w:rPr>
        <w:t>amended any Tax Return;</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(ix)</w:t>
      </w:r>
      <w:r>
        <w:rPr>
          <w:rFonts w:ascii="Times New Roman;Times;serif" w:hAnsi="Times New Roman;Times;serif"/>
          <w:sz w:val="24"/>
        </w:rPr>
        <w:t>changed any working capital practice, including accelerated any collections of cash or accounts receivable or deferred or delayed payments, or failed to make timely accruals, with respect to accounts payable and Liabilities incurred in the Ordinary Course;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w:t>
      </w:r>
      <w:r>
        <w:rPr>
          <w:rFonts w:ascii="Times New Roman;Times;serif" w:hAnsi="Times New Roman;Times;serif"/>
          <w:sz w:val="24"/>
        </w:rPr>
        <w:t>materially damaged any material assets or properties of the Company, or any other Person, or incurred or caused any material loss, destruction or casualty not covered by insurance;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w:t>
      </w:r>
      <w:r>
        <w:rPr>
          <w:rFonts w:ascii="Times New Roman;Times;serif" w:hAnsi="Times New Roman;Times;serif"/>
          <w:sz w:val="24"/>
        </w:rPr>
        <w:t>settled or compromised any Litigation or waived or released any material right of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(xii)</w:t>
      </w:r>
      <w:r>
        <w:rPr>
          <w:rFonts w:ascii="Times New Roman;Times;serif" w:hAnsi="Times New Roman;Times;serif"/>
          <w:sz w:val="24"/>
        </w:rPr>
        <w:t>paid, discharged or satisfied any Liability or Lien other than Indebtedness as it matures and becomes due and payable;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(xiii)</w:t>
      </w:r>
      <w:r>
        <w:rPr>
          <w:rFonts w:ascii="Times New Roman;Times;serif" w:hAnsi="Times New Roman;Times;serif"/>
          <w:sz w:val="24"/>
        </w:rPr>
        <w:t>compromised or settled any issue relating to Taxes of the Company, agreed to any adjustment of any Tax attribute of the Company, or made any material election with respect to Taxes;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(xiv)</w:t>
      </w:r>
      <w:r>
        <w:rPr>
          <w:rFonts w:ascii="Times New Roman;Times;serif" w:hAnsi="Times New Roman;Times;serif"/>
          <w:sz w:val="24"/>
        </w:rPr>
        <w:t>acquired, sold, transferred, or disposed of, or agreed to acquire, sell, transfer, or otherwise dispose of, or entered into any agreement requiring the consent of any party to the transfer and assignment of, any material assets or rights (including management and control thereof) of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w:t>
      </w:r>
      <w:r>
        <w:rPr>
          <w:rFonts w:ascii="Times New Roman;Times;serif" w:hAnsi="Times New Roman;Times;serif"/>
          <w:sz w:val="24"/>
        </w:rPr>
        <w:t xml:space="preserve">(A) hired any individual as an employee, (B) hired or engaged any individual as a consultant or independent contractor of the Company, (C) increased the annual salary, bonus or other compensation payable or to become payable to any employee, consultant or independent contractor of the Company, other than normal year-end increases; (D) increased the coverage or benefits available under any existing, or created any new, severance pay, termination pay, vacation pay,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Times New Roman;Times;serif" w:hAnsi="Times New Roman;Times;serif"/>
          <w:sz w:val="24"/>
        </w:rPr>
      </w:pPr>
      <w:r>
        <w:rPr>
          <w:rFonts w:ascii="Times New Roman;Times;serif" w:hAnsi="Times New Roman;Times;serif"/>
          <w:sz w:val="24"/>
        </w:rPr>
        <w:t>company awards, salary continuation for disability, sick leave, deferred compensation, bonus or other incentive compensation, insurance, pension or other employee benefit plan or arrangement or otherwise modified or amended or terminated any such plan or arrangement, (E) entered into any employment, deferred compensation, severance, consulting, non-competition or similar agreement (or amended any such existing agreement) with any employee, consultant or independent contractor of the Company, except, in each case, as required by applicable Law or by the terms of any Employee Benefit Plan, or (F) transferred any employment contract or arrangement of any employee, consultant or independent contractor of the Company to any Affiliate of any Seller;</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w:t>
      </w:r>
      <w:r>
        <w:rPr>
          <w:rFonts w:ascii="Times New Roman;Times;serif" w:hAnsi="Times New Roman;Times;serif"/>
          <w:sz w:val="24"/>
        </w:rPr>
        <w:t>made any loans to any of its Affiliates or Representatives or changed any of its existing borrowing or lending arrangements for or on behalf of any of such Persons pursuant to an Employee Benefit Plan or otherwise;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(xvii)</w:t>
      </w:r>
      <w:r>
        <w:rPr>
          <w:rFonts w:ascii="Times New Roman;Times;serif" w:hAnsi="Times New Roman;Times;serif"/>
          <w:sz w:val="24"/>
        </w:rPr>
        <w:t>entered into, modified or terminated any labor or collective bargaining agreement covering any employee of the Company or, through negotiations or otherwise, made any commitment or incurred any Liability to any labor organization or other group representing any employee of the Company or group thereof;</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(xviii)</w:t>
      </w:r>
      <w:r>
        <w:rPr>
          <w:rFonts w:ascii="Times New Roman;Times;serif" w:hAnsi="Times New Roman;Times;serif"/>
          <w:sz w:val="24"/>
        </w:rPr>
        <w:t>entered into any transaction between the Company, on the one part, and any of the Affiliates of the Company, on the other part;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(xix)</w:t>
      </w:r>
      <w:r>
        <w:rPr>
          <w:rFonts w:ascii="Times New Roman;Times;serif" w:hAnsi="Times New Roman;Times;serif"/>
          <w:sz w:val="24"/>
        </w:rPr>
        <w:t>entered into any material real estate or personal property lease (as lessor or lessee);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(xx)</w:t>
      </w:r>
      <w:r>
        <w:rPr>
          <w:rFonts w:ascii="Times New Roman;Times;serif" w:hAnsi="Times New Roman;Times;serif"/>
          <w:sz w:val="24"/>
        </w:rPr>
        <w:t xml:space="preserve">made any changes in any of its sales practices or credit terms;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(xxi)</w:t>
      </w:r>
      <w:r>
        <w:rPr>
          <w:rFonts w:ascii="Times New Roman;Times;serif" w:hAnsi="Times New Roman;Times;serif"/>
          <w:sz w:val="24"/>
        </w:rPr>
        <w:t>waived any rights of material value or taken any actions with respect to collection practices that would reasonably be expected to result in any material losses or material adverse changes in collection loss experience;</w:t>
      </w:r>
    </w:p>
    <w:p>
      <w:pPr>
        <w:pStyle w:val="TextBody"/>
        <w:bidi w:val="0"/>
        <w:spacing w:lineRule="auto" w:line="285" w:before="0" w:after="210"/>
        <w:ind w:left="1440" w:right="0" w:hanging="0"/>
        <w:jc w:val="left"/>
        <w:rPr>
          <w:rFonts w:ascii="Arial;Helvetica;sans-serif" w:hAnsi="Arial;Helvetica;sans-serif"/>
          <w:sz w:val="21"/>
        </w:rPr>
      </w:pPr>
      <w:r>
        <w:rPr>
          <w:rFonts w:ascii="Times New Roman;Times;serif" w:hAnsi="Times New Roman;Times;serif"/>
          <w:sz w:val="22"/>
        </w:rPr>
        <w:t>(xxii)</w:t>
      </w:r>
      <w:r>
        <w:rPr>
          <w:rFonts w:ascii="Times New Roman;Times;serif" w:hAnsi="Times New Roman;Times;serif"/>
          <w:sz w:val="24"/>
        </w:rPr>
        <w:t>changed its manner of managing working capital; or</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(xxiii)</w:t>
      </w:r>
      <w:r>
        <w:rPr>
          <w:rFonts w:ascii="Times New Roman;Times;serif" w:hAnsi="Times New Roman;Times;serif"/>
          <w:sz w:val="24"/>
        </w:rPr>
        <w:t xml:space="preserve">entered into any Contract outside the Ordinary Course, to do any of the things described in the preceding clauses (i) through (xxi). </w:t>
      </w:r>
      <w:bookmarkStart w:id="1917" w:name="_Toc333516512"/>
      <w:bookmarkStart w:id="1918" w:name="_Toc341771315"/>
      <w:bookmarkStart w:id="1919" w:name="_Toc340837405"/>
      <w:bookmarkStart w:id="1920" w:name="_Toc340828690"/>
      <w:bookmarkStart w:id="1921" w:name="_Toc340814361"/>
      <w:bookmarkStart w:id="1922" w:name="_Toc340814261"/>
      <w:bookmarkStart w:id="1923" w:name="_Toc340760302"/>
      <w:bookmarkStart w:id="1924" w:name="_Toc340759924"/>
      <w:bookmarkStart w:id="1925" w:name="_Toc340757456"/>
      <w:bookmarkStart w:id="1926" w:name="_Toc338754078"/>
      <w:bookmarkStart w:id="1927" w:name="_Toc338753925"/>
      <w:bookmarkStart w:id="1928" w:name="_Toc338753568"/>
      <w:bookmarkStart w:id="1929" w:name="_Toc338751638"/>
      <w:bookmarkStart w:id="1930" w:name="_Toc337829173"/>
      <w:bookmarkStart w:id="1931" w:name="_Toc337828003"/>
      <w:bookmarkStart w:id="1932" w:name="_Toc337827807"/>
      <w:bookmarkStart w:id="1933" w:name="_Toc337827438"/>
      <w:bookmarkStart w:id="1934" w:name="_Toc337826788"/>
      <w:bookmarkStart w:id="1935" w:name="_Toc334637498"/>
      <w:bookmarkStart w:id="1936" w:name="_Toc333517002"/>
      <w:bookmarkStart w:id="1937" w:name="_Toc333516920"/>
      <w:bookmarkStart w:id="1938" w:name="_Toc333516838"/>
      <w:bookmarkStart w:id="1939" w:name="_Toc333516683"/>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3.13</w:t>
      </w:r>
      <w:bookmarkStart w:id="1940" w:name="_Toc228467077"/>
      <w:bookmarkStart w:id="1941" w:name="_Toc493079732"/>
      <w:bookmarkStart w:id="1942" w:name="_Toc491264997"/>
      <w:bookmarkStart w:id="1943" w:name="_Toc491263212"/>
      <w:bookmarkStart w:id="1944" w:name="_Toc491250864"/>
      <w:bookmarkStart w:id="1945" w:name="_Toc491244307"/>
      <w:bookmarkStart w:id="1946" w:name="_Toc490572258"/>
      <w:bookmarkStart w:id="1947" w:name="_Toc488826765"/>
      <w:bookmarkStart w:id="1948" w:name="_Toc488825172"/>
      <w:bookmarkStart w:id="1949" w:name="_Toc445397419"/>
      <w:bookmarkStart w:id="1950" w:name="_Toc441652953"/>
      <w:bookmarkStart w:id="1951" w:name="_Toc343001457"/>
      <w:bookmarkStart w:id="1952" w:name="_Toc341780918"/>
      <w:bookmarkStart w:id="1953" w:name="_Toc341776344"/>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sz w:val="24"/>
        </w:rPr>
        <w:t>Legal Proceedings.  </w:t>
      </w:r>
      <w:r>
        <w:rPr>
          <w:rFonts w:ascii="Times New Roman;Times;serif" w:hAnsi="Times New Roman;Times;serif"/>
          <w:sz w:val="24"/>
          <w:u w:val="single"/>
        </w:rPr>
        <w:t>Schedule 3.12</w:t>
      </w:r>
      <w:r>
        <w:rPr>
          <w:rFonts w:ascii="Times New Roman;Times;serif" w:hAnsi="Times New Roman;Times;serif"/>
          <w:sz w:val="24"/>
        </w:rPr>
        <w:t xml:space="preserve"> sets forth all Litigation of the Company for the three years prior to the date hereof, including the name of the claimant, the date of the alleged act or omission, a narrative as to the nature of the alleged act or omission, the date the matter was referred to an insurance carrier (if referred), the estimated amount of exposure, the amount the Company has accrued with respect to such matter, or the amount of the Company’s claim and estimated expenses in connection with such matters.  Except as set forth on </w:t>
      </w:r>
      <w:r>
        <w:rPr>
          <w:rFonts w:ascii="Times New Roman;Times;serif" w:hAnsi="Times New Roman;Times;serif"/>
          <w:sz w:val="24"/>
          <w:u w:val="single"/>
        </w:rPr>
        <w:t>Schedule 3.12</w:t>
      </w:r>
      <w:r>
        <w:rPr>
          <w:rFonts w:ascii="Times New Roman;Times;serif" w:hAnsi="Times New Roman;Times;serif"/>
          <w:sz w:val="24"/>
        </w:rPr>
        <w:t xml:space="preserve">, there is no current Litigation to which the Company is a party or in which the Company is otherwise involved, and, to the Knowledge of the Sellers, no such Litigation has been threatened by any Person.  The Company has no Liability with respect to any past Litigation to which it was a party or was otherwise involved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which is not fully covered by insurance policies.  There is no Order or other determination of an arbitrator or Governmental Entity specifically applicable to the Company, or any of the Company’s assets or properties.  There is no Litigation relating to alleged unlawful discrimination or sexual harassment or any other Litigation that if determined adversely to the Company would be deemed a violation of Section 3.13 hereof.  There is no Litigation which seeks to prevent, or seeks Damages in connection with, consummation of the Acquisition or the other transactions contemplated hereby or by the Company Ancillary Documents.</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3.14</w:t>
      </w:r>
      <w:bookmarkStart w:id="1954" w:name="_Toc333516513"/>
      <w:bookmarkStart w:id="1955" w:name="_Toc228467078"/>
      <w:bookmarkStart w:id="1956" w:name="_Toc493079733"/>
      <w:bookmarkStart w:id="1957" w:name="_Toc491264998"/>
      <w:bookmarkStart w:id="1958" w:name="_Toc491263213"/>
      <w:bookmarkStart w:id="1959" w:name="_Toc491250865"/>
      <w:bookmarkStart w:id="1960" w:name="_Toc491244308"/>
      <w:bookmarkStart w:id="1961" w:name="_Toc490572259"/>
      <w:bookmarkStart w:id="1962" w:name="_Toc488826766"/>
      <w:bookmarkStart w:id="1963" w:name="_Toc488825173"/>
      <w:bookmarkStart w:id="1964" w:name="_Toc445397420"/>
      <w:bookmarkStart w:id="1965" w:name="_Toc441652954"/>
      <w:bookmarkStart w:id="1966" w:name="_Toc343001458"/>
      <w:bookmarkStart w:id="1967" w:name="_Toc341780919"/>
      <w:bookmarkStart w:id="1968" w:name="_Toc341776345"/>
      <w:bookmarkStart w:id="1969" w:name="_Toc341771316"/>
      <w:bookmarkStart w:id="1970" w:name="_Toc340837406"/>
      <w:bookmarkStart w:id="1971" w:name="_Toc340828691"/>
      <w:bookmarkStart w:id="1972" w:name="_Toc340814362"/>
      <w:bookmarkStart w:id="1973" w:name="_Toc340814262"/>
      <w:bookmarkStart w:id="1974" w:name="_Toc340760304"/>
      <w:bookmarkStart w:id="1975" w:name="_Toc340759926"/>
      <w:bookmarkStart w:id="1976" w:name="_Toc340757458"/>
      <w:bookmarkStart w:id="1977" w:name="_Toc338754079"/>
      <w:bookmarkStart w:id="1978" w:name="_Toc338753926"/>
      <w:bookmarkStart w:id="1979" w:name="_Toc338753569"/>
      <w:bookmarkStart w:id="1980" w:name="_Toc338751639"/>
      <w:bookmarkStart w:id="1981" w:name="_Toc337829174"/>
      <w:bookmarkStart w:id="1982" w:name="_Toc337828004"/>
      <w:bookmarkStart w:id="1983" w:name="_Toc337827808"/>
      <w:bookmarkStart w:id="1984" w:name="_Toc337827439"/>
      <w:bookmarkStart w:id="1985" w:name="_Toc337826789"/>
      <w:bookmarkStart w:id="1986" w:name="_Toc334637499"/>
      <w:bookmarkStart w:id="1987" w:name="_Toc333517003"/>
      <w:bookmarkStart w:id="1988" w:name="_Toc333516921"/>
      <w:bookmarkStart w:id="1989" w:name="_Toc333516839"/>
      <w:bookmarkStart w:id="1990" w:name="_Toc333516684"/>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r>
        <w:rPr>
          <w:rFonts w:ascii="Times New Roman;Times;serif" w:hAnsi="Times New Roman;Times;serif"/>
          <w:sz w:val="24"/>
        </w:rPr>
        <w:t>Compliance with Laws</w:t>
      </w:r>
      <w:bookmarkStart w:id="1991" w:name="_Toc340757459"/>
      <w:bookmarkEnd w:id="1991"/>
      <w:r>
        <w:rPr>
          <w:rFonts w:ascii="Times New Roman;Times;serif" w:hAnsi="Times New Roman;Times;serif"/>
          <w:sz w:val="24"/>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rPr>
        <w:t xml:space="preserve">Except as set forth in </w:t>
      </w:r>
      <w:r>
        <w:rPr>
          <w:rFonts w:ascii="Times New Roman;Times;serif" w:hAnsi="Times New Roman;Times;serif"/>
          <w:sz w:val="24"/>
          <w:u w:val="single"/>
        </w:rPr>
        <w:t>Schedule 3.13</w:t>
      </w:r>
      <w:r>
        <w:rPr>
          <w:rFonts w:ascii="Times New Roman;Times;serif" w:hAnsi="Times New Roman;Times;serif"/>
          <w:sz w:val="24"/>
        </w:rPr>
        <w:t>, to the Knowledge of the Sellers, the Company’s employees, consultants and independent contractors who are required as related to the Business to obtain and maintain Licenses in respect of their duties to the Company (such employees, consultants and independent contractors collectively, the “</w:t>
      </w:r>
      <w:r>
        <w:rPr>
          <w:rFonts w:ascii="Times New Roman;Times;serif" w:hAnsi="Times New Roman;Times;serif"/>
          <w:sz w:val="24"/>
          <w:u w:val="single"/>
        </w:rPr>
        <w:t>Licensed Professionals</w:t>
      </w:r>
      <w:r>
        <w:rPr>
          <w:rFonts w:ascii="Arial;Helvetica;sans-serif" w:hAnsi="Arial;Helvetica;sans-serif"/>
          <w:sz w:val="21"/>
        </w:rPr>
        <w:t>”</w:t>
      </w:r>
      <w:r>
        <w:rPr>
          <w:rFonts w:ascii="Times New Roman;Times;serif" w:hAnsi="Times New Roman;Times;serif"/>
          <w:sz w:val="24"/>
        </w:rPr>
        <w:t>) have maintained and have materially complied with, and maintain and are in material compliance with, all Licenses and Laws applicable to the Company, the Business, and the Licensed Professionals.  To the Knowledge of the Sellers, all such Licenses held by the Company or the Licensed Professionals are valid and in full force and effect, and there is no Litigation that could reasonably be expected to result in the termination, impairment or nonrenewal thereof.</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 xml:space="preserve">Except as set forth in </w:t>
      </w:r>
      <w:r>
        <w:rPr>
          <w:rFonts w:ascii="Times New Roman;Times;serif" w:hAnsi="Times New Roman;Times;serif"/>
          <w:sz w:val="24"/>
          <w:u w:val="single"/>
        </w:rPr>
        <w:t>Schedule 3.13</w:t>
      </w:r>
      <w:r>
        <w:rPr>
          <w:rFonts w:ascii="Times New Roman;Times;serif" w:hAnsi="Times New Roman;Times;serif"/>
          <w:sz w:val="24"/>
        </w:rPr>
        <w:t>, to the Knowledge of the Sellers, the Company, and its respective properties, assets, business and operations, have been and are being operated and have been and are in compliance in all material respects with all Laws and Orders applicable to such properties, assets, business or operations.  The Company has not received a written notice or other written communication alleging a possible violation of any Law or Order applicable to its properties, assets, business or operations, and no such written notice, communication or allegation has been threatened in writing.</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 xml:space="preserve">Neither the Company nor any of its respective shareholders, directors, or officers, or to the Knowledge of the Sellers, employees, managers, agents or other representatives, has, in connection with the Business, directly or indirectly offered, paid or promised to pay, or authorized the payment of, any money or other thing of value or any commission payment payable, to:  (i) any person who is a Foreign Official; or (ii) any other Person, in either case in violation of any applicable Law for any of the following purposes:  (x) influencing any action or decision of such Person in such Person’s official capacity, including a decision to fail to perform such Person’s official function; (y) inducing such Person to use such Person’s influence with any Governmental Entity to affect or influence any act or decision of such Governmental Entity to assist the Company in obtaining or retaining business for, with, or directing business to, any Person; or (z) where such payment would constitute a bribe, kickback or illegal or improper payment to assist the Company in obtaining or retaining business for, with, or directing business to, any Person.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3.15</w:t>
      </w:r>
      <w:bookmarkStart w:id="1992" w:name="_Toc333516514"/>
      <w:bookmarkStart w:id="1993" w:name="_Toc228467079"/>
      <w:bookmarkStart w:id="1994" w:name="_Toc493079734"/>
      <w:bookmarkStart w:id="1995" w:name="_Toc491264999"/>
      <w:bookmarkStart w:id="1996" w:name="_Toc491263214"/>
      <w:bookmarkStart w:id="1997" w:name="_Toc491250866"/>
      <w:bookmarkStart w:id="1998" w:name="_Toc491244309"/>
      <w:bookmarkStart w:id="1999" w:name="_Toc490572260"/>
      <w:bookmarkStart w:id="2000" w:name="_Toc488826767"/>
      <w:bookmarkStart w:id="2001" w:name="_Toc488825174"/>
      <w:bookmarkStart w:id="2002" w:name="_Toc445397421"/>
      <w:bookmarkStart w:id="2003" w:name="_Toc441652955"/>
      <w:bookmarkStart w:id="2004" w:name="_Toc343001459"/>
      <w:bookmarkStart w:id="2005" w:name="_Toc341780920"/>
      <w:bookmarkStart w:id="2006" w:name="_Toc341776346"/>
      <w:bookmarkStart w:id="2007" w:name="_Toc341771317"/>
      <w:bookmarkStart w:id="2008" w:name="_Toc340837407"/>
      <w:bookmarkStart w:id="2009" w:name="_Toc340828692"/>
      <w:bookmarkStart w:id="2010" w:name="_Toc340814363"/>
      <w:bookmarkStart w:id="2011" w:name="_Toc340814263"/>
      <w:bookmarkStart w:id="2012" w:name="_Toc340760305"/>
      <w:bookmarkStart w:id="2013" w:name="_Toc340759927"/>
      <w:bookmarkStart w:id="2014" w:name="_Toc340757460"/>
      <w:bookmarkStart w:id="2015" w:name="_Toc338754080"/>
      <w:bookmarkStart w:id="2016" w:name="_Toc338753927"/>
      <w:bookmarkStart w:id="2017" w:name="_Toc338753570"/>
      <w:bookmarkStart w:id="2018" w:name="_Toc338751640"/>
      <w:bookmarkStart w:id="2019" w:name="_Toc337829175"/>
      <w:bookmarkStart w:id="2020" w:name="_Toc337828005"/>
      <w:bookmarkStart w:id="2021" w:name="_Toc337827809"/>
      <w:bookmarkStart w:id="2022" w:name="_Toc337827440"/>
      <w:bookmarkStart w:id="2023" w:name="_Toc337826790"/>
      <w:bookmarkStart w:id="2024" w:name="_Toc334637500"/>
      <w:bookmarkStart w:id="2025" w:name="_Toc333517004"/>
      <w:bookmarkStart w:id="2026" w:name="_Toc333516922"/>
      <w:bookmarkStart w:id="2027" w:name="_Toc333516840"/>
      <w:bookmarkStart w:id="2028" w:name="_Toc333516685"/>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r>
        <w:rPr>
          <w:rFonts w:ascii="Times New Roman;Times;serif" w:hAnsi="Times New Roman;Times;serif"/>
          <w:sz w:val="24"/>
        </w:rPr>
        <w:t>Company Contracts</w:t>
      </w:r>
      <w:bookmarkStart w:id="2029" w:name="_Toc340757461"/>
      <w:bookmarkEnd w:id="2029"/>
      <w:r>
        <w:rPr>
          <w:rFonts w:ascii="Times New Roman;Times;serif" w:hAnsi="Times New Roman;Times;serif"/>
          <w:sz w:val="24"/>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030" w:name="_Toc333516686"/>
      <w:bookmarkStart w:id="2031" w:name="_Toc333516515"/>
      <w:bookmarkEnd w:id="2030"/>
      <w:bookmarkEnd w:id="2031"/>
      <w:r>
        <w:rPr>
          <w:rFonts w:ascii="Times New Roman;Times;serif" w:hAnsi="Times New Roman;Times;serif"/>
          <w:sz w:val="24"/>
          <w:u w:val="single"/>
        </w:rPr>
        <w:t>Schedule 3.14(a)</w:t>
      </w:r>
      <w:r>
        <w:rPr>
          <w:rFonts w:ascii="Arial;Helvetica;sans-serif" w:hAnsi="Arial;Helvetica;sans-serif"/>
          <w:sz w:val="21"/>
        </w:rPr>
        <w:t xml:space="preserve"> </w:t>
      </w:r>
      <w:r>
        <w:rPr>
          <w:rFonts w:ascii="Times New Roman;Times;serif" w:hAnsi="Times New Roman;Times;serif"/>
          <w:sz w:val="24"/>
        </w:rPr>
        <w:t xml:space="preserve">sets forth a correct and complete list of the following Contracts and bids to which the Company is a party, by which the Company, or any of their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respective assets or properties, is subject, or by which the Company is otherwise bound (collectively, the “</w:t>
      </w:r>
      <w:r>
        <w:rPr>
          <w:rFonts w:ascii="Times New Roman;Times;serif" w:hAnsi="Times New Roman;Times;serif"/>
          <w:sz w:val="24"/>
          <w:u w:val="single"/>
        </w:rPr>
        <w:t>Company Contracts</w:t>
      </w:r>
      <w:r>
        <w:rPr>
          <w:rFonts w:ascii="Arial;Helvetica;sans-serif" w:hAnsi="Arial;Helvetica;sans-serif"/>
          <w:sz w:val="21"/>
        </w:rPr>
        <w:t>”</w:t>
      </w:r>
      <w:r>
        <w:rPr>
          <w:rFonts w:ascii="Times New Roman;Times;serif" w:hAnsi="Times New Roman;Times;serif"/>
          <w:sz w:val="24"/>
        </w:rPr>
        <w:t>) (other than the Employee Benefit Plans described in Section 3.15, the Employment Agreements described in Section 3.17 and the insurance policies described in Section 3.18) and: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any voting trusts or similar agreements relating to any of the Purchased Interests to which any Seller or the Company is a party;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all bonds, debentures, notes, loans, credit or loan agreements or loan commitments, mortgages, indentures, guarantees or other Contracts evidencing or governing Indebtedness;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(iii)</w:t>
      </w:r>
      <w:r>
        <w:rPr>
          <w:rFonts w:ascii="Times New Roman;Times;serif" w:hAnsi="Times New Roman;Times;serif"/>
          <w:sz w:val="24"/>
        </w:rPr>
        <w:t>any Contracts relating to the making of any loan or advance by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(iv)</w:t>
      </w:r>
      <w:r>
        <w:rPr>
          <w:rFonts w:ascii="Times New Roman;Times;serif" w:hAnsi="Times New Roman;Times;serif"/>
          <w:sz w:val="24"/>
        </w:rPr>
        <w:t>all leases or licenses involving any personal property or asset requiring the payment by the Company of an amount in excess of $25,000 per lease or license;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w:t>
      </w:r>
      <w:r>
        <w:rPr>
          <w:rFonts w:ascii="Times New Roman;Times;serif" w:hAnsi="Times New Roman;Times;serif"/>
          <w:sz w:val="24"/>
        </w:rPr>
        <w:t>any Contract that imposes any non-compete, non-solicitation or exclusivity restriction on the Company with respect to any line of the Business in which the Company is currently engaged or geographic area with respect to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w:t>
      </w:r>
      <w:r>
        <w:rPr>
          <w:rFonts w:ascii="Times New Roman;Times;serif" w:hAnsi="Times New Roman;Times;serif"/>
          <w:sz w:val="24"/>
        </w:rPr>
        <w:t>any Contract that limits the ability of the Company to own, operate, sell, transfer, pledge or otherwise dispose of any assets or property;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(vii)</w:t>
      </w:r>
      <w:r>
        <w:rPr>
          <w:rFonts w:ascii="Times New Roman;Times;serif" w:hAnsi="Times New Roman;Times;serif"/>
          <w:sz w:val="24"/>
        </w:rPr>
        <w:t>all Contracts for capital expenditures or the acquisition or construction of fixed assets requiring the payment by the Company of an amount in excess of $25,000 per Contract;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(viii)</w:t>
      </w:r>
      <w:r>
        <w:rPr>
          <w:rFonts w:ascii="Times New Roman;Times;serif" w:hAnsi="Times New Roman;Times;serif"/>
          <w:sz w:val="24"/>
        </w:rPr>
        <w:t>all Contracts granting to any Person (other than the Company) an option or a first refusal, first-offer or similar preferential right to purchase or acquire any assets which are material to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(ix)</w:t>
      </w:r>
      <w:r>
        <w:rPr>
          <w:rFonts w:ascii="Times New Roman;Times;serif" w:hAnsi="Times New Roman;Times;serif"/>
          <w:sz w:val="24"/>
        </w:rPr>
        <w:t>any sales, broker, distributor, dealer, representative, franchise or agency agreements;</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w:t>
      </w:r>
      <w:r>
        <w:rPr>
          <w:rFonts w:ascii="Times New Roman;Times;serif" w:hAnsi="Times New Roman;Times;serif"/>
          <w:sz w:val="24"/>
        </w:rPr>
        <w:t>all joint venture or partnership Contracts and all other similar Contracts providing for the sharing of any profits by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w:t>
      </w:r>
      <w:r>
        <w:rPr>
          <w:rFonts w:ascii="Times New Roman;Times;serif" w:hAnsi="Times New Roman;Times;serif"/>
          <w:sz w:val="24"/>
        </w:rPr>
        <w:t>all Contracts involving the sale or purchase of substantially all of the assets or equity of any Person, or a merger, consolidation or business combination transaction;</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(xii)</w:t>
      </w:r>
      <w:r>
        <w:rPr>
          <w:rFonts w:ascii="Times New Roman;Times;serif" w:hAnsi="Times New Roman;Times;serif"/>
          <w:sz w:val="24"/>
        </w:rPr>
        <w:t>all current Contracts with any Customers of the Company pursuant to which the Company expects to receive at least $100,000;</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(xiii)</w:t>
      </w:r>
      <w:r>
        <w:rPr>
          <w:rFonts w:ascii="Times New Roman;Times;serif" w:hAnsi="Times New Roman;Times;serif"/>
          <w:sz w:val="24"/>
        </w:rPr>
        <w:t xml:space="preserve">all current Contracts with any Vendors pursuant to which the Company expects to spend at least $50,000;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(xiv)</w:t>
      </w:r>
      <w:r>
        <w:rPr>
          <w:rFonts w:ascii="Times New Roman;Times;serif" w:hAnsi="Times New Roman;Times;serif"/>
          <w:sz w:val="24"/>
        </w:rPr>
        <w:t>any Contract, other than Contracts with Customers, Vendors or suppliers of the Company entered into in the Ordinary Course, under which the Company has agreed to indemnify, or to provide any warranty or guaranty in favor of, any Person;</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w:t>
      </w:r>
      <w:r>
        <w:rPr>
          <w:rFonts w:ascii="Times New Roman;Times;serif" w:hAnsi="Times New Roman;Times;serif"/>
          <w:sz w:val="24"/>
        </w:rPr>
        <w:t>any license, sublicense or royalty agreement, including any agreement pursuant to which the Company licenses the right to use any Company Intellectual Property that is owned by the Company to any Person or from any Person, and any research and development agreements by which Company Intellectual Property has been created;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w:t>
      </w:r>
      <w:r>
        <w:rPr>
          <w:rFonts w:ascii="Times New Roman;Times;serif" w:hAnsi="Times New Roman;Times;serif"/>
          <w:sz w:val="24"/>
        </w:rPr>
        <w:t>any Government Contract the period of performance of which has not yet expired;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(xvii)</w:t>
      </w:r>
      <w:r>
        <w:rPr>
          <w:rFonts w:ascii="Times New Roman;Times;serif" w:hAnsi="Times New Roman;Times;serif"/>
          <w:sz w:val="24"/>
        </w:rPr>
        <w:t>any pending Government Bid;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(xviii)</w:t>
      </w:r>
      <w:r>
        <w:rPr>
          <w:rFonts w:ascii="Times New Roman;Times;serif" w:hAnsi="Times New Roman;Times;serif"/>
          <w:sz w:val="24"/>
        </w:rPr>
        <w:t xml:space="preserve">any non-Customer Contract that (A) cannot be terminated by the Company upon thirty (30) days or less notice any time without penalty or payment of cash consideration in excess of $25,000 to the counterparty and (B) involves aggregate consideration in excess of $50,000;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(xix)</w:t>
      </w:r>
      <w:r>
        <w:rPr>
          <w:rFonts w:ascii="Times New Roman;Times;serif" w:hAnsi="Times New Roman;Times;serif"/>
          <w:sz w:val="24"/>
        </w:rPr>
        <w:t>any Contract that requires the payment of commissions, finder’s fees or similar payments by the Company;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(xx)</w:t>
      </w:r>
      <w:r>
        <w:rPr>
          <w:rFonts w:ascii="Times New Roman;Times;serif" w:hAnsi="Times New Roman;Times;serif"/>
          <w:sz w:val="24"/>
        </w:rPr>
        <w:t>all other Contracts not made in the Ordinary Course which are material to the Company; and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(xxi)</w:t>
      </w:r>
      <w:r>
        <w:rPr>
          <w:rFonts w:ascii="Times New Roman;Times;serif" w:hAnsi="Times New Roman;Times;serif"/>
          <w:sz w:val="24"/>
        </w:rPr>
        <w:t xml:space="preserve">any Contract, other than as set forth above, to which the Company, or any Affiliate of the Company, is a party, the breach, violation or termination of which, or default under, by any party thereto, would reasonably be expected to result in a Company Material Adverse Effect.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032" w:name="_Toc333516687"/>
      <w:bookmarkStart w:id="2033" w:name="_Toc333516516"/>
      <w:bookmarkEnd w:id="2032"/>
      <w:bookmarkEnd w:id="2033"/>
      <w:r>
        <w:rPr>
          <w:rFonts w:ascii="Times New Roman;Times;serif" w:hAnsi="Times New Roman;Times;serif"/>
          <w:sz w:val="24"/>
        </w:rPr>
        <w:t>The Company Contracts (other than Government Bids) are legal, valid, binding and enforceable in all material respects in accordance with their respective terms with respect to the Company, and, each other party to such Company Contracts.</w:t>
      </w:r>
    </w:p>
    <w:p>
      <w:pPr>
        <w:pStyle w:val="TextBody"/>
        <w:bidi w:val="0"/>
        <w:spacing w:lineRule="auto" w:line="285" w:before="0" w:after="210"/>
        <w:ind w:left="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 xml:space="preserve">Except as set forth in </w:t>
      </w:r>
      <w:r>
        <w:rPr>
          <w:rFonts w:ascii="Times New Roman;Times;serif" w:hAnsi="Times New Roman;Times;serif"/>
          <w:sz w:val="24"/>
          <w:u w:val="single"/>
        </w:rPr>
        <w:t>Schedule 3.14(c)</w:t>
      </w:r>
      <w:r>
        <w:rPr>
          <w:rFonts w:ascii="Times New Roman;Times;serif" w:hAnsi="Times New Roman;Times;serif"/>
          <w:sz w:val="24"/>
        </w:rPr>
        <w: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there is no default under any Company Contract by the Company or, by any other party thereto, and no event has occurred that with the lapse of time or the giving of notice or both would constitute a material default thereunder by the Company or, to the Knowledge of the Sellers, any other party;</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no party to any Company Contract has given written notice to the Company or, oral notice to the Company, of or made a claim against the Company with respect to any breach or default thereunder;</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(iii)</w:t>
      </w:r>
      <w:r>
        <w:rPr>
          <w:rFonts w:ascii="Times New Roman;Times;serif" w:hAnsi="Times New Roman;Times;serif"/>
          <w:sz w:val="24"/>
        </w:rPr>
        <w:t>no party to any Company Contract has given written notice to the Company or, oral notice to the Company that it intends to cancel, withdraw, modify or amend any such Contract;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(iv)</w:t>
      </w:r>
      <w:r>
        <w:rPr>
          <w:rFonts w:ascii="Times New Roman;Times;serif" w:hAnsi="Times New Roman;Times;serif"/>
          <w:sz w:val="24"/>
        </w:rPr>
        <w:t>with respect to each Company Contract, (A) the Company has complied with all material terms and conditions of such Company Contract, including all clauses, provisions and requirements incorporated expressly or by reference therein; (B) the Company has complied, in all material respects, with all requirements of any statute, rule, regulation or Order of any Governmental Entity or any agreement pertaining to such Company Contract; (C) all representations and certifications executed, acknowledged or set forth in or pertaining to such Company Contract were current, accurate and complete in all material respects as of their effective date, and the Company has complied in all material respects with all such representations and certifications; (D) no Governmental Entity nor any prime contractor, subcontractor or other Person has notified the Company in writing or, orally, that the Company has breached or violated any statute, rule, regulation, certification, representation, clause, provision or requirement; (E) in writing, no termination for convenience, termination for default, cure notice or show cause notice has been issued with respect to a Company Contract; (F) except for questions and disallowances in the Ordinary Course, no cost incurred by the Company has been questioned or disallowed by a Customer or Governmental Entity; and (G) except as permitted by the Company Contract or agreed to in the Ordinary Course, no money due to the Company has been withheld or set off;</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w:t>
      </w:r>
      <w:r>
        <w:rPr>
          <w:rFonts w:ascii="Times New Roman;Times;serif" w:hAnsi="Times New Roman;Times;serif"/>
          <w:sz w:val="24"/>
        </w:rPr>
        <w:t>there exist (A) no outstanding claims or requests for financial adjustments against the Company, either by any party to a Company Contract, any Governmental Entity or by any prime contractor, subcontractor, vendor or other third party, arising under or relating to any Company Contract, other than claims as to which the Company has established a reserve; (B) no facts upon which such a claim or request for a financial adjustment would be reasonably expected to be validly based in the future, other than claims as to which the Company has established a reserve; (C) no contract disputes for which written notice has been given and, no other contract disputes, in each case between the Company and any party to a Company Contract, any Governmental Entity or any prime contractor, subcontractor or vendor arising under or relating to any Company Contract, other than disputes as to which the Company has established a reserve;</w:t>
      </w:r>
    </w:p>
    <w:p>
      <w:pPr>
        <w:pStyle w:val="TextBody"/>
        <w:bidi w:val="0"/>
        <w:spacing w:lineRule="auto" w:line="285" w:before="0" w:after="240"/>
        <w:ind w:left="1440" w:right="0" w:hanging="0"/>
        <w:jc w:val="both"/>
        <w:rPr>
          <w:rFonts w:ascii="Arial;Helvetica;sans-serif" w:hAnsi="Arial;Helvetica;sans-serif"/>
          <w:sz w:val="21"/>
        </w:rPr>
      </w:pPr>
      <w:r>
        <w:rPr>
          <w:rFonts w:ascii="Times New Roman;Times;serif" w:hAnsi="Times New Roman;Times;serif"/>
          <w:sz w:val="22"/>
        </w:rPr>
        <w:t>(vi)</w:t>
      </w:r>
      <w:r>
        <w:rPr>
          <w:rFonts w:ascii="Times New Roman;Times;serif" w:hAnsi="Times New Roman;Times;serif"/>
          <w:sz w:val="24"/>
        </w:rPr>
        <w:t xml:space="preserve">Except as set forth in Schedule 3.14(c)(vi), (A) the revenue and profit associated with each of the Company Contracts, as applicable, have been recorded and (B) there exists no Company Contract with respect to which the Company expects to receive at least $50,000, with a period of performance that has not yet ended as to which the Company’s, as applicable, estimated cost at completion (including material and labor costs, other direct costs, overheads and engineering costs, whether incurred or yet to be incurred), exceeds the aggregate contract revenue recorded or reasonably expected by the Sellers to be recorded under such Company Contract through completion  in accordance with the Company’s historical accounting practices applied consistently with past practice.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 xml:space="preserve">Except as set forth in </w:t>
      </w:r>
      <w:r>
        <w:rPr>
          <w:rFonts w:ascii="Times New Roman;Times;serif" w:hAnsi="Times New Roman;Times;serif"/>
          <w:sz w:val="24"/>
          <w:u w:val="single"/>
        </w:rPr>
        <w:t>Schedule 3.14(d)</w:t>
      </w:r>
      <w:r>
        <w:rPr>
          <w:rFonts w:ascii="Times New Roman;Times;serif" w:hAnsi="Times New Roman;Times;serif"/>
          <w:sz w:val="24"/>
        </w:rPr>
        <w:t>:  (i) neither the Company, nor any of its directors, officers or, any employees or Representatives of the Company, is (or for the last five years has been) under administrative, civil or criminal investigation, indictment or information, audit or internal investigation, with respect to any alleged irregularity, misstatement or omission arising under or relating to any Government Contract or Government Bid or is (or for the last five years has been) in violation, in any material respect, of any statutes or regulations applicable to the Company that are specifically applicable to Government Contracts, including prohibitions against conflict of interest or any governmental accounting regulations; and (ii) the Company has not made a voluntary disclosure to any Governmental Entity with respect to any alleged irregularity, misstatement or omission arising under or relating to any Government Contract or Government Bid that has led or could be expected to lead to any of the consequences set forth in clause (i) above or other Damages.</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3.16</w:t>
      </w:r>
      <w:bookmarkStart w:id="2034" w:name="_Toc333516524"/>
      <w:bookmarkStart w:id="2035" w:name="_Toc228467080"/>
      <w:bookmarkStart w:id="2036" w:name="_Toc493079735"/>
      <w:bookmarkStart w:id="2037" w:name="_Toc491265000"/>
      <w:bookmarkStart w:id="2038" w:name="_Toc491263215"/>
      <w:bookmarkStart w:id="2039" w:name="_Toc491250867"/>
      <w:bookmarkStart w:id="2040" w:name="_Toc491244310"/>
      <w:bookmarkStart w:id="2041" w:name="_Toc490572261"/>
      <w:bookmarkStart w:id="2042" w:name="_Toc488826768"/>
      <w:bookmarkStart w:id="2043" w:name="_Toc488825175"/>
      <w:bookmarkStart w:id="2044" w:name="_Toc445397422"/>
      <w:bookmarkStart w:id="2045" w:name="_Toc441652956"/>
      <w:bookmarkStart w:id="2046" w:name="_Toc343001460"/>
      <w:bookmarkStart w:id="2047" w:name="_Toc341780921"/>
      <w:bookmarkStart w:id="2048" w:name="_Toc341776347"/>
      <w:bookmarkStart w:id="2049" w:name="_Toc341771318"/>
      <w:bookmarkStart w:id="2050" w:name="_Toc340837408"/>
      <w:bookmarkStart w:id="2051" w:name="_Toc340828693"/>
      <w:bookmarkStart w:id="2052" w:name="_Toc340814364"/>
      <w:bookmarkStart w:id="2053" w:name="_Toc340814264"/>
      <w:bookmarkStart w:id="2054" w:name="_Toc340760306"/>
      <w:bookmarkStart w:id="2055" w:name="_Toc340759928"/>
      <w:bookmarkStart w:id="2056" w:name="_Toc340757462"/>
      <w:bookmarkStart w:id="2057" w:name="_Toc338754082"/>
      <w:bookmarkStart w:id="2058" w:name="_Toc338753929"/>
      <w:bookmarkStart w:id="2059" w:name="_Toc338753572"/>
      <w:bookmarkStart w:id="2060" w:name="_Toc338751642"/>
      <w:bookmarkStart w:id="2061" w:name="_Toc337829177"/>
      <w:bookmarkStart w:id="2062" w:name="_Toc337828007"/>
      <w:bookmarkStart w:id="2063" w:name="_Toc337827811"/>
      <w:bookmarkStart w:id="2064" w:name="_Toc337827442"/>
      <w:bookmarkStart w:id="2065" w:name="_Toc337826792"/>
      <w:bookmarkStart w:id="2066" w:name="_Toc334637502"/>
      <w:bookmarkStart w:id="2067" w:name="_Toc333517006"/>
      <w:bookmarkStart w:id="2068" w:name="_Toc333516924"/>
      <w:bookmarkStart w:id="2069" w:name="_Toc333516842"/>
      <w:bookmarkStart w:id="2070" w:name="_Toc333516695"/>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r>
        <w:rPr>
          <w:rFonts w:ascii="Times New Roman;Times;serif" w:hAnsi="Times New Roman;Times;serif"/>
          <w:sz w:val="24"/>
        </w:rPr>
        <w:t>Company Employee Benefit Plans</w:t>
      </w:r>
      <w:bookmarkStart w:id="2071" w:name="_Toc340760307"/>
      <w:bookmarkStart w:id="2072" w:name="_Toc340759929"/>
      <w:bookmarkStart w:id="2073" w:name="_Toc340757463"/>
      <w:bookmarkEnd w:id="2071"/>
      <w:bookmarkEnd w:id="2072"/>
      <w:bookmarkEnd w:id="2073"/>
      <w:r>
        <w:rPr>
          <w:rFonts w:ascii="Times New Roman;Times;serif" w:hAnsi="Times New Roman;Times;serif"/>
          <w:sz w:val="24"/>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074" w:name="_Toc333516696"/>
      <w:bookmarkStart w:id="2075" w:name="_Toc333516525"/>
      <w:bookmarkEnd w:id="2074"/>
      <w:bookmarkEnd w:id="2075"/>
      <w:r>
        <w:rPr>
          <w:rFonts w:ascii="Times New Roman;Times;serif" w:hAnsi="Times New Roman;Times;serif"/>
          <w:sz w:val="24"/>
          <w:u w:val="single"/>
        </w:rPr>
        <w:t>Schedule 3.15(a)</w:t>
      </w:r>
      <w:r>
        <w:rPr>
          <w:rFonts w:ascii="Arial;Helvetica;sans-serif" w:hAnsi="Arial;Helvetica;sans-serif"/>
          <w:sz w:val="21"/>
        </w:rPr>
        <w:t xml:space="preserve"> </w:t>
      </w:r>
      <w:r>
        <w:rPr>
          <w:rFonts w:ascii="Times New Roman;Times;serif" w:hAnsi="Times New Roman;Times;serif"/>
          <w:sz w:val="24"/>
        </w:rPr>
        <w:t>contains a true and complete list of each employment, stock option or other equity based compensation, bonus, deferred compensation, incentive compensation, severance or other termination pay, change-in-control, health, disability, life, cafeteria, insurance, supplemental unemployment benefits, profit-sharing, pension or retirement plan, policy, program, agreement or arrangement, and each other employee benefit plan, program, agreement or arrangement, whether written or oral, sponsored, maintained, participated in or contributed to or required to be contributed to by the Company, or (without duplication) in the case of any employee benefit plan described in subsections (c), (d) or (e) below, any other entity that would be deemed a “single employer” within the meaning of Section 4001(b)(1) of ERISA (an “</w:t>
      </w:r>
      <w:r>
        <w:rPr>
          <w:rFonts w:ascii="Times New Roman;Times;serif" w:hAnsi="Times New Roman;Times;serif"/>
          <w:sz w:val="24"/>
          <w:u w:val="single"/>
        </w:rPr>
        <w:t>ERISA Affiliate</w:t>
      </w:r>
      <w:r>
        <w:rPr>
          <w:rFonts w:ascii="Arial;Helvetica;sans-serif" w:hAnsi="Arial;Helvetica;sans-serif"/>
          <w:sz w:val="21"/>
        </w:rPr>
        <w:t>”</w:t>
      </w:r>
      <w:r>
        <w:rPr>
          <w:rFonts w:ascii="Times New Roman;Times;serif" w:hAnsi="Times New Roman;Times;serif"/>
          <w:sz w:val="24"/>
        </w:rPr>
        <w:t>), for the benefit of any current or former employee, officer, manager or director of the Company, or any ERISA Affiliate (collectively, the “</w:t>
      </w:r>
      <w:r>
        <w:rPr>
          <w:rFonts w:ascii="Times New Roman;Times;serif" w:hAnsi="Times New Roman;Times;serif"/>
          <w:sz w:val="24"/>
          <w:u w:val="single"/>
        </w:rPr>
        <w:t>Employee Benefit Plans</w:t>
      </w:r>
      <w:r>
        <w:rPr>
          <w:rFonts w:ascii="Arial;Helvetica;sans-serif" w:hAnsi="Arial;Helvetica;sans-serif"/>
          <w:sz w:val="21"/>
        </w:rPr>
        <w:t>”</w:t>
      </w:r>
      <w:r>
        <w:rPr>
          <w:rFonts w:ascii="Times New Roman;Times;serif" w:hAnsi="Times New Roman;Times;serif"/>
          <w:sz w:val="24"/>
        </w:rPr>
        <w:t>).  </w:t>
      </w:r>
      <w:r>
        <w:rPr>
          <w:rFonts w:ascii="Times New Roman;Times;serif" w:hAnsi="Times New Roman;Times;serif"/>
          <w:sz w:val="24"/>
          <w:u w:val="single"/>
        </w:rPr>
        <w:t>Schedule 3.15(a)</w:t>
      </w:r>
      <w:r>
        <w:rPr>
          <w:rFonts w:ascii="Arial;Helvetica;sans-serif" w:hAnsi="Arial;Helvetica;sans-serif"/>
          <w:sz w:val="21"/>
        </w:rPr>
        <w:t xml:space="preserve"> </w:t>
      </w:r>
      <w:r>
        <w:rPr>
          <w:rFonts w:ascii="Times New Roman;Times;serif" w:hAnsi="Times New Roman;Times;serif"/>
          <w:sz w:val="24"/>
        </w:rPr>
        <w:t>identifies each of the Employee Benefit Plans that is an “employee welfare benefit plan,” or “employee pension benefit plan” as such terms are defined in Sections 3(1) and 3(2) of ERISA (the “</w:t>
      </w:r>
      <w:r>
        <w:rPr>
          <w:rFonts w:ascii="Times New Roman;Times;serif" w:hAnsi="Times New Roman;Times;serif"/>
          <w:sz w:val="24"/>
          <w:u w:val="single"/>
        </w:rPr>
        <w:t>ERISA Plans</w:t>
      </w:r>
      <w:r>
        <w:rPr>
          <w:rFonts w:ascii="Arial;Helvetica;sans-serif" w:hAnsi="Arial;Helvetica;sans-serif"/>
          <w:sz w:val="21"/>
        </w:rPr>
        <w:t>”</w:t>
      </w:r>
      <w:r>
        <w:rPr>
          <w:rFonts w:ascii="Times New Roman;Times;serif" w:hAnsi="Times New Roman;Times;serif"/>
          <w:sz w:val="24"/>
        </w:rPr>
        <w:t>).  Except as contemplated under this Agreement or as required by Laws, neither the Company nor any ERISA Affiliate has any formal plan or commitment, whether legally binding or not, to create any additional Employee Benefit Plan or modify or change any existing Employee Benefit Plan that would affect any current or former employee, officer, manager or director of the Company or any ERISA Affiliate.  The Company does not maintain any Employee Benefit Plan subject to a jurisdiction outside of, or for any employee, officer, manager or director of the Company, or any ERISA Affiliate, located or residing outside of, the United States.</w:t>
      </w:r>
      <w:r>
        <w:rPr>
          <w:rFonts w:ascii="Arial;Helvetica;sans-serif" w:hAnsi="Arial;Helvetica;sans-serif"/>
          <w:sz w:val="21"/>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076" w:name="_Toc333516697"/>
      <w:bookmarkStart w:id="2077" w:name="_Toc333516526"/>
      <w:bookmarkEnd w:id="2076"/>
      <w:bookmarkEnd w:id="2077"/>
      <w:r>
        <w:rPr>
          <w:rFonts w:ascii="Times New Roman;Times;serif" w:hAnsi="Times New Roman;Times;serif"/>
          <w:sz w:val="24"/>
        </w:rPr>
        <w:t>The Company has delivered or otherwise made available to the Purchaser a true and complete copy of:</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each Employee Benefit Plan and any related funding agreements (e.g., trust agreements or insurance contracts), including all amendments, and </w:t>
      </w:r>
      <w:r>
        <w:rPr>
          <w:rFonts w:ascii="Times New Roman;Times;serif" w:hAnsi="Times New Roman;Times;serif"/>
          <w:sz w:val="24"/>
          <w:u w:val="single"/>
        </w:rPr>
        <w:t>Schedule 3.15(b)</w:t>
      </w:r>
      <w:r>
        <w:rPr>
          <w:rFonts w:ascii="Arial;Helvetica;sans-serif" w:hAnsi="Arial;Helvetica;sans-serif"/>
          <w:sz w:val="21"/>
        </w:rPr>
        <w:t xml:space="preserve"> </w:t>
      </w:r>
      <w:r>
        <w:rPr>
          <w:rFonts w:ascii="Times New Roman;Times;serif" w:hAnsi="Times New Roman;Times;serif"/>
          <w:sz w:val="24"/>
        </w:rPr>
        <w:t>includes a description of any such amendment that is not in writing); and</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the most recent Internal Revenue Service determination letter, advisory letter or opinion letter (if applicable) for each Employee Benefit Plan.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 xml:space="preserve">Except as set forth in </w:t>
      </w:r>
      <w:r>
        <w:rPr>
          <w:rFonts w:ascii="Times New Roman;Times;serif" w:hAnsi="Times New Roman;Times;serif"/>
          <w:sz w:val="24"/>
          <w:u w:val="single"/>
        </w:rPr>
        <w:t>Schedule 3.15(c)</w:t>
      </w:r>
      <w:r>
        <w:rPr>
          <w:rFonts w:ascii="Times New Roman;Times;serif" w:hAnsi="Times New Roman;Times;serif"/>
          <w:sz w:val="24"/>
        </w:rPr>
        <w:t>, neither the Company nor any ERISA Affiliate maintains or contributes to, or has within the last six (6) years maintained or contributed to, any Employee Benefit Plan that is subject to Title IV of ERISA, or Section 302 or Section 412 of the Code.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 xml:space="preserve">Except as set forth in </w:t>
      </w:r>
      <w:r>
        <w:rPr>
          <w:rFonts w:ascii="Times New Roman;Times;serif" w:hAnsi="Times New Roman;Times;serif"/>
          <w:sz w:val="24"/>
          <w:u w:val="single"/>
        </w:rPr>
        <w:t>Schedule 3.15(d)</w:t>
      </w:r>
      <w:r>
        <w:rPr>
          <w:rFonts w:ascii="Times New Roman;Times;serif" w:hAnsi="Times New Roman;Times;serif"/>
          <w:sz w:val="24"/>
        </w:rPr>
        <w:t>, no Employee Benefit Plan is a “multi- employer plan”, as defined in Section 3(37) of ERISA, nor is any Employee Benefit Plan a plan described in Section 4063(a) of ERISA.  All contributions have been made to any multiemployer plan that are required to be made by the Company under the terms of the plan or of any collective bargaining agreement or by applicable law; the Company has not withdrawn or partially withdrawn from any multiemployer plan, incurred any withdrawal liability with respect to any such plan or received notice of any claim or demand for withdrawal liability or partial withdrawal liability from any such plan that has not been paid in full, and, to the Knowledge of the Sellers, no condition has occurred which, if continued, might result in a withdrawal or partial withdrawal by the Company from any such plan which results in withdrawal liability with respect to any plan; and the Company has not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To the Knowledge of the Sellers, no material liability under Title IV of ERISA has been incurred by the Company, or any ERISA Affiliate, since the effective date of ERISA that has not been satisfied in full, and to the Knowledge of the Sellers, no condition exists that presents a risk to the Company, or any ERISA Affiliate of incurring a liability under such title.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r>
        <w:rPr>
          <w:rFonts w:ascii="Times New Roman;Times;serif" w:hAnsi="Times New Roman;Times;serif"/>
          <w:sz w:val="24"/>
        </w:rPr>
        <w:t>All costs of administering and contributions required to be made on or prior to the date of this Agreement by the Company to each Employee Benefit Plan under the terms of that Employee Benefit Plan, ERISA, the Code or any other applicable Law have been timely made.  All amounts properly accrued to date as Liabilities of the Company under or with respect to each Employee Benefit Plan (including administrative expenses and incurred but not reported claims) for the current plan year of the Employee Benefit Plan have been recorded on the Company’s books.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(g)</w:t>
      </w:r>
      <w:r>
        <w:rPr>
          <w:rFonts w:ascii="Times New Roman;Times;serif" w:hAnsi="Times New Roman;Times;serif"/>
          <w:sz w:val="24"/>
        </w:rPr>
        <w:t xml:space="preserve">Except as set forth in </w:t>
      </w:r>
      <w:r>
        <w:rPr>
          <w:rFonts w:ascii="Times New Roman;Times;serif" w:hAnsi="Times New Roman;Times;serif"/>
          <w:sz w:val="24"/>
          <w:u w:val="single"/>
        </w:rPr>
        <w:t>Schedule 3.15(g)</w:t>
      </w:r>
      <w:r>
        <w:rPr>
          <w:rFonts w:ascii="Times New Roman;Times;serif" w:hAnsi="Times New Roman;Times;serif"/>
          <w:sz w:val="24"/>
        </w:rPr>
        <w:t xml:space="preserve">, each Employee Benefit Plan complies currently, and to the Knowledge of the Sellers has complied in the past, both in form and operation, in all material respects, with all Laws applicable at the relevant time, including but not limited to ERISA and the Code.  Each Employee Benefit Plan has been operated in accordance with its terms in all material respects.  Furthermore, except as set forth in Schedule 3.15(g), the Internal Revenue Service has issued a favorable determination letter, advisory letter, or opinion letter with respect to each Employee Benefit Plan that is intended to qualify under Section 401(a) of the Code, and to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Knowledge of the Sellers no event has occurred (either before or after the date of the letter) that would disqualify the plan.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(h)</w:t>
      </w:r>
      <w:r>
        <w:rPr>
          <w:rFonts w:ascii="Times New Roman;Times;serif" w:hAnsi="Times New Roman;Times;serif"/>
          <w:sz w:val="24"/>
        </w:rPr>
        <w:t>Each Employee Benefit Plan that is intended to meet currently applicable requirements for tax-favored treatment under Subchapter D of Chapter 1 of the Code is to the Knowledge of the Sellers, in compliance with such requirements and, if applicable, with the requirements of Sections 419 and 419A of the Code, and no “disqualified benefits” (within the meaning of Section 4976(a) of the Code) have been paid which would subject the Company to a Tax under Code Section 4976.</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No prohibited transaction has occurred with respect to any of the Employee Benefit Plans which is not exempt under Section 4975 of the Code and Section 406 of ERISA and which would result in a material liability to the Company, and the Company has not engaged in any transaction with respect to any Employee Benefit Plan which could subject it to either a civil penalty of a material nature assessed pursuant to Section 409, 502(i) or 502(l) of ERISA, or a Tax of a material nature imposed pursuant to Section 4975 or 4976 of the Code.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(j)</w:t>
      </w:r>
      <w:r>
        <w:rPr>
          <w:rFonts w:ascii="Times New Roman;Times;serif" w:hAnsi="Times New Roman;Times;serif"/>
          <w:sz w:val="24"/>
        </w:rPr>
        <w:t>The Company does not maintain any plan that provides (or will provide) medical or death benefits to one or more former employees (including retirees) beyond their retirement or other termination of service, other than benefits that are required to be provided pursuant to Section 4980B of the Code or state Law continuation coverage or conversion rights.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(k)</w:t>
      </w:r>
      <w:r>
        <w:rPr>
          <w:rFonts w:ascii="Times New Roman;Times;serif" w:hAnsi="Times New Roman;Times;serif"/>
          <w:sz w:val="24"/>
        </w:rPr>
        <w:t>There is no Litigation and, to the Knowledge of the Sellers, there are no investigations, either currently in progress or expected to be instituted in the future, relating to any Employee Benefit Plan, by any administrative agency, whether local, state or federal.</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(l)</w:t>
      </w:r>
      <w:r>
        <w:rPr>
          <w:rFonts w:ascii="Times New Roman;Times;serif" w:hAnsi="Times New Roman;Times;serif"/>
          <w:sz w:val="24"/>
        </w:rPr>
        <w:t>There are no pending or, to the Knowledge of the Sellers, threatened lawsuits or other claims (other than routine claims for benefits under the plan) against or involving (i) any Employee Benefit Plan or (ii) to the Knowledge of the Sellers, any Fiduciary of such Employee Benefit Plan (within the meaning of Section 3(21)(A) of ERISA) brought on behalf of any participant, beneficiary or Fiduciary thereunder, nor to the Knowledge of the Sellers, is there any reasonable basis for any such claim.</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(m)</w:t>
      </w:r>
      <w:r>
        <w:rPr>
          <w:rFonts w:ascii="Times New Roman;Times;serif" w:hAnsi="Times New Roman;Times;serif"/>
          <w:sz w:val="24"/>
        </w:rPr>
        <w:t>The Company has no commitment to create any additional Employee Benefit Plan, or any intention or commitment to modify any existing Employee Benefit Plan other than changes that are necessary to comply with applicable Law.</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(n)</w:t>
      </w:r>
      <w:r>
        <w:rPr>
          <w:rFonts w:ascii="Times New Roman;Times;serif" w:hAnsi="Times New Roman;Times;serif"/>
          <w:sz w:val="24"/>
        </w:rPr>
        <w:t xml:space="preserve">Except as set forth in </w:t>
      </w:r>
      <w:r>
        <w:rPr>
          <w:rFonts w:ascii="Times New Roman;Times;serif" w:hAnsi="Times New Roman;Times;serif"/>
          <w:sz w:val="24"/>
          <w:u w:val="single"/>
        </w:rPr>
        <w:t>Schedule 3.15(n)</w:t>
      </w:r>
      <w:r>
        <w:rPr>
          <w:rFonts w:ascii="Times New Roman;Times;serif" w:hAnsi="Times New Roman;Times;serif"/>
          <w:sz w:val="24"/>
        </w:rPr>
        <w:t>, none of the Employee Benefit Plans or any other employment agreement or arrangement entered into by the Company will entitle any current employees or former employee to any benefits or other compensation that become payable solely as a result of the consummation of the transactions contemplated hereby.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(o)</w:t>
      </w:r>
      <w:r>
        <w:rPr>
          <w:rFonts w:ascii="Times New Roman;Times;serif" w:hAnsi="Times New Roman;Times;serif"/>
          <w:sz w:val="24"/>
        </w:rPr>
        <w:t>None of the Employee Benefit Plans are subject to the Tax on unrelated business taxable income or unrelated debt-financed income under Section 511 of the Code.</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(p)</w:t>
      </w:r>
      <w:r>
        <w:rPr>
          <w:rFonts w:ascii="Times New Roman;Times;serif" w:hAnsi="Times New Roman;Times;serif"/>
          <w:sz w:val="24"/>
        </w:rPr>
        <w:t>To the Knowledge of the Sellers, the Company has complied, prior to the date hereof (to the extent applicable), with the provisions of the Worker Adjustment and Retraining Notification Act, if applicable.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(q)</w:t>
      </w:r>
      <w:r>
        <w:rPr>
          <w:rFonts w:ascii="Times New Roman;Times;serif" w:hAnsi="Times New Roman;Times;serif"/>
          <w:sz w:val="24"/>
        </w:rPr>
        <w:t>To the Knowledge of the Sellers, all reports, notices and other disclosure relating to Employee Benefit Plans required to be filed with, or furnished to, Governmental Entities, plan participants or plan beneficiaries have been timely filed and furnished in accordance with applicable Law, including notices required to be furnished to employees under the Consolidated Omnibus Budget Reconciliation Act of 1995 (“</w:t>
      </w:r>
      <w:r>
        <w:rPr>
          <w:rFonts w:ascii="Times New Roman;Times;serif" w:hAnsi="Times New Roman;Times;serif"/>
          <w:sz w:val="24"/>
          <w:u w:val="single"/>
        </w:rPr>
        <w:t>COBRA</w:t>
      </w:r>
      <w:r>
        <w:rPr>
          <w:rFonts w:ascii="Arial;Helvetica;sans-serif" w:hAnsi="Arial;Helvetica;sans-serif"/>
          <w:sz w:val="21"/>
        </w:rPr>
        <w:t>”</w:t>
      </w:r>
      <w:r>
        <w:rPr>
          <w:rFonts w:ascii="Times New Roman;Times;serif" w:hAnsi="Times New Roman;Times;serif"/>
          <w:sz w:val="24"/>
        </w:rPr>
        <w:t>) upon the occurrence of a “qualifying event”, as defined at Section 4980B of the Code, except where the failure to do so would not result in material liability to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(r)</w:t>
      </w:r>
      <w:r>
        <w:rPr>
          <w:rFonts w:ascii="Times New Roman;Times;serif" w:hAnsi="Times New Roman;Times;serif"/>
          <w:sz w:val="24"/>
        </w:rPr>
        <w:t>To the Knowledge of the Sellers, no Employee Benefit Plan has any interest in any annuity contract or other investment or insurance contract issued by an insurance company that is the subject of bankruptcy, conservatorship, rehabilitation or similar Litigation.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(s)</w:t>
      </w:r>
      <w:r>
        <w:rPr>
          <w:rFonts w:ascii="Times New Roman;Times;serif" w:hAnsi="Times New Roman;Times;serif"/>
          <w:sz w:val="24"/>
        </w:rPr>
        <w:t>None of the persons performing services for the Company have been improperly classified as independent contractors or as being exempt from the payment of wages for overtime.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(t)</w:t>
      </w:r>
      <w:r>
        <w:rPr>
          <w:rFonts w:ascii="Times New Roman;Times;serif" w:hAnsi="Times New Roman;Times;serif"/>
          <w:sz w:val="24"/>
          <w:u w:val="single"/>
        </w:rPr>
        <w:t>Schedule 3.15(t)</w:t>
      </w:r>
      <w:r>
        <w:rPr>
          <w:rFonts w:ascii="Arial;Helvetica;sans-serif" w:hAnsi="Arial;Helvetica;sans-serif"/>
          <w:sz w:val="21"/>
        </w:rPr>
        <w:t xml:space="preserve"> </w:t>
      </w:r>
      <w:r>
        <w:rPr>
          <w:rFonts w:ascii="Times New Roman;Times;serif" w:hAnsi="Times New Roman;Times;serif"/>
          <w:sz w:val="24"/>
        </w:rPr>
        <w:t>lists, as of January 1, 2025, each individual who is absent from active employment with the Company by reason of (i) short-term or long-term disability, (ii) leave of absence under the Family and Medical Leave Act of 1993 (or comparable state statute), (iii) military leave (under conditions that give the employee re-employment rights) or (iv) other Company-approved leave of absence.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(u)</w:t>
      </w:r>
      <w:r>
        <w:rPr>
          <w:rFonts w:ascii="Times New Roman;Times;serif" w:hAnsi="Times New Roman;Times;serif"/>
          <w:sz w:val="24"/>
          <w:u w:val="single"/>
        </w:rPr>
        <w:t>Schedule 3.15(u)</w:t>
      </w:r>
      <w:r>
        <w:rPr>
          <w:rFonts w:ascii="Arial;Helvetica;sans-serif" w:hAnsi="Arial;Helvetica;sans-serif"/>
          <w:sz w:val="21"/>
        </w:rPr>
        <w:t xml:space="preserve"> </w:t>
      </w:r>
      <w:r>
        <w:rPr>
          <w:rFonts w:ascii="Times New Roman;Times;serif" w:hAnsi="Times New Roman;Times;serif"/>
          <w:sz w:val="24"/>
        </w:rPr>
        <w:t xml:space="preserve">lists, as of January 1, 2025, each individual who (i) has elected to continue participating in a group health plan of the Company pursuant to an election under COBRA, or (ii) has not made an election under COBRA but who is still within the period during which the election may be made.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3.17</w:t>
      </w:r>
      <w:bookmarkStart w:id="2078" w:name="_Toc333516531"/>
      <w:bookmarkStart w:id="2079" w:name="_Toc228467081"/>
      <w:bookmarkStart w:id="2080" w:name="_Toc493079736"/>
      <w:bookmarkStart w:id="2081" w:name="_Toc491265001"/>
      <w:bookmarkStart w:id="2082" w:name="_Toc491263216"/>
      <w:bookmarkStart w:id="2083" w:name="_Toc491250868"/>
      <w:bookmarkStart w:id="2084" w:name="_Toc491244311"/>
      <w:bookmarkStart w:id="2085" w:name="_Toc490572262"/>
      <w:bookmarkStart w:id="2086" w:name="_Toc488826769"/>
      <w:bookmarkStart w:id="2087" w:name="_Toc488825176"/>
      <w:bookmarkStart w:id="2088" w:name="_Toc445397423"/>
      <w:bookmarkStart w:id="2089" w:name="_Toc441652957"/>
      <w:bookmarkStart w:id="2090" w:name="_Toc343001461"/>
      <w:bookmarkStart w:id="2091" w:name="_Toc341780922"/>
      <w:bookmarkStart w:id="2092" w:name="_Toc341776348"/>
      <w:bookmarkStart w:id="2093" w:name="_Toc341771319"/>
      <w:bookmarkStart w:id="2094" w:name="_Toc340837409"/>
      <w:bookmarkStart w:id="2095" w:name="_Toc340828694"/>
      <w:bookmarkStart w:id="2096" w:name="_Toc340814365"/>
      <w:bookmarkStart w:id="2097" w:name="_Toc340814265"/>
      <w:bookmarkStart w:id="2098" w:name="_Toc340760308"/>
      <w:bookmarkStart w:id="2099" w:name="_Toc340759930"/>
      <w:bookmarkStart w:id="2100" w:name="_Toc340757464"/>
      <w:bookmarkStart w:id="2101" w:name="_Toc338754083"/>
      <w:bookmarkStart w:id="2102" w:name="_Toc338753930"/>
      <w:bookmarkStart w:id="2103" w:name="_Toc338753573"/>
      <w:bookmarkStart w:id="2104" w:name="_Toc338751643"/>
      <w:bookmarkStart w:id="2105" w:name="_Toc337829178"/>
      <w:bookmarkStart w:id="2106" w:name="_Toc337828008"/>
      <w:bookmarkStart w:id="2107" w:name="_Toc337827812"/>
      <w:bookmarkStart w:id="2108" w:name="_Toc337827443"/>
      <w:bookmarkStart w:id="2109" w:name="_Toc337826793"/>
      <w:bookmarkStart w:id="2110" w:name="_Toc334637503"/>
      <w:bookmarkStart w:id="2111" w:name="_Toc333517007"/>
      <w:bookmarkStart w:id="2112" w:name="_Toc333516925"/>
      <w:bookmarkStart w:id="2113" w:name="_Toc333516843"/>
      <w:bookmarkStart w:id="2114" w:name="_Toc333516702"/>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r>
        <w:rPr>
          <w:rFonts w:ascii="Times New Roman;Times;serif" w:hAnsi="Times New Roman;Times;serif"/>
          <w:sz w:val="24"/>
        </w:rPr>
        <w:t>Labor Relations</w:t>
      </w:r>
      <w:bookmarkStart w:id="2115" w:name="_Toc340757465"/>
      <w:bookmarkEnd w:id="2115"/>
      <w:r>
        <w:rPr>
          <w:rFonts w:ascii="Times New Roman;Times;serif" w:hAnsi="Times New Roman;Times;serif"/>
          <w:sz w:val="24"/>
        </w:rPr>
        <w:t xml:space="preserve">.  Except as set forth on </w:t>
      </w:r>
      <w:r>
        <w:rPr>
          <w:rFonts w:ascii="Times New Roman;Times;serif" w:hAnsi="Times New Roman;Times;serif"/>
          <w:sz w:val="24"/>
          <w:u w:val="single"/>
        </w:rPr>
        <w:t>Schedule 3.16(a)</w:t>
      </w:r>
      <w:r>
        <w:rPr>
          <w:rFonts w:ascii="Times New Roman;Times;serif" w:hAnsi="Times New Roman;Times;serif"/>
          <w:sz w:val="24"/>
        </w:rPr>
        <w:t xml:space="preserve">, the Company is not or has not within the last six (6) years been a party to any collective bargaining agreement.  During the three years prior to the date hereof, there has been no labor strike, work stoppage, unfair labor practice charge, grievance or other organized labor dispute pending or, to the Knowledge of the Sellers, threatened against or with respect to the Company.  During the three years prior to the date hereof, to the Sellers’ Knowledge, there have been no activities or proceedings of any labor union to organize any employees of the Company.  To the Sellers’ Knowledge, no event has occurred that could provide the basis for any work stoppage or other organized labor dispute.  To the Knowledge of the Sellers, the Company is not liable for the payment of any compensation, Damages, Taxes, fines, penalties or other amounts, however designated, for failure to comply with any Employment Laws.  To the Knowledge of the Sellers, all of the Company’s current procedures, policies and training practices with respect to employee matters, including, without limitation, those relating to the hiring and termination of employees and worker safety, conform in all material respects with all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Arial;Helvetica;sans-serif" w:hAnsi="Arial;Helvetica;sans-serif"/>
        </w:rPr>
      </w:pPr>
      <w:r>
        <w:rPr>
          <w:rFonts w:ascii="Times New Roman;Times;serif" w:hAnsi="Times New Roman;Times;serif"/>
          <w:b w:val="false"/>
          <w:i w:val="false"/>
          <w:caps w:val="false"/>
          <w:smallCaps w:val="false"/>
          <w:sz w:val="24"/>
        </w:rPr>
        <w:t>applicable Laws.  The Company is not subject to any pending claim for overdue overtime compensation due to any employee, and to the Knowledge of the Company, no such claim has been threatened.  No consent of any labor union is required to consummate the transactions contemplated by this Agreement and the Company Ancillary Documents.</w:t>
      </w:r>
      <w:r>
        <w:rPr>
          <w:rFonts w:ascii="Arial;Helvetica;sans-serif" w:hAnsi="Arial;Helvetica;sans-serif"/>
          <w:caps w:val="false"/>
          <w:smallCaps w:val="false"/>
        </w:rPr>
        <w:t xml:space="preserve">  </w:t>
      </w:r>
      <w:r>
        <w:rPr>
          <w:rFonts w:ascii="Times New Roman;Times;serif" w:hAnsi="Times New Roman;Times;serif"/>
          <w:b w:val="false"/>
          <w:i w:val="false"/>
          <w:caps w:val="false"/>
          <w:smallCaps w:val="false"/>
          <w:sz w:val="24"/>
        </w:rPr>
        <w:t xml:space="preserve">Except as set forth on </w:t>
      </w:r>
      <w:r>
        <w:rPr>
          <w:rFonts w:ascii="Times New Roman;Times;serif" w:hAnsi="Times New Roman;Times;serif"/>
          <w:b w:val="false"/>
          <w:i w:val="false"/>
          <w:caps w:val="false"/>
          <w:smallCaps w:val="false"/>
          <w:sz w:val="24"/>
          <w:u w:val="single"/>
        </w:rPr>
        <w:t>Schedule 3.16(b)</w:t>
      </w:r>
      <w:r>
        <w:rPr>
          <w:rFonts w:ascii="Times New Roman;Times;serif" w:hAnsi="Times New Roman;Times;serif"/>
          <w:b w:val="false"/>
          <w:i w:val="false"/>
          <w:caps w:val="false"/>
          <w:smallCaps w:val="false"/>
          <w:sz w:val="24"/>
        </w:rPr>
        <w:t>, the Sellers have no Knowledge to the effect that any current key employee, consultant or independent contractor has any immediate plans to terminate or materially alter its relations with the Company, either as a result of the transactions contemplated hereby or otherwise.</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3.18</w:t>
      </w:r>
      <w:bookmarkStart w:id="2116" w:name="_Toc333516556"/>
      <w:bookmarkStart w:id="2117" w:name="_Toc228467082"/>
      <w:bookmarkStart w:id="2118" w:name="_Toc493079737"/>
      <w:bookmarkStart w:id="2119" w:name="_Toc491265002"/>
      <w:bookmarkStart w:id="2120" w:name="_Toc491263217"/>
      <w:bookmarkStart w:id="2121" w:name="_Toc491250869"/>
      <w:bookmarkStart w:id="2122" w:name="_Toc491244312"/>
      <w:bookmarkStart w:id="2123" w:name="_Toc490572263"/>
      <w:bookmarkStart w:id="2124" w:name="_Toc488826770"/>
      <w:bookmarkStart w:id="2125" w:name="_Toc488825177"/>
      <w:bookmarkStart w:id="2126" w:name="_Toc445397424"/>
      <w:bookmarkStart w:id="2127" w:name="_Toc441652958"/>
      <w:bookmarkStart w:id="2128" w:name="_Toc343001462"/>
      <w:bookmarkStart w:id="2129" w:name="_Toc341780923"/>
      <w:bookmarkStart w:id="2130" w:name="_Toc341776349"/>
      <w:bookmarkStart w:id="2131" w:name="_Toc341771320"/>
      <w:bookmarkStart w:id="2132" w:name="_Toc340837410"/>
      <w:bookmarkStart w:id="2133" w:name="_Toc340828695"/>
      <w:bookmarkStart w:id="2134" w:name="_Toc340814366"/>
      <w:bookmarkStart w:id="2135" w:name="_Toc340814266"/>
      <w:bookmarkStart w:id="2136" w:name="_Toc340760309"/>
      <w:bookmarkStart w:id="2137" w:name="_Toc340759931"/>
      <w:bookmarkStart w:id="2138" w:name="_Toc340757466"/>
      <w:bookmarkStart w:id="2139" w:name="_Toc338754091"/>
      <w:bookmarkStart w:id="2140" w:name="_Toc338753938"/>
      <w:bookmarkStart w:id="2141" w:name="_Toc338753581"/>
      <w:bookmarkStart w:id="2142" w:name="_Toc338751651"/>
      <w:bookmarkStart w:id="2143" w:name="_Toc337829186"/>
      <w:bookmarkStart w:id="2144" w:name="_Toc337828015"/>
      <w:bookmarkStart w:id="2145" w:name="_Toc337827819"/>
      <w:bookmarkStart w:id="2146" w:name="_Toc337827450"/>
      <w:bookmarkStart w:id="2147" w:name="_Toc337826800"/>
      <w:bookmarkStart w:id="2148" w:name="_Toc334637510"/>
      <w:bookmarkStart w:id="2149" w:name="_Toc333517014"/>
      <w:bookmarkStart w:id="2150" w:name="_Toc333516932"/>
      <w:bookmarkStart w:id="2151" w:name="_Toc333516850"/>
      <w:bookmarkStart w:id="2152" w:name="_Toc333516727"/>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r>
        <w:rPr>
          <w:rFonts w:ascii="Times New Roman;Times;serif" w:hAnsi="Times New Roman;Times;serif"/>
          <w:sz w:val="24"/>
        </w:rPr>
        <w:t>Employees and Contractors</w:t>
      </w:r>
      <w:bookmarkStart w:id="2153" w:name="_Toc340757467"/>
      <w:bookmarkEnd w:id="2153"/>
      <w:r>
        <w:rPr>
          <w:rFonts w:ascii="Times New Roman;Times;serif" w:hAnsi="Times New Roman;Times;serif"/>
          <w:sz w:val="24"/>
        </w:rPr>
        <w:t>.  </w:t>
      </w:r>
      <w:r>
        <w:rPr>
          <w:rFonts w:ascii="Times New Roman;Times;serif" w:hAnsi="Times New Roman;Times;serif"/>
          <w:sz w:val="24"/>
          <w:u w:val="single"/>
        </w:rPr>
        <w:t>Schedule 3.17</w:t>
      </w:r>
      <w:r>
        <w:rPr>
          <w:rFonts w:ascii="Times New Roman;Times;serif" w:hAnsi="Times New Roman;Times;serif"/>
          <w:sz w:val="24"/>
        </w:rPr>
        <w:t xml:space="preserve"> contains a correct and complete list of (a) all of the corporate officers of the Company, specifying their position, work location and length of service, respectively, and (b) as of January 1, 2025 all of the other employees (whether full-time, part-time or otherwise) and independent contractors of the Company specifying their position, status, work location and length of service, and with respect to independent contractors, consulting or other independent contractor fees, together with an appropriate notation next to the name of any officer or other employee or independent contractor on such list who is subject to any Employment Agreement.  Except to the extent set forth in </w:t>
      </w:r>
      <w:r>
        <w:rPr>
          <w:rFonts w:ascii="Times New Roman;Times;serif" w:hAnsi="Times New Roman;Times;serif"/>
          <w:sz w:val="24"/>
          <w:u w:val="single"/>
        </w:rPr>
        <w:t>Schedule 3.17</w:t>
      </w:r>
      <w:r>
        <w:rPr>
          <w:rFonts w:ascii="Times New Roman;Times;serif" w:hAnsi="Times New Roman;Times;serif"/>
          <w:sz w:val="24"/>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(a)</w:t>
      </w:r>
      <w:r>
        <w:rPr>
          <w:rFonts w:ascii="Times New Roman;Times;serif" w:hAnsi="Times New Roman;Times;serif"/>
          <w:sz w:val="24"/>
        </w:rPr>
        <w:t>to the Knowledge of the Sellers, the Company is in compliance in all material respects with all Employment Laws including Laws, Orders and other requirements respecting employment and employment practices, terms and conditions of employment and wages and hours; and is not engaging in any unfair labor practice with respect to any employee of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there is no existing material default or material breach of the Company under any Employment Agreement (or event or condition that, with notice or lapse of time or both could constitute a material default or material breach) and, to the Knowledge of the Sellers, there is no such material default (or event or condition that, with notice or lapse of time or both, could constitute a material default or material breach) with respect to any other party to any Employment Agreement with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other than the Employment Agreements</w:t>
      </w:r>
      <w:r>
        <w:rPr>
          <w:rFonts w:ascii="Arial;Helvetica;sans-serif" w:hAnsi="Arial;Helvetica;sans-serif"/>
          <w:sz w:val="21"/>
        </w:rPr>
        <w:t xml:space="preserve"> </w:t>
      </w:r>
      <w:r>
        <w:rPr>
          <w:rFonts w:ascii="Times New Roman;Times;serif" w:hAnsi="Times New Roman;Times;serif"/>
          <w:sz w:val="24"/>
        </w:rPr>
        <w:t xml:space="preserve">set forth in </w:t>
      </w:r>
      <w:r>
        <w:rPr>
          <w:rFonts w:ascii="Times New Roman;Times;serif" w:hAnsi="Times New Roman;Times;serif"/>
          <w:sz w:val="24"/>
          <w:u w:val="single"/>
        </w:rPr>
        <w:t>Schedule 3.17</w:t>
      </w:r>
      <w:r>
        <w:rPr>
          <w:rFonts w:ascii="Times New Roman;Times;serif" w:hAnsi="Times New Roman;Times;serif"/>
          <w:sz w:val="24"/>
        </w:rPr>
        <w:t>, there is no severance, consulting, relocation or other agreement, contract or arrangement between the Company and any of their respective employees, other than at-will employment arrangements;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 xml:space="preserve">there is no pending or, to the Knowledge of the Sellers, threatened charge, complaint, allegation, application or other process or claim against the Company before any Governmental Entity with respect to any employee;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no employee is covered by any collective bargaining agreement with respect to services to the Company, nor, to the Knowledge of the Sellers, is there any effort being made by any union to so organize the employees;</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r>
        <w:rPr>
          <w:rFonts w:ascii="Times New Roman;Times;serif" w:hAnsi="Times New Roman;Times;serif"/>
          <w:sz w:val="24"/>
        </w:rPr>
        <w:t xml:space="preserve">the Company has paid, or set forth as an accrual on the Financial Statements, and performed all payment obligations when due with respect to its respective employees, consultants, agents, officers and directors, including without limitation the payment of any accrued and payable wages, severance pay, vacation pay, sick and safe leave pay, any other entitlement or other form of compensation agreed to, benefits, bonuses, profit sharing contribution, profits in interest and commissions, except those obligations that are in good faith being challenged by the Company as not valid obligations as more fully described in </w:t>
      </w:r>
      <w:r>
        <w:rPr>
          <w:rFonts w:ascii="Times New Roman;Times;serif" w:hAnsi="Times New Roman;Times;serif"/>
          <w:sz w:val="24"/>
          <w:u w:val="single"/>
        </w:rPr>
        <w:t>Schedule 3.17</w:t>
      </w:r>
      <w:r>
        <w:rPr>
          <w:rFonts w:ascii="Times New Roman;Times;serif" w:hAnsi="Times New Roman;Times;serif"/>
          <w:sz w:val="24"/>
        </w:rPr>
        <w:t>; and</w:t>
      </w:r>
    </w:p>
    <w:p>
      <w:pPr>
        <w:pStyle w:val="TextBody"/>
        <w:bidi w:val="0"/>
        <w:spacing w:lineRule="auto" w:line="285" w:before="0" w:after="0"/>
        <w:ind w:left="720" w:right="0" w:hanging="0"/>
        <w:jc w:val="both"/>
        <w:rPr>
          <w:rFonts w:ascii="Arial;Helvetica;sans-serif" w:hAnsi="Arial;Helvetica;sans-serif"/>
          <w:sz w:val="21"/>
        </w:rPr>
      </w:pPr>
      <w:r>
        <w:rPr>
          <w:rFonts w:ascii="Times New Roman;Times;serif" w:hAnsi="Times New Roman;Times;serif"/>
          <w:sz w:val="22"/>
        </w:rPr>
        <w:t>(g)</w:t>
      </w:r>
      <w:r>
        <w:rPr>
          <w:rFonts w:ascii="Times New Roman;Times;serif" w:hAnsi="Times New Roman;Times;serif"/>
          <w:sz w:val="24"/>
        </w:rPr>
        <w:t xml:space="preserve">except as set forth in </w:t>
      </w:r>
      <w:r>
        <w:rPr>
          <w:rFonts w:ascii="Times New Roman;Times;serif" w:hAnsi="Times New Roman;Times;serif"/>
          <w:sz w:val="24"/>
          <w:u w:val="single"/>
        </w:rPr>
        <w:t>Schedule 3.17</w:t>
      </w:r>
      <w:r>
        <w:rPr>
          <w:rFonts w:ascii="Times New Roman;Times;serif" w:hAnsi="Times New Roman;Times;serif"/>
          <w:sz w:val="24"/>
        </w:rPr>
        <w:t>, there are no pending or, to the Knowledge of the Sellers, threatened claims or actions against the Company under any workers’ compensation policy or long-term disability policy.</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3.19</w:t>
      </w:r>
      <w:bookmarkStart w:id="2154" w:name="_Toc333516532"/>
      <w:bookmarkStart w:id="2155" w:name="_Toc228467083"/>
      <w:bookmarkStart w:id="2156" w:name="_Toc493079738"/>
      <w:bookmarkStart w:id="2157" w:name="_Toc491265003"/>
      <w:bookmarkStart w:id="2158" w:name="_Toc491263218"/>
      <w:bookmarkStart w:id="2159" w:name="_Toc491250870"/>
      <w:bookmarkStart w:id="2160" w:name="_Toc491244313"/>
      <w:bookmarkStart w:id="2161" w:name="_Toc490572264"/>
      <w:bookmarkStart w:id="2162" w:name="_Toc488826771"/>
      <w:bookmarkStart w:id="2163" w:name="_Toc488825178"/>
      <w:bookmarkStart w:id="2164" w:name="_Toc445397425"/>
      <w:bookmarkStart w:id="2165" w:name="_Toc441652959"/>
      <w:bookmarkStart w:id="2166" w:name="_Toc343001463"/>
      <w:bookmarkStart w:id="2167" w:name="_Toc341780924"/>
      <w:bookmarkStart w:id="2168" w:name="_Toc341776350"/>
      <w:bookmarkStart w:id="2169" w:name="_Toc341771321"/>
      <w:bookmarkStart w:id="2170" w:name="_Toc340837411"/>
      <w:bookmarkStart w:id="2171" w:name="_Toc340828696"/>
      <w:bookmarkStart w:id="2172" w:name="_Toc340814367"/>
      <w:bookmarkStart w:id="2173" w:name="_Toc340814267"/>
      <w:bookmarkStart w:id="2174" w:name="_Toc340760310"/>
      <w:bookmarkStart w:id="2175" w:name="_Toc340759932"/>
      <w:bookmarkStart w:id="2176" w:name="_Toc340757468"/>
      <w:bookmarkStart w:id="2177" w:name="_Toc338754084"/>
      <w:bookmarkStart w:id="2178" w:name="_Toc338753931"/>
      <w:bookmarkStart w:id="2179" w:name="_Toc338753574"/>
      <w:bookmarkStart w:id="2180" w:name="_Toc338751644"/>
      <w:bookmarkStart w:id="2181" w:name="_Toc337829179"/>
      <w:bookmarkStart w:id="2182" w:name="_Toc337828009"/>
      <w:bookmarkStart w:id="2183" w:name="_Toc337827813"/>
      <w:bookmarkStart w:id="2184" w:name="_Toc337827444"/>
      <w:bookmarkStart w:id="2185" w:name="_Toc337826794"/>
      <w:bookmarkStart w:id="2186" w:name="_Toc334637504"/>
      <w:bookmarkStart w:id="2187" w:name="_Toc333517008"/>
      <w:bookmarkStart w:id="2188" w:name="_Toc333516926"/>
      <w:bookmarkStart w:id="2189" w:name="_Toc333516844"/>
      <w:bookmarkStart w:id="2190" w:name="_Toc33351670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r>
        <w:rPr>
          <w:rFonts w:ascii="Times New Roman;Times;serif" w:hAnsi="Times New Roman;Times;serif"/>
          <w:sz w:val="24"/>
        </w:rPr>
        <w:t>Insurance Policies and Bonds</w:t>
      </w:r>
      <w:bookmarkStart w:id="2191" w:name="_Toc340760311"/>
      <w:bookmarkStart w:id="2192" w:name="_Toc340759933"/>
      <w:bookmarkStart w:id="2193" w:name="_Toc340757469"/>
      <w:bookmarkStart w:id="2194" w:name="_Toc338754085"/>
      <w:bookmarkStart w:id="2195" w:name="_Toc338753932"/>
      <w:bookmarkStart w:id="2196" w:name="_Toc338753575"/>
      <w:bookmarkStart w:id="2197" w:name="_Toc338751645"/>
      <w:bookmarkStart w:id="2198" w:name="_Toc337829180"/>
      <w:bookmarkEnd w:id="2191"/>
      <w:bookmarkEnd w:id="2192"/>
      <w:bookmarkEnd w:id="2193"/>
      <w:bookmarkEnd w:id="2194"/>
      <w:bookmarkEnd w:id="2195"/>
      <w:bookmarkEnd w:id="2196"/>
      <w:bookmarkEnd w:id="2197"/>
      <w:bookmarkEnd w:id="2198"/>
      <w:r>
        <w:rPr>
          <w:rFonts w:ascii="Times New Roman;Times;serif" w:hAnsi="Times New Roman;Times;serif"/>
          <w:sz w:val="24"/>
        </w:rPr>
        <w:t>.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199" w:name="_Toc333516704"/>
      <w:bookmarkStart w:id="2200" w:name="_Toc333516533"/>
      <w:bookmarkEnd w:id="2199"/>
      <w:bookmarkEnd w:id="2200"/>
      <w:r>
        <w:rPr>
          <w:rFonts w:ascii="Times New Roman;Times;serif" w:hAnsi="Times New Roman;Times;serif"/>
          <w:sz w:val="24"/>
        </w:rPr>
        <w:t>The Company maintains insurance coverage with respect to its properties and business of such a nature, in such amounts, with such terms, and covering such risks as are required under Contracts and applicable Laws.  All such policies are in full force and effect.  The Company has not received written notice of default under any such policy, nor has it received written notice of any pending or threatened termination or cancellation, coverage limitation or reduction, or material premium or deductible increase with respect to any such policy.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201" w:name="_Toc333516705"/>
      <w:bookmarkStart w:id="2202" w:name="_Toc333516534"/>
      <w:bookmarkEnd w:id="2201"/>
      <w:bookmarkEnd w:id="2202"/>
      <w:r>
        <w:rPr>
          <w:rFonts w:ascii="Times New Roman;Times;serif" w:hAnsi="Times New Roman;Times;serif"/>
          <w:sz w:val="24"/>
          <w:u w:val="single"/>
        </w:rPr>
        <w:t>Schedule 3.18(b)</w:t>
      </w:r>
      <w:r>
        <w:rPr>
          <w:rFonts w:ascii="Arial;Helvetica;sans-serif" w:hAnsi="Arial;Helvetica;sans-serif"/>
          <w:sz w:val="21"/>
        </w:rPr>
        <w:t xml:space="preserve"> </w:t>
      </w:r>
      <w:r>
        <w:rPr>
          <w:rFonts w:ascii="Times New Roman;Times;serif" w:hAnsi="Times New Roman;Times;serif"/>
          <w:sz w:val="24"/>
        </w:rPr>
        <w:t>contains a complete list of all insurance policies carried by or for the benefit of the Company (including any such policy under which the Company is listed as a named insured or an additional insured), specifying the insurer, the amount of and nature of coverage, the risk insured against, the deductible amount (if any), the date through which coverage shall continue by virtue of premiums already paid, and a list and description of all claims made against such insurance policies for the three-year period prior to the date hereof.  None of the policy limits of such insurance have been exhausted, nor has the Company failed to give any notice or to present any claim thereunder in due and timely fashion.</w:t>
      </w:r>
      <w:r>
        <w:rPr>
          <w:rFonts w:ascii="Arial;Helvetica;sans-serif" w:hAnsi="Arial;Helvetica;sans-serif"/>
          <w:sz w:val="21"/>
        </w:rPr>
        <w:t xml:space="preserve">  </w:t>
      </w:r>
      <w:r>
        <w:rPr>
          <w:rFonts w:ascii="Times New Roman;Times;serif" w:hAnsi="Times New Roman;Times;serif"/>
          <w:sz w:val="24"/>
        </w:rPr>
        <w:t xml:space="preserve">The Company has not received any notice of the intent of any insurance company to not renew or to cancel any insurance policies for the Company or materially increase the premiums thereunder, and except as set forth in </w:t>
      </w:r>
      <w:r>
        <w:rPr>
          <w:rFonts w:ascii="Times New Roman;Times;serif" w:hAnsi="Times New Roman;Times;serif"/>
          <w:sz w:val="24"/>
          <w:u w:val="single"/>
        </w:rPr>
        <w:t>Schedule 3.18(b)</w:t>
      </w:r>
      <w:r>
        <w:rPr>
          <w:rFonts w:ascii="Times New Roman;Times;serif" w:hAnsi="Times New Roman;Times;serif"/>
          <w:sz w:val="24"/>
        </w:rPr>
        <w:t>, none of the insurance policies shall terminate solely as a result of the transactions contemplated hereby.  Except as set forth on Schedule 3.18(b), the Company’s insurance policies provide, and have previously provided, all coverage that is or was required by applicable Law and by any and all Contracts and Licenses to which the Company is or was a party.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u w:val="single"/>
        </w:rPr>
        <w:t>Schedule 3.18(c)</w:t>
      </w:r>
      <w:r>
        <w:rPr>
          <w:rFonts w:ascii="Arial;Helvetica;sans-serif" w:hAnsi="Arial;Helvetica;sans-serif"/>
          <w:sz w:val="21"/>
        </w:rPr>
        <w:t xml:space="preserve"> </w:t>
      </w:r>
      <w:r>
        <w:rPr>
          <w:rFonts w:ascii="Times New Roman;Times;serif" w:hAnsi="Times New Roman;Times;serif"/>
          <w:sz w:val="24"/>
        </w:rPr>
        <w:t>contains a complete, current and correct list of all outstanding bonds (including any bid, performance and payment bonds), letters of credit and other surety arrangements issued or entered into in connection with the Business, assets and Liabilities of the Company.  The Company is not in default under any of such arrangements.</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3.20</w:t>
      </w:r>
      <w:bookmarkStart w:id="2203" w:name="_Toc228467084"/>
      <w:bookmarkStart w:id="2204" w:name="_Toc493079739"/>
      <w:bookmarkStart w:id="2205" w:name="_Toc491265004"/>
      <w:bookmarkStart w:id="2206" w:name="_Toc491263219"/>
      <w:bookmarkStart w:id="2207" w:name="_Toc491250871"/>
      <w:bookmarkStart w:id="2208" w:name="_Toc491244314"/>
      <w:bookmarkStart w:id="2209" w:name="_Toc490572265"/>
      <w:bookmarkStart w:id="2210" w:name="_Toc488826772"/>
      <w:bookmarkStart w:id="2211" w:name="_Toc488825179"/>
      <w:bookmarkStart w:id="2212" w:name="_Toc445397426"/>
      <w:bookmarkStart w:id="2213" w:name="_Toc441652960"/>
      <w:bookmarkStart w:id="2214" w:name="_Toc343001464"/>
      <w:bookmarkStart w:id="2215" w:name="_Toc341780925"/>
      <w:bookmarkStart w:id="2216" w:name="_Toc341776351"/>
      <w:bookmarkStart w:id="2217" w:name="_Toc341771322"/>
      <w:bookmarkStart w:id="2218" w:name="_Toc340837412"/>
      <w:bookmarkStart w:id="2219" w:name="_Toc340828697"/>
      <w:bookmarkStart w:id="2220" w:name="_Toc340814368"/>
      <w:bookmarkStart w:id="2221" w:name="_Toc340814268"/>
      <w:bookmarkStart w:id="2222" w:name="_Toc340760312"/>
      <w:bookmarkStart w:id="2223" w:name="_Toc340759934"/>
      <w:bookmarkStart w:id="2224" w:name="_Toc340757470"/>
      <w:bookmarkStart w:id="2225" w:name="_Toc333516535"/>
      <w:bookmarkStart w:id="2226" w:name="_Toc338754086"/>
      <w:bookmarkStart w:id="2227" w:name="_Toc338753933"/>
      <w:bookmarkStart w:id="2228" w:name="_Toc338753576"/>
      <w:bookmarkStart w:id="2229" w:name="_Toc338751646"/>
      <w:bookmarkStart w:id="2230" w:name="_Toc337829181"/>
      <w:bookmarkStart w:id="2231" w:name="_Toc337828010"/>
      <w:bookmarkStart w:id="2232" w:name="_Toc337827814"/>
      <w:bookmarkStart w:id="2233" w:name="_Toc337827445"/>
      <w:bookmarkStart w:id="2234" w:name="_Toc337826795"/>
      <w:bookmarkStart w:id="2235" w:name="_Toc334637505"/>
      <w:bookmarkStart w:id="2236" w:name="_Toc333517009"/>
      <w:bookmarkStart w:id="2237" w:name="_Toc333516927"/>
      <w:bookmarkStart w:id="2238" w:name="_Toc333516845"/>
      <w:bookmarkStart w:id="2239" w:name="_Toc333516706"/>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r>
        <w:rPr>
          <w:rFonts w:ascii="Times New Roman;Times;serif" w:hAnsi="Times New Roman;Times;serif"/>
          <w:sz w:val="24"/>
        </w:rPr>
        <w:t xml:space="preserve">Environmental, Health and Safety Matters.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240" w:name="_Toc333516707"/>
      <w:bookmarkStart w:id="2241" w:name="_Toc333516536"/>
      <w:bookmarkEnd w:id="2240"/>
      <w:bookmarkEnd w:id="2241"/>
      <w:r>
        <w:rPr>
          <w:rFonts w:ascii="Times New Roman;Times;serif" w:hAnsi="Times New Roman;Times;serif"/>
          <w:sz w:val="24"/>
        </w:rPr>
        <w:t xml:space="preserve">Except as set forth in </w:t>
      </w:r>
      <w:r>
        <w:rPr>
          <w:rFonts w:ascii="Times New Roman;Times;serif" w:hAnsi="Times New Roman;Times;serif"/>
          <w:sz w:val="24"/>
          <w:u w:val="single"/>
        </w:rPr>
        <w:t>Schedule 3.19(a)</w:t>
      </w:r>
      <w:r>
        <w:rPr>
          <w:rFonts w:ascii="Times New Roman;Times;serif" w:hAnsi="Times New Roman;Times;serif"/>
          <w:sz w:val="24"/>
        </w:rPr>
        <w:t>, to the Knowledge of the Sellers, the Company is currently in compliance and has been in compliance, in all material respects, with all applicable Environmental Laws.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242" w:name="_Toc333516708"/>
      <w:bookmarkStart w:id="2243" w:name="_Toc333516537"/>
      <w:bookmarkEnd w:id="2242"/>
      <w:bookmarkEnd w:id="2243"/>
      <w:r>
        <w:rPr>
          <w:rFonts w:ascii="Times New Roman;Times;serif" w:hAnsi="Times New Roman;Times;serif"/>
          <w:sz w:val="24"/>
        </w:rPr>
        <w:t>(i) To the Knowledge of the Sellers, no Environmental Claims have been asserted in writing, or orally against the Company, nor do the Sellers have any Knowledge or notice of any pending or threatened Environmental Claims concerning the violation of any Environmental Law against the Company; and (ii) to the Knowledge of the Sellers, the Company has no Liabilities under any Environmental Law or with respect to Hazardous Substances.</w:t>
      </w:r>
      <w:r>
        <w:rPr>
          <w:rFonts w:ascii="Arial;Helvetica;sans-serif" w:hAnsi="Arial;Helvetica;sans-serif"/>
          <w:sz w:val="21"/>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2244" w:name="_Toc333516709"/>
      <w:bookmarkStart w:id="2245" w:name="_Toc333516538"/>
      <w:bookmarkEnd w:id="2244"/>
      <w:bookmarkEnd w:id="2245"/>
      <w:r>
        <w:rPr>
          <w:rFonts w:ascii="Times New Roman;Times;serif" w:hAnsi="Times New Roman;Times;serif"/>
          <w:sz w:val="24"/>
        </w:rPr>
        <w:t>(i) To the Knowledge of the Sellers, there has been no Release or threatened Release at, on, under or from any of the properties or facilities currently leased or operated by the Company that could reasonably be expected to result in material Liability to the Company under any Environmental Law or Contract or with respect to Hazardous Substances; (ii) to the Knowledge of the Sellers, there was no Release at, on, under or from any of the properties formerly leased or operated by the Company during the period of such tenancy or operation that could reasonably be expected to result in Liability to the Company under any Environmental Law or Contract; and (iii) to the Knowledge of the Sellers, the Company has not arranged, by Contract, agreement or otherwise, for the treatment or disposal of Hazardous Substances at any location such as could reasonably be expected to result in any material Liability to the Company.</w:t>
      </w:r>
    </w:p>
    <w:p>
      <w:pPr>
        <w:pStyle w:val="TextBody"/>
        <w:bidi w:val="0"/>
        <w:spacing w:lineRule="auto" w:line="285" w:before="0" w:after="24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 xml:space="preserve">To the Knowledge of the Sellers, except as set out in </w:t>
      </w:r>
      <w:r>
        <w:rPr>
          <w:rFonts w:ascii="Times New Roman;Times;serif" w:hAnsi="Times New Roman;Times;serif"/>
          <w:sz w:val="24"/>
          <w:u w:val="single"/>
        </w:rPr>
        <w:t>Schedule 3.19(d)</w:t>
      </w:r>
      <w:r>
        <w:rPr>
          <w:rFonts w:ascii="Times New Roman;Times;serif" w:hAnsi="Times New Roman;Times;serif"/>
          <w:sz w:val="24"/>
        </w:rPr>
        <w:t>, the Company has not, as related to their services at a facility or project site, been involved in any event involving loss of life, bodily injury or any violation of any Environmental Law during the most recent five (5) year period.</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3.21</w:t>
      </w:r>
      <w:bookmarkStart w:id="2246" w:name="_Toc228467085"/>
      <w:bookmarkStart w:id="2247" w:name="_Toc493079740"/>
      <w:bookmarkStart w:id="2248" w:name="_Toc491265005"/>
      <w:bookmarkStart w:id="2249" w:name="_Toc491263220"/>
      <w:bookmarkStart w:id="2250" w:name="_Toc491250872"/>
      <w:bookmarkStart w:id="2251" w:name="_Toc491244315"/>
      <w:bookmarkStart w:id="2252" w:name="_Toc490572266"/>
      <w:bookmarkStart w:id="2253" w:name="_Toc488826773"/>
      <w:bookmarkStart w:id="2254" w:name="_Toc488825180"/>
      <w:bookmarkStart w:id="2255" w:name="_Toc445397427"/>
      <w:bookmarkStart w:id="2256" w:name="_Toc441652961"/>
      <w:bookmarkStart w:id="2257" w:name="_Toc343001465"/>
      <w:bookmarkStart w:id="2258" w:name="_Toc341780926"/>
      <w:bookmarkStart w:id="2259" w:name="_Toc341776352"/>
      <w:bookmarkStart w:id="2260" w:name="_Toc341771323"/>
      <w:bookmarkStart w:id="2261" w:name="_Toc340837413"/>
      <w:bookmarkStart w:id="2262" w:name="_Toc340828698"/>
      <w:bookmarkStart w:id="2263" w:name="_Toc340814369"/>
      <w:bookmarkStart w:id="2264" w:name="_Toc340814269"/>
      <w:bookmarkStart w:id="2265" w:name="_Toc340760313"/>
      <w:bookmarkStart w:id="2266" w:name="_Toc340759935"/>
      <w:bookmarkStart w:id="2267" w:name="_Toc340757471"/>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r>
        <w:rPr>
          <w:rFonts w:ascii="Times New Roman;Times;serif" w:hAnsi="Times New Roman;Times;serif"/>
          <w:sz w:val="24"/>
        </w:rPr>
        <w:t xml:space="preserve">Transactions with Affiliates.  Except as set forth in </w:t>
      </w:r>
      <w:r>
        <w:rPr>
          <w:rFonts w:ascii="Times New Roman;Times;serif" w:hAnsi="Times New Roman;Times;serif"/>
          <w:sz w:val="24"/>
          <w:u w:val="single"/>
        </w:rPr>
        <w:t>Schedule 3.20</w:t>
      </w:r>
      <w:r>
        <w:rPr>
          <w:rFonts w:ascii="Times New Roman;Times;serif" w:hAnsi="Times New Roman;Times;serif"/>
          <w:sz w:val="24"/>
        </w:rPr>
        <w:t>, to the Knowledge of the Sellers, other than for compensation received as employees and reimbursement for expenses incurred in the Ordinary Course, no Affiliate of the Company, no Person with whom any such Affiliate has any direct or indirect relation by blood, marriage or adoption, no entity in which any such Affiliate or Person owns any beneficial interest (other than a publicly held entity whose stock is traded on a national securities exchange or in the over-the-counter market and less than five percent (5%) of the stock of which is beneficially owned by all such Affiliates and Persons in the aggregate), and no Affiliate of any of the foregoing has any interest in:  (a) any Contract, arrangement or understanding with the Company, or the properties or assets of the Company; (b) any loan, arrangement, understanding, agreement or Contract for or relating to the Company, or the properties or assets of the Company; or (c) any property (real, personal or mixed), tangible or intangible, used or currently intended to be used by the Company.  </w:t>
      </w:r>
      <w:r>
        <w:rPr>
          <w:rFonts w:ascii="Times New Roman;Times;serif" w:hAnsi="Times New Roman;Times;serif"/>
          <w:sz w:val="24"/>
          <w:u w:val="single"/>
        </w:rPr>
        <w:t>Schedule 3.20</w:t>
      </w:r>
      <w:r>
        <w:rPr>
          <w:rFonts w:ascii="Times New Roman;Times;serif" w:hAnsi="Times New Roman;Times;serif"/>
          <w:sz w:val="24"/>
        </w:rPr>
        <w:t xml:space="preserve"> sets forth a correct and complete list of (y) all accounts receivable, notes receivable and other receivables and accounts payable owed by the Company to or due to the Company from any Affiliate of the Company, and (z) to the Knowledge of the Sellers, each blood or spousal relationship between (A) supervisory employees of the Company, and (B)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employees of the Company whom such supervisory employees directly or indirectly supervise.</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3.22</w:t>
      </w:r>
      <w:bookmarkStart w:id="2268" w:name="_Toc228467086"/>
      <w:bookmarkStart w:id="2269" w:name="_Toc493079741"/>
      <w:bookmarkStart w:id="2270" w:name="_Toc491265006"/>
      <w:bookmarkStart w:id="2271" w:name="_Toc491263221"/>
      <w:bookmarkStart w:id="2272" w:name="_Toc491250873"/>
      <w:bookmarkStart w:id="2273" w:name="_Toc491244316"/>
      <w:bookmarkStart w:id="2274" w:name="_Toc490572267"/>
      <w:bookmarkStart w:id="2275" w:name="_Toc488826774"/>
      <w:bookmarkStart w:id="2276" w:name="_Toc488825181"/>
      <w:bookmarkStart w:id="2277" w:name="_Toc445397428"/>
      <w:bookmarkStart w:id="2278" w:name="_Toc441652962"/>
      <w:bookmarkStart w:id="2279" w:name="_Toc343001466"/>
      <w:bookmarkStart w:id="2280" w:name="_Toc341780927"/>
      <w:bookmarkStart w:id="2281" w:name="_Toc341776353"/>
      <w:bookmarkStart w:id="2282" w:name="_Toc341771324"/>
      <w:bookmarkStart w:id="2283" w:name="_Toc340837414"/>
      <w:bookmarkStart w:id="2284" w:name="_Toc340828699"/>
      <w:bookmarkStart w:id="2285" w:name="_Toc340814370"/>
      <w:bookmarkStart w:id="2286" w:name="_Toc340814270"/>
      <w:bookmarkStart w:id="2287" w:name="_Toc340760314"/>
      <w:bookmarkStart w:id="2288" w:name="_Toc340759936"/>
      <w:bookmarkStart w:id="2289" w:name="_Toc340757472"/>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r>
        <w:rPr>
          <w:rFonts w:ascii="Times New Roman;Times;serif" w:hAnsi="Times New Roman;Times;serif"/>
          <w:sz w:val="24"/>
          <w:u w:val="single"/>
        </w:rPr>
        <w:t>Customers and Vendors; Services</w:t>
      </w:r>
      <w:bookmarkStart w:id="2290" w:name="_Toc340760315"/>
      <w:bookmarkStart w:id="2291" w:name="_Toc340759937"/>
      <w:bookmarkStart w:id="2292" w:name="_Toc340757473"/>
      <w:bookmarkEnd w:id="2290"/>
      <w:bookmarkEnd w:id="2291"/>
      <w:bookmarkEnd w:id="2292"/>
      <w:r>
        <w:rPr>
          <w:rFonts w:ascii="Times New Roman;Times;serif" w:hAnsi="Times New Roman;Times;serif"/>
          <w:sz w:val="24"/>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u w:val="single"/>
        </w:rPr>
        <w:t>Schedule 3.21(a)</w:t>
      </w:r>
      <w:r>
        <w:rPr>
          <w:rFonts w:ascii="Arial;Helvetica;sans-serif" w:hAnsi="Arial;Helvetica;sans-serif"/>
          <w:sz w:val="21"/>
        </w:rPr>
        <w:t xml:space="preserve"> </w:t>
      </w:r>
      <w:r>
        <w:rPr>
          <w:rFonts w:ascii="Times New Roman;Times;serif" w:hAnsi="Times New Roman;Times;serif"/>
          <w:sz w:val="24"/>
        </w:rPr>
        <w:t xml:space="preserve">contains a correct and complete list of the names and addresses of the Customers and Vendors who acquired or were sold services or from whom purchases were made in excess of $50,000 since January 1, 2025, and the amount of sales or services provided to or purchases or services received from each such Customer or Vendor since January 1, 2025.  The Company maintains commercially reasonable relations with each of its Customers and Vendors.  Except as set forth in </w:t>
      </w:r>
      <w:r>
        <w:rPr>
          <w:rFonts w:ascii="Times New Roman;Times;serif" w:hAnsi="Times New Roman;Times;serif"/>
          <w:sz w:val="24"/>
          <w:u w:val="single"/>
        </w:rPr>
        <w:t>Schedule 3.21(a)</w:t>
      </w:r>
      <w:r>
        <w:rPr>
          <w:rFonts w:ascii="Times New Roman;Times;serif" w:hAnsi="Times New Roman;Times;serif"/>
          <w:sz w:val="24"/>
        </w:rPr>
        <w:t>, no Customer or Vendor has during the last twelve (12) months, cancelled, terminated or, to the Knowledge of the Sellers, made any threat (i) to cancel or otherwise terminate any of its Contracts with the Company, or (ii) to decrease its usage or supply of the Company’s services.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Company has not been subject to any criminal investigation or penalty, civil penalty or award of civil damages with respect to the provision of services, and there is no Litigation by any Customer, Governmental Entity or insurers with respect to any services or other professional work performed by the Company.</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3.23</w:t>
      </w:r>
      <w:bookmarkStart w:id="2293" w:name="_Toc228467087"/>
      <w:bookmarkStart w:id="2294" w:name="_Toc493079742"/>
      <w:bookmarkStart w:id="2295" w:name="_Toc491265007"/>
      <w:bookmarkStart w:id="2296" w:name="_Toc491263222"/>
      <w:bookmarkStart w:id="2297" w:name="_Toc491250874"/>
      <w:bookmarkStart w:id="2298" w:name="_Toc491244317"/>
      <w:bookmarkStart w:id="2299" w:name="_Toc490572268"/>
      <w:bookmarkStart w:id="2300" w:name="_Toc488826775"/>
      <w:bookmarkStart w:id="2301" w:name="_Toc488825182"/>
      <w:bookmarkStart w:id="2302" w:name="_Toc445397429"/>
      <w:bookmarkStart w:id="2303" w:name="_Toc441652963"/>
      <w:bookmarkStart w:id="2304" w:name="_Toc343001467"/>
      <w:bookmarkStart w:id="2305" w:name="_Toc341780928"/>
      <w:bookmarkStart w:id="2306" w:name="_Toc341776354"/>
      <w:bookmarkStart w:id="2307" w:name="_Toc341771325"/>
      <w:bookmarkStart w:id="2308" w:name="_Toc340837415"/>
      <w:bookmarkStart w:id="2309" w:name="_Toc340828700"/>
      <w:bookmarkStart w:id="2310" w:name="_Toc340814371"/>
      <w:bookmarkStart w:id="2311" w:name="_Toc340814271"/>
      <w:bookmarkStart w:id="2312" w:name="_Toc340760316"/>
      <w:bookmarkStart w:id="2313" w:name="_Toc340759938"/>
      <w:bookmarkStart w:id="2314" w:name="_Toc340757474"/>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r>
        <w:rPr>
          <w:rFonts w:ascii="Times New Roman;Times;serif" w:hAnsi="Times New Roman;Times;serif"/>
          <w:sz w:val="24"/>
        </w:rPr>
        <w:t>Service Warranties</w:t>
      </w:r>
      <w:bookmarkStart w:id="2315" w:name="_Toc340757475"/>
      <w:bookmarkEnd w:id="2315"/>
      <w:r>
        <w:rPr>
          <w:rFonts w:ascii="Times New Roman;Times;serif" w:hAnsi="Times New Roman;Times;serif"/>
          <w:sz w:val="24"/>
        </w:rPr>
        <w:t xml:space="preserve">.  Except as set forth in </w:t>
      </w:r>
      <w:r>
        <w:rPr>
          <w:rFonts w:ascii="Times New Roman;Times;serif" w:hAnsi="Times New Roman;Times;serif"/>
          <w:sz w:val="24"/>
          <w:u w:val="single"/>
        </w:rPr>
        <w:t>Schedule 3.22</w:t>
      </w:r>
      <w:r>
        <w:rPr>
          <w:rFonts w:ascii="Times New Roman;Times;serif" w:hAnsi="Times New Roman;Times;serif"/>
          <w:sz w:val="24"/>
        </w:rPr>
        <w:t>, the Company has not made any express warranty or guaranty as to services provided by the Company or their respective subcontractors, other than those warranties or guaranties provided for by applicable Laws (including without limitation by the inclusion or incorporation of contract clauses codified in the Federal Acquisition Regulation).  There is no pending or, to the Knowledge of the Sellers, threatened claim alleging, or any existing facts or circumstances that could reasonably be expected to give rise to, any breach of any express or implied warranty or guaranty or request for credit for defective services.  The Company has not been required to pay direct, incidental or consequential Damages to any Person or to incur any direct or indirect costs in connection with a warranty or guaranty claim in connection with any of such services during the three years prior to the date hereof.</w:t>
      </w:r>
    </w:p>
    <w:p>
      <w:pPr>
        <w:pStyle w:val="TextBody"/>
        <w:bidi w:val="0"/>
        <w:spacing w:lineRule="auto" w:line="285" w:before="0" w:after="240"/>
        <w:ind w:left="1530" w:right="0" w:hanging="0"/>
        <w:jc w:val="both"/>
        <w:rPr>
          <w:rFonts w:ascii="Times New Roman;Times;serif" w:hAnsi="Times New Roman;Times;serif"/>
          <w:sz w:val="24"/>
        </w:rPr>
      </w:pPr>
      <w:r>
        <w:rPr>
          <w:rFonts w:ascii="Times New Roman;Times;serif" w:hAnsi="Times New Roman;Times;serif"/>
          <w:sz w:val="24"/>
        </w:rPr>
        <w:t>Section 3.24</w:t>
      </w:r>
      <w:bookmarkStart w:id="2316" w:name="_Toc333516540"/>
      <w:bookmarkStart w:id="2317" w:name="_Toc228467088"/>
      <w:bookmarkStart w:id="2318" w:name="_Toc493079743"/>
      <w:bookmarkStart w:id="2319" w:name="_Toc491265008"/>
      <w:bookmarkStart w:id="2320" w:name="_Toc491263223"/>
      <w:bookmarkStart w:id="2321" w:name="_Toc491250875"/>
      <w:bookmarkStart w:id="2322" w:name="_Toc491244318"/>
      <w:bookmarkStart w:id="2323" w:name="_Toc490572269"/>
      <w:bookmarkStart w:id="2324" w:name="_Toc488826776"/>
      <w:bookmarkStart w:id="2325" w:name="_Toc488825183"/>
      <w:bookmarkStart w:id="2326" w:name="_Toc445397430"/>
      <w:bookmarkStart w:id="2327" w:name="_Toc441652964"/>
      <w:bookmarkStart w:id="2328" w:name="_Toc343001468"/>
      <w:bookmarkStart w:id="2329" w:name="_Toc341780929"/>
      <w:bookmarkStart w:id="2330" w:name="_Toc341776355"/>
      <w:bookmarkStart w:id="2331" w:name="_Toc341771326"/>
      <w:bookmarkStart w:id="2332" w:name="_Toc340837416"/>
      <w:bookmarkStart w:id="2333" w:name="_Toc340828701"/>
      <w:bookmarkStart w:id="2334" w:name="_Toc340814372"/>
      <w:bookmarkStart w:id="2335" w:name="_Toc340814272"/>
      <w:bookmarkStart w:id="2336" w:name="_Toc340760317"/>
      <w:bookmarkStart w:id="2337" w:name="_Toc340759939"/>
      <w:bookmarkStart w:id="2338" w:name="_Toc340757476"/>
      <w:bookmarkStart w:id="2339" w:name="_Toc338754087"/>
      <w:bookmarkStart w:id="2340" w:name="_Toc338753934"/>
      <w:bookmarkStart w:id="2341" w:name="_Toc338753577"/>
      <w:bookmarkStart w:id="2342" w:name="_Toc338751647"/>
      <w:bookmarkStart w:id="2343" w:name="_Toc337829182"/>
      <w:bookmarkStart w:id="2344" w:name="_Toc337828011"/>
      <w:bookmarkStart w:id="2345" w:name="_Toc337827815"/>
      <w:bookmarkStart w:id="2346" w:name="_Toc337827446"/>
      <w:bookmarkStart w:id="2347" w:name="_Toc337826796"/>
      <w:bookmarkStart w:id="2348" w:name="_Toc334637506"/>
      <w:bookmarkStart w:id="2349" w:name="_Toc333517010"/>
      <w:bookmarkStart w:id="2350" w:name="_Toc333516928"/>
      <w:bookmarkStart w:id="2351" w:name="_Toc333516846"/>
      <w:bookmarkStart w:id="2352" w:name="_Toc333516711"/>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r>
        <w:rPr>
          <w:rFonts w:ascii="Times New Roman;Times;serif" w:hAnsi="Times New Roman;Times;serif"/>
          <w:sz w:val="24"/>
        </w:rPr>
        <w:t>Intellectual Property.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353" w:name="_Toc333516712"/>
      <w:bookmarkStart w:id="2354" w:name="_Toc333516541"/>
      <w:bookmarkEnd w:id="2353"/>
      <w:bookmarkEnd w:id="2354"/>
      <w:r>
        <w:rPr>
          <w:rFonts w:ascii="Times New Roman;Times;serif" w:hAnsi="Times New Roman;Times;serif"/>
          <w:sz w:val="24"/>
          <w:u w:val="single"/>
        </w:rPr>
        <w:t>Schedule 3.23(a)</w:t>
      </w:r>
      <w:r>
        <w:rPr>
          <w:rFonts w:ascii="Arial;Helvetica;sans-serif" w:hAnsi="Arial;Helvetica;sans-serif"/>
          <w:sz w:val="21"/>
        </w:rPr>
        <w:t xml:space="preserve"> </w:t>
      </w:r>
      <w:r>
        <w:rPr>
          <w:rFonts w:ascii="Times New Roman;Times;serif" w:hAnsi="Times New Roman;Times;serif"/>
          <w:sz w:val="24"/>
        </w:rPr>
        <w:t>contains a correct and complete list of all Company Registered Intellectual Property and all unregistered trademarks and service marks that constitute Company Intellectual Property owned by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355" w:name="_Toc333516713"/>
      <w:bookmarkStart w:id="2356" w:name="_Toc333516542"/>
      <w:bookmarkEnd w:id="2355"/>
      <w:bookmarkEnd w:id="2356"/>
      <w:r>
        <w:rPr>
          <w:rFonts w:ascii="Times New Roman;Times;serif" w:hAnsi="Times New Roman;Times;serif"/>
          <w:sz w:val="24"/>
        </w:rPr>
        <w:t xml:space="preserve">No Company Intellectual Property that is owned by the Company and no Company Proprietary Software is subject to any proceeding or outstanding Order (i) restricting in any manner the use thereof by the Company, or (ii) that may affect, to the Knowledge of the Sellers, the validity, use or enforceability of any such Intellectual Property or any such Company Proprietary Software.  To the Knowledge of the Sellers, no Company Intellectual Property licensed to the Company and no Company Licensed Software is subject to any proceeding or outstanding Order (A) restricting in any manner the use thereof by the Company, or (B) that may materially affect the validity, use or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enforceability of such Company Intellectual Property or any such Company Licensed Software.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2357" w:name="_Toc333516714"/>
      <w:bookmarkStart w:id="2358" w:name="_Toc333516543"/>
      <w:bookmarkEnd w:id="2357"/>
      <w:bookmarkEnd w:id="2358"/>
      <w:r>
        <w:rPr>
          <w:rFonts w:ascii="Times New Roman;Times;serif" w:hAnsi="Times New Roman;Times;serif"/>
          <w:sz w:val="24"/>
        </w:rPr>
        <w:t>Each item of Company Registered Intellectual Property is subsisting and in full force in all material respects.  All necessary registration, maintenance and renewal fees due prior to the date hereof in connection with Company Registered Intellectual Property have been paid and all necessary documents, recordations and certifications required to be filed on or prior to the date hereof in connection with the Company Registered Intellectual Property have been filed with the relevant patent, copyright, trademark or other authorities in the United States or foreign jurisdictions, as the case may be, for the purposes of maintaining such Company Registered Intellectual Property or recording ownership by the Company of such Company Registered Intellectual Property (aside from any recordation that may result or be required by this Agreement).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bookmarkStart w:id="2359" w:name="_Toc333516715"/>
      <w:bookmarkStart w:id="2360" w:name="_Toc333516544"/>
      <w:bookmarkEnd w:id="2359"/>
      <w:bookmarkEnd w:id="2360"/>
      <w:r>
        <w:rPr>
          <w:rFonts w:ascii="Times New Roman;Times;serif" w:hAnsi="Times New Roman;Times;serif"/>
          <w:sz w:val="24"/>
        </w:rPr>
        <w:t>The Company is the sole and exclusive owner, free and clear of any Lien, except Permitted Liens of each item of Company Intellectual Property owned or purported to be owned and used by the Company in the conduct of its business currently conducted, other than Intellectual Property that is licensed to the Company and Intellectual Property that is available generally to the public without the requirement of a license.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bookmarkStart w:id="2361" w:name="_Toc333516716"/>
      <w:bookmarkStart w:id="2362" w:name="_Toc333516545"/>
      <w:bookmarkEnd w:id="2361"/>
      <w:bookmarkEnd w:id="2362"/>
      <w:r>
        <w:rPr>
          <w:rFonts w:ascii="Times New Roman;Times;serif" w:hAnsi="Times New Roman;Times;serif"/>
          <w:sz w:val="24"/>
          <w:u w:val="single"/>
        </w:rPr>
        <w:t>Schedule 3.23(e)</w:t>
      </w:r>
      <w:r>
        <w:rPr>
          <w:rFonts w:ascii="Arial;Helvetica;sans-serif" w:hAnsi="Arial;Helvetica;sans-serif"/>
          <w:sz w:val="21"/>
        </w:rPr>
        <w:t xml:space="preserve"> </w:t>
      </w:r>
      <w:r>
        <w:rPr>
          <w:rFonts w:ascii="Times New Roman;Times;serif" w:hAnsi="Times New Roman;Times;serif"/>
          <w:sz w:val="24"/>
        </w:rPr>
        <w:t>lists all works of original authorship both owned by the Company and prepared by or on behalf of the Company (including Software programs), which works are material to the conduct of the Business of the Company, regardless of whether the Company has obtained or is seeking a copyright registration for such works.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bookmarkStart w:id="2363" w:name="_Toc333516717"/>
      <w:bookmarkStart w:id="2364" w:name="_Toc333516546"/>
      <w:bookmarkEnd w:id="2363"/>
      <w:bookmarkEnd w:id="2364"/>
      <w:r>
        <w:rPr>
          <w:rFonts w:ascii="Times New Roman;Times;serif" w:hAnsi="Times New Roman;Times;serif"/>
          <w:sz w:val="24"/>
        </w:rPr>
        <w:t>To the Knowledge of the Sellers, the operations of the Company as currently conducted do not infringe or misappropriate the Intellectual Property of any third party or constitute unfair competition or unfair trade practices under the Laws of any jurisdiction.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(g)</w:t>
      </w:r>
      <w:bookmarkStart w:id="2365" w:name="_Toc333516718"/>
      <w:bookmarkStart w:id="2366" w:name="_Toc333516547"/>
      <w:bookmarkEnd w:id="2365"/>
      <w:bookmarkEnd w:id="2366"/>
      <w:r>
        <w:rPr>
          <w:rFonts w:ascii="Times New Roman;Times;serif" w:hAnsi="Times New Roman;Times;serif"/>
          <w:sz w:val="24"/>
        </w:rPr>
        <w:t>To the Knowledge of the Sellers, no Person is infringing or misappropriating any Company Intellectual Property that is owned by or exclusively licensed to the Company.</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3.25</w:t>
      </w:r>
      <w:bookmarkStart w:id="2367" w:name="_Toc333516549"/>
      <w:bookmarkStart w:id="2368" w:name="_Toc228467089"/>
      <w:bookmarkStart w:id="2369" w:name="_Toc493079744"/>
      <w:bookmarkStart w:id="2370" w:name="_Toc491265009"/>
      <w:bookmarkStart w:id="2371" w:name="_Toc491263224"/>
      <w:bookmarkStart w:id="2372" w:name="_Toc491250876"/>
      <w:bookmarkStart w:id="2373" w:name="_Toc491244319"/>
      <w:bookmarkStart w:id="2374" w:name="_Toc490572270"/>
      <w:bookmarkStart w:id="2375" w:name="_Toc488826777"/>
      <w:bookmarkStart w:id="2376" w:name="_Toc488825184"/>
      <w:bookmarkStart w:id="2377" w:name="_Toc445397431"/>
      <w:bookmarkStart w:id="2378" w:name="_Toc441652965"/>
      <w:bookmarkStart w:id="2379" w:name="_Toc343001469"/>
      <w:bookmarkStart w:id="2380" w:name="_Toc341780930"/>
      <w:bookmarkStart w:id="2381" w:name="_Toc341776356"/>
      <w:bookmarkStart w:id="2382" w:name="_Toc341771327"/>
      <w:bookmarkStart w:id="2383" w:name="_Toc340837417"/>
      <w:bookmarkStart w:id="2384" w:name="_Toc340828702"/>
      <w:bookmarkStart w:id="2385" w:name="_Toc340814373"/>
      <w:bookmarkStart w:id="2386" w:name="_Toc340814273"/>
      <w:bookmarkStart w:id="2387" w:name="_Toc340760318"/>
      <w:bookmarkStart w:id="2388" w:name="_Toc340759940"/>
      <w:bookmarkStart w:id="2389" w:name="_Toc340757477"/>
      <w:bookmarkStart w:id="2390" w:name="_Toc338754088"/>
      <w:bookmarkStart w:id="2391" w:name="_Toc338753935"/>
      <w:bookmarkStart w:id="2392" w:name="_Toc338753578"/>
      <w:bookmarkStart w:id="2393" w:name="_Toc338751648"/>
      <w:bookmarkStart w:id="2394" w:name="_Toc337829183"/>
      <w:bookmarkStart w:id="2395" w:name="_Toc337828012"/>
      <w:bookmarkStart w:id="2396" w:name="_Toc337827816"/>
      <w:bookmarkStart w:id="2397" w:name="_Toc337827447"/>
      <w:bookmarkStart w:id="2398" w:name="_Toc337826797"/>
      <w:bookmarkStart w:id="2399" w:name="_Toc334637507"/>
      <w:bookmarkStart w:id="2400" w:name="_Toc333517011"/>
      <w:bookmarkStart w:id="2401" w:name="_Toc333516929"/>
      <w:bookmarkStart w:id="2402" w:name="_Toc333516847"/>
      <w:bookmarkStart w:id="2403" w:name="_Toc333516720"/>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r>
        <w:rPr>
          <w:rFonts w:ascii="Times New Roman;Times;serif" w:hAnsi="Times New Roman;Times;serif"/>
          <w:sz w:val="24"/>
        </w:rPr>
        <w:t xml:space="preserve">Software.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404" w:name="_Toc333516721"/>
      <w:bookmarkStart w:id="2405" w:name="_Toc333516550"/>
      <w:bookmarkEnd w:id="2404"/>
      <w:bookmarkEnd w:id="2405"/>
      <w:r>
        <w:rPr>
          <w:rFonts w:ascii="Times New Roman;Times;serif" w:hAnsi="Times New Roman;Times;serif"/>
          <w:sz w:val="24"/>
          <w:u w:val="single"/>
        </w:rPr>
        <w:t>Schedule 3.24(a)</w:t>
      </w:r>
      <w:r>
        <w:rPr>
          <w:rFonts w:ascii="Arial;Helvetica;sans-serif" w:hAnsi="Arial;Helvetica;sans-serif"/>
          <w:sz w:val="21"/>
        </w:rPr>
        <w:t xml:space="preserve"> </w:t>
      </w:r>
      <w:r>
        <w:rPr>
          <w:rFonts w:ascii="Times New Roman;Times;serif" w:hAnsi="Times New Roman;Times;serif"/>
          <w:sz w:val="24"/>
        </w:rPr>
        <w:t>sets forth a correct and complete list of the agreements for Company Licensed Software other than licenses to Company to use commercially available off-the-shelf Software.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406" w:name="_Toc333516722"/>
      <w:bookmarkStart w:id="2407" w:name="_Toc333516551"/>
      <w:bookmarkEnd w:id="2406"/>
      <w:bookmarkEnd w:id="2407"/>
      <w:r>
        <w:rPr>
          <w:rFonts w:ascii="Times New Roman;Times;serif" w:hAnsi="Times New Roman;Times;serif"/>
          <w:sz w:val="24"/>
        </w:rPr>
        <w:t>None of the Company Proprietary Software is subject to any contractual obligation or condition (including any obligation or condition under any “open source” license to which Company has agreed) that: (i) could or does require, or could or does condition the use or distribution of such Company Proprietary Software on, the disclosure, licensing or distribution of any source code for any portion of such Company Proprietary Software; or (ii) could or does otherwise impose any material limitation, restriction or condition on the right or ability of the Company to use or distribute any Company Proprietary Software.</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2408" w:name="_Toc333516723"/>
      <w:bookmarkStart w:id="2409" w:name="_Toc333516552"/>
      <w:bookmarkEnd w:id="2408"/>
      <w:bookmarkEnd w:id="2409"/>
      <w:r>
        <w:rPr>
          <w:rFonts w:ascii="Times New Roman;Times;serif" w:hAnsi="Times New Roman;Times;serif"/>
          <w:sz w:val="24"/>
        </w:rPr>
        <w:t>To the Knowledge of the Sellers, none of the Company Software contains any material programming defect, error or bug that is outside the scope of programming defects, errors and bugs typically corrected in the Ordinary Course of the Company’s software maintenance procedures and programs and that, if such defect, error or bug were not corrected, would materially and adversely affect the Company’s operations.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bookmarkStart w:id="2410" w:name="_Toc333516724"/>
      <w:bookmarkStart w:id="2411" w:name="_Toc333516553"/>
      <w:bookmarkEnd w:id="2410"/>
      <w:bookmarkEnd w:id="2411"/>
      <w:r>
        <w:rPr>
          <w:rFonts w:ascii="Times New Roman;Times;serif" w:hAnsi="Times New Roman;Times;serif"/>
          <w:sz w:val="24"/>
        </w:rPr>
        <w:t>Except as disclosed in Schedule 3.24(d), the source code for Company Proprietary Software currently in use by the Company or that is subject to any license arrangement is maintained in confidence consistent with commercially reasonable effort and generally recognized industry practices.</w:t>
      </w:r>
      <w:r>
        <w:rPr>
          <w:rFonts w:ascii="Arial;Helvetica;sans-serif" w:hAnsi="Arial;Helvetica;sans-serif"/>
          <w:sz w:val="21"/>
        </w:rPr>
        <w:t xml:space="preserve">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3.26</w:t>
      </w:r>
      <w:bookmarkStart w:id="2412" w:name="_Toc228467090"/>
      <w:bookmarkStart w:id="2413" w:name="_Toc493079745"/>
      <w:bookmarkStart w:id="2414" w:name="_Toc491265010"/>
      <w:bookmarkStart w:id="2415" w:name="_Toc491263225"/>
      <w:bookmarkStart w:id="2416" w:name="_Toc491250877"/>
      <w:bookmarkStart w:id="2417" w:name="_Toc491244320"/>
      <w:bookmarkStart w:id="2418" w:name="_Toc490572271"/>
      <w:bookmarkStart w:id="2419" w:name="_Toc488826778"/>
      <w:bookmarkStart w:id="2420" w:name="_Toc488825185"/>
      <w:bookmarkStart w:id="2421" w:name="_Toc445397432"/>
      <w:bookmarkStart w:id="2422" w:name="_Toc441652966"/>
      <w:bookmarkStart w:id="2423" w:name="_Toc343001470"/>
      <w:bookmarkStart w:id="2424" w:name="_Toc341780931"/>
      <w:bookmarkStart w:id="2425" w:name="_Toc341776357"/>
      <w:bookmarkStart w:id="2426" w:name="_Toc341771328"/>
      <w:bookmarkStart w:id="2427" w:name="_Toc340837418"/>
      <w:bookmarkStart w:id="2428" w:name="_Toc340828703"/>
      <w:bookmarkStart w:id="2429" w:name="_Toc340814374"/>
      <w:bookmarkStart w:id="2430" w:name="_Toc340814274"/>
      <w:bookmarkStart w:id="2431" w:name="_Toc340760319"/>
      <w:bookmarkStart w:id="2432" w:name="_Toc340759941"/>
      <w:bookmarkStart w:id="2433" w:name="_Toc340757478"/>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r>
        <w:rPr>
          <w:rFonts w:ascii="Times New Roman;Times;serif" w:hAnsi="Times New Roman;Times;serif"/>
          <w:sz w:val="24"/>
        </w:rPr>
        <w:t>Licenses.  </w:t>
      </w:r>
      <w:r>
        <w:rPr>
          <w:rFonts w:ascii="Times New Roman;Times;serif" w:hAnsi="Times New Roman;Times;serif"/>
          <w:sz w:val="24"/>
          <w:u w:val="single"/>
        </w:rPr>
        <w:t>Schedule 3.25</w:t>
      </w:r>
      <w:r>
        <w:rPr>
          <w:rFonts w:ascii="Times New Roman;Times;serif" w:hAnsi="Times New Roman;Times;serif"/>
          <w:sz w:val="24"/>
        </w:rPr>
        <w:t xml:space="preserve"> is a correct and complete list of all Licenses held by the Company, and to the Sellers’ Knowledge, held by each Licensed Professional.  To the Knowledge of the Sellers, the execution, delivery and the consummation of the transaction contemplated by this Agreement shall not by themselves adversely affect any such License, or require consent from, or notice to, any Governmental Entity.  The Company, and to the Sellers’ Knowledge, each Licensed Professional have taken all commercially reasonable actions to maintain each License.  No loss, suspension or expiration of any License is pending or, to the Knowledge of the Sellers, threatened (other than expiration upon the end of any term).</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3.27</w:t>
      </w:r>
      <w:bookmarkStart w:id="2434" w:name="_Toc333516557"/>
      <w:bookmarkStart w:id="2435" w:name="_Toc228467091"/>
      <w:bookmarkStart w:id="2436" w:name="_Toc493079746"/>
      <w:bookmarkStart w:id="2437" w:name="_Toc491265011"/>
      <w:bookmarkStart w:id="2438" w:name="_Toc491263226"/>
      <w:bookmarkStart w:id="2439" w:name="_Toc491250878"/>
      <w:bookmarkStart w:id="2440" w:name="_Toc491244321"/>
      <w:bookmarkStart w:id="2441" w:name="_Toc490572272"/>
      <w:bookmarkStart w:id="2442" w:name="_Toc488826779"/>
      <w:bookmarkStart w:id="2443" w:name="_Toc488825186"/>
      <w:bookmarkStart w:id="2444" w:name="_Toc445397433"/>
      <w:bookmarkStart w:id="2445" w:name="_Toc441652967"/>
      <w:bookmarkStart w:id="2446" w:name="_Toc343001471"/>
      <w:bookmarkStart w:id="2447" w:name="_Toc341780932"/>
      <w:bookmarkStart w:id="2448" w:name="_Toc341776358"/>
      <w:bookmarkStart w:id="2449" w:name="_Toc341771329"/>
      <w:bookmarkStart w:id="2450" w:name="_Toc340837419"/>
      <w:bookmarkStart w:id="2451" w:name="_Toc340828704"/>
      <w:bookmarkStart w:id="2452" w:name="_Toc340814375"/>
      <w:bookmarkStart w:id="2453" w:name="_Toc340814275"/>
      <w:bookmarkStart w:id="2454" w:name="_Toc340760320"/>
      <w:bookmarkStart w:id="2455" w:name="_Toc340759942"/>
      <w:bookmarkStart w:id="2456" w:name="_Toc340757479"/>
      <w:bookmarkStart w:id="2457" w:name="_Toc338754093"/>
      <w:bookmarkStart w:id="2458" w:name="_Toc338753940"/>
      <w:bookmarkStart w:id="2459" w:name="_Toc338753583"/>
      <w:bookmarkStart w:id="2460" w:name="_Toc338751653"/>
      <w:bookmarkStart w:id="2461" w:name="_Toc337829188"/>
      <w:bookmarkStart w:id="2462" w:name="_Toc337828017"/>
      <w:bookmarkStart w:id="2463" w:name="_Toc337827821"/>
      <w:bookmarkStart w:id="2464" w:name="_Toc337827452"/>
      <w:bookmarkStart w:id="2465" w:name="_Toc337826802"/>
      <w:bookmarkStart w:id="2466" w:name="_Toc334637511"/>
      <w:bookmarkStart w:id="2467" w:name="_Toc333517015"/>
      <w:bookmarkStart w:id="2468" w:name="_Toc333516933"/>
      <w:bookmarkStart w:id="2469" w:name="_Toc333516851"/>
      <w:bookmarkStart w:id="2470" w:name="_Toc333516728"/>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r>
        <w:rPr>
          <w:rFonts w:ascii="Times New Roman;Times;serif" w:hAnsi="Times New Roman;Times;serif"/>
          <w:sz w:val="24"/>
        </w:rPr>
        <w:t>Bank Accounts and Powers of Attorney</w:t>
      </w:r>
      <w:bookmarkStart w:id="2471" w:name="_Toc340757480"/>
      <w:bookmarkStart w:id="2472" w:name="_Toc337827453"/>
      <w:bookmarkEnd w:id="2471"/>
      <w:bookmarkEnd w:id="2472"/>
      <w:r>
        <w:rPr>
          <w:rFonts w:ascii="Times New Roman;Times;serif" w:hAnsi="Times New Roman;Times;serif"/>
          <w:sz w:val="24"/>
        </w:rPr>
        <w:t>.  </w:t>
      </w:r>
      <w:r>
        <w:rPr>
          <w:rFonts w:ascii="Times New Roman;Times;serif" w:hAnsi="Times New Roman;Times;serif"/>
          <w:sz w:val="24"/>
          <w:u w:val="single"/>
        </w:rPr>
        <w:t>Schedule 3.26</w:t>
      </w:r>
      <w:r>
        <w:rPr>
          <w:rFonts w:ascii="Times New Roman;Times;serif" w:hAnsi="Times New Roman;Times;serif"/>
          <w:sz w:val="24"/>
        </w:rPr>
        <w:t xml:space="preserve"> sets forth (a) the names and locations of all banks, trusts, companies, savings and loan associations and other financial institutions at which the Company maintains safe deposit boxes, checking accounts, lock box or other accounts of any nature with respect to its business, and (b) the names of all persons authorized to draw thereon, make withdrawals therefrom or have access thereto.  </w:t>
      </w:r>
      <w:r>
        <w:rPr>
          <w:rFonts w:ascii="Times New Roman;Times;serif" w:hAnsi="Times New Roman;Times;serif"/>
          <w:sz w:val="24"/>
          <w:u w:val="single"/>
        </w:rPr>
        <w:t>Schedule 3.26</w:t>
      </w:r>
      <w:r>
        <w:rPr>
          <w:rFonts w:ascii="Times New Roman;Times;serif" w:hAnsi="Times New Roman;Times;serif"/>
          <w:sz w:val="24"/>
        </w:rPr>
        <w:t xml:space="preserve"> also sets forth the name of each Person, firm, corporation or business organization holding a general or special power of attorney from the Company and a summary of the terms thereof.</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3.28</w:t>
      </w:r>
      <w:bookmarkStart w:id="2473" w:name="_Toc337827454"/>
      <w:bookmarkStart w:id="2474" w:name="_Toc337826803"/>
      <w:bookmarkStart w:id="2475" w:name="_Toc322071038"/>
      <w:bookmarkStart w:id="2476" w:name="_Toc322069615"/>
      <w:bookmarkStart w:id="2477" w:name="_Toc303324389"/>
      <w:bookmarkStart w:id="2478" w:name="_Toc303323943"/>
      <w:bookmarkStart w:id="2479" w:name="_Toc302720301"/>
      <w:bookmarkStart w:id="2480" w:name="_Toc302653307"/>
      <w:bookmarkStart w:id="2481" w:name="_Toc302652034"/>
      <w:bookmarkStart w:id="2482" w:name="_Toc291766624"/>
      <w:bookmarkStart w:id="2483" w:name="_Toc289231473"/>
      <w:bookmarkStart w:id="2484" w:name="_Toc289230455"/>
      <w:bookmarkStart w:id="2485" w:name="_Toc289230302"/>
      <w:bookmarkStart w:id="2486" w:name="_Toc280770938"/>
      <w:bookmarkStart w:id="2487" w:name="_Toc280769519"/>
      <w:bookmarkStart w:id="2488" w:name="_Toc280768968"/>
      <w:bookmarkStart w:id="2489" w:name="_Toc280175625"/>
      <w:bookmarkStart w:id="2490" w:name="_Toc280174208"/>
      <w:bookmarkStart w:id="2491" w:name="_Toc280165660"/>
      <w:bookmarkStart w:id="2492" w:name="_Toc280164842"/>
      <w:bookmarkStart w:id="2493" w:name="_Toc280164262"/>
      <w:bookmarkStart w:id="2494" w:name="_Toc280114575"/>
      <w:bookmarkStart w:id="2495" w:name="_Toc280114032"/>
      <w:bookmarkStart w:id="2496" w:name="_Toc248806244"/>
      <w:bookmarkStart w:id="2497" w:name="_Toc247420512"/>
      <w:bookmarkStart w:id="2498" w:name="_Toc231704728"/>
      <w:bookmarkStart w:id="2499" w:name="_Toc231182193"/>
      <w:bookmarkStart w:id="2500" w:name="_Toc231176565"/>
      <w:bookmarkStart w:id="2501" w:name="_Toc231176004"/>
      <w:bookmarkStart w:id="2502" w:name="_Toc231174725"/>
      <w:bookmarkStart w:id="2503" w:name="_Toc229972310"/>
      <w:bookmarkStart w:id="2504" w:name="_Toc229968699"/>
      <w:bookmarkStart w:id="2505" w:name="_Toc229968448"/>
      <w:bookmarkStart w:id="2506" w:name="_Toc217726176"/>
      <w:bookmarkStart w:id="2507" w:name="_Toc217715447"/>
      <w:bookmarkStart w:id="2508" w:name="_Toc217714523"/>
      <w:bookmarkStart w:id="2509" w:name="_Toc216257280"/>
      <w:bookmarkStart w:id="2510" w:name="_Toc228467092"/>
      <w:bookmarkStart w:id="2511" w:name="_Toc493079747"/>
      <w:bookmarkStart w:id="2512" w:name="_Toc491265012"/>
      <w:bookmarkStart w:id="2513" w:name="_Toc491263227"/>
      <w:bookmarkStart w:id="2514" w:name="_Toc491250879"/>
      <w:bookmarkStart w:id="2515" w:name="_Toc491244322"/>
      <w:bookmarkStart w:id="2516" w:name="_Toc490572273"/>
      <w:bookmarkStart w:id="2517" w:name="_Toc488826780"/>
      <w:bookmarkStart w:id="2518" w:name="_Toc488825187"/>
      <w:bookmarkStart w:id="2519" w:name="_Toc445397434"/>
      <w:bookmarkStart w:id="2520" w:name="_Toc441652968"/>
      <w:bookmarkStart w:id="2521" w:name="_Toc343001472"/>
      <w:bookmarkStart w:id="2522" w:name="_Toc341780933"/>
      <w:bookmarkStart w:id="2523" w:name="_Toc341776359"/>
      <w:bookmarkStart w:id="2524" w:name="_Toc341771330"/>
      <w:bookmarkStart w:id="2525" w:name="_Toc340837420"/>
      <w:bookmarkStart w:id="2526" w:name="_Toc340828705"/>
      <w:bookmarkStart w:id="2527" w:name="_Toc340814376"/>
      <w:bookmarkStart w:id="2528" w:name="_Toc340814276"/>
      <w:bookmarkStart w:id="2529" w:name="_Toc340760321"/>
      <w:bookmarkStart w:id="2530" w:name="_Toc340759943"/>
      <w:bookmarkStart w:id="2531" w:name="_Toc340757481"/>
      <w:bookmarkStart w:id="2532" w:name="_Toc338754094"/>
      <w:bookmarkStart w:id="2533" w:name="_Toc338753941"/>
      <w:bookmarkStart w:id="2534" w:name="_Toc338753584"/>
      <w:bookmarkStart w:id="2535" w:name="_Toc338751654"/>
      <w:bookmarkStart w:id="2536" w:name="_Toc337829189"/>
      <w:bookmarkStart w:id="2537" w:name="_Toc337828018"/>
      <w:bookmarkStart w:id="2538" w:name="_Toc33782782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r>
        <w:rPr>
          <w:rFonts w:ascii="Times New Roman;Times;serif" w:hAnsi="Times New Roman;Times;serif"/>
          <w:sz w:val="24"/>
        </w:rPr>
        <w:t>Accounting Records</w:t>
      </w:r>
      <w:bookmarkStart w:id="2539" w:name="_Toc337827823"/>
      <w:bookmarkEnd w:id="2539"/>
      <w:r>
        <w:rPr>
          <w:rFonts w:ascii="Times New Roman;Times;serif" w:hAnsi="Times New Roman;Times;serif"/>
          <w:sz w:val="24"/>
        </w:rPr>
        <w:t xml:space="preserve">.  Except as reflected in the Financial Statements or in </w:t>
      </w:r>
      <w:r>
        <w:rPr>
          <w:rFonts w:ascii="Times New Roman;Times;serif" w:hAnsi="Times New Roman;Times;serif"/>
          <w:sz w:val="24"/>
          <w:u w:val="single"/>
        </w:rPr>
        <w:t>Schedule 3.27</w:t>
      </w:r>
      <w:r>
        <w:rPr>
          <w:rFonts w:ascii="Times New Roman;Times;serif" w:hAnsi="Times New Roman;Times;serif"/>
          <w:sz w:val="24"/>
        </w:rPr>
        <w:t>, the Company maintains accounting records that fairly and validly reflect, in all material respects, its transactions and maintains accounting controls sufficient to provide reasonable assurances that such transactions are, in all material respects, (a) executed in accordance with management’s general or specific authorization, and (b) recorded as necessary to permit the preparation of financial statements applied on a consistent basis.</w:t>
      </w:r>
    </w:p>
    <w:p>
      <w:pPr>
        <w:pStyle w:val="TextBody"/>
        <w:bidi w:val="0"/>
        <w:spacing w:lineRule="auto" w:line="285"/>
        <w:ind w:left="1530" w:right="0" w:hanging="0"/>
        <w:jc w:val="both"/>
        <w:rPr>
          <w:rFonts w:ascii="Times New Roman;Times;serif" w:hAnsi="Times New Roman;Times;serif"/>
          <w:sz w:val="24"/>
        </w:rPr>
      </w:pPr>
      <w:r>
        <w:rPr>
          <w:rFonts w:ascii="Times New Roman;Times;serif" w:hAnsi="Times New Roman;Times;serif"/>
          <w:sz w:val="24"/>
        </w:rPr>
        <w:t>Section 3.29</w:t>
      </w:r>
      <w:bookmarkStart w:id="2540" w:name="_Toc333516555"/>
      <w:bookmarkStart w:id="2541" w:name="_Toc228467093"/>
      <w:bookmarkStart w:id="2542" w:name="_Toc493079748"/>
      <w:bookmarkStart w:id="2543" w:name="_Toc491265013"/>
      <w:bookmarkStart w:id="2544" w:name="_Toc491263228"/>
      <w:bookmarkStart w:id="2545" w:name="_Toc491250880"/>
      <w:bookmarkStart w:id="2546" w:name="_Toc491244323"/>
      <w:bookmarkStart w:id="2547" w:name="_Toc490572274"/>
      <w:bookmarkStart w:id="2548" w:name="_Toc488826781"/>
      <w:bookmarkStart w:id="2549" w:name="_Toc488825188"/>
      <w:bookmarkStart w:id="2550" w:name="_Toc445397435"/>
      <w:bookmarkStart w:id="2551" w:name="_Toc441652969"/>
      <w:bookmarkStart w:id="2552" w:name="_Toc343001473"/>
      <w:bookmarkStart w:id="2553" w:name="_Toc341780934"/>
      <w:bookmarkStart w:id="2554" w:name="_Toc341776360"/>
      <w:bookmarkStart w:id="2555" w:name="_Toc341771331"/>
      <w:bookmarkStart w:id="2556" w:name="_Toc340837421"/>
      <w:bookmarkStart w:id="2557" w:name="_Toc340828706"/>
      <w:bookmarkStart w:id="2558" w:name="_Toc340814377"/>
      <w:bookmarkStart w:id="2559" w:name="_Toc340814277"/>
      <w:bookmarkStart w:id="2560" w:name="_Toc340760322"/>
      <w:bookmarkStart w:id="2561" w:name="_Toc340759944"/>
      <w:bookmarkStart w:id="2562" w:name="_Toc340757482"/>
      <w:bookmarkStart w:id="2563" w:name="_Toc338754090"/>
      <w:bookmarkStart w:id="2564" w:name="_Toc338753937"/>
      <w:bookmarkStart w:id="2565" w:name="_Toc338753580"/>
      <w:bookmarkStart w:id="2566" w:name="_Toc338751650"/>
      <w:bookmarkStart w:id="2567" w:name="_Toc337829185"/>
      <w:bookmarkStart w:id="2568" w:name="_Toc337828014"/>
      <w:bookmarkStart w:id="2569" w:name="_Toc337827818"/>
      <w:bookmarkStart w:id="2570" w:name="_Toc337827449"/>
      <w:bookmarkStart w:id="2571" w:name="_Toc337826799"/>
      <w:bookmarkStart w:id="2572" w:name="_Toc334637509"/>
      <w:bookmarkStart w:id="2573" w:name="_Toc333517013"/>
      <w:bookmarkStart w:id="2574" w:name="_Toc333516931"/>
      <w:bookmarkStart w:id="2575" w:name="_Toc333516849"/>
      <w:bookmarkStart w:id="2576" w:name="_Toc333516726"/>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r>
        <w:rPr>
          <w:rFonts w:ascii="Times New Roman;Times;serif" w:hAnsi="Times New Roman;Times;serif"/>
          <w:sz w:val="24"/>
        </w:rPr>
        <w:t xml:space="preserve">Brokers, Finders and Investment Bankers.  Except as set forth in </w:t>
      </w:r>
      <w:r>
        <w:rPr>
          <w:rFonts w:ascii="Times New Roman;Times;serif" w:hAnsi="Times New Roman;Times;serif"/>
          <w:sz w:val="24"/>
          <w:u w:val="single"/>
        </w:rPr>
        <w:t>Schedule 3.28</w:t>
      </w:r>
      <w:r>
        <w:rPr>
          <w:rFonts w:ascii="Times New Roman;Times;serif" w:hAnsi="Times New Roman;Times;serif"/>
          <w:sz w:val="24"/>
        </w:rPr>
        <w:t xml:space="preserve">, neither the Company nor any Representative or Affiliate of the Company has employed any broker, finder or investment banker or incurred any liability for any investment banking fees, financial advisory fees, brokerage fees or finders’ fees in connection with the transactions contemplated hereby. </w:t>
      </w:r>
      <w:bookmarkStart w:id="2577" w:name="_Toc337827458"/>
      <w:bookmarkStart w:id="2578" w:name="_Toc337826807"/>
      <w:bookmarkStart w:id="2579" w:name="_Toc322071043"/>
      <w:bookmarkStart w:id="2580" w:name="_Toc322069620"/>
      <w:bookmarkStart w:id="2581" w:name="_Toc303324395"/>
      <w:bookmarkStart w:id="2582" w:name="_Toc303323949"/>
      <w:bookmarkStart w:id="2583" w:name="_Toc302720307"/>
      <w:bookmarkStart w:id="2584" w:name="_Toc302653313"/>
      <w:bookmarkStart w:id="2585" w:name="_Toc302652040"/>
      <w:bookmarkStart w:id="2586" w:name="_Toc291766630"/>
      <w:bookmarkStart w:id="2587" w:name="_Toc289231479"/>
      <w:bookmarkStart w:id="2588" w:name="_Toc289230461"/>
      <w:bookmarkStart w:id="2589" w:name="_Toc289230308"/>
      <w:bookmarkStart w:id="2590" w:name="_Toc280770944"/>
      <w:bookmarkStart w:id="2591" w:name="_Toc280769525"/>
      <w:bookmarkStart w:id="2592" w:name="_Toc280768974"/>
      <w:bookmarkStart w:id="2593" w:name="_Toc280175631"/>
      <w:bookmarkStart w:id="2594" w:name="_Toc280174214"/>
      <w:bookmarkStart w:id="2595" w:name="_Toc280165666"/>
      <w:bookmarkStart w:id="2596" w:name="_Toc280164847"/>
      <w:bookmarkStart w:id="2597" w:name="_Toc280164267"/>
      <w:bookmarkStart w:id="2598" w:name="_Toc280114580"/>
      <w:bookmarkStart w:id="2599" w:name="_Toc280114037"/>
      <w:bookmarkStart w:id="2600" w:name="_Toc248806249"/>
      <w:bookmarkStart w:id="2601" w:name="_Toc247420517"/>
      <w:bookmarkStart w:id="2602" w:name="_Toc231704733"/>
      <w:bookmarkStart w:id="2603" w:name="_Toc231182198"/>
      <w:bookmarkStart w:id="2604" w:name="_Toc231176570"/>
      <w:bookmarkStart w:id="2605" w:name="_Toc231176009"/>
      <w:bookmarkStart w:id="2606" w:name="_Toc231174730"/>
      <w:bookmarkStart w:id="2607" w:name="_Toc229972315"/>
      <w:bookmarkStart w:id="2608" w:name="_Toc340828707"/>
      <w:bookmarkStart w:id="2609" w:name="_Toc340814378"/>
      <w:bookmarkStart w:id="2610" w:name="_Toc340814278"/>
      <w:bookmarkStart w:id="2611" w:name="_Toc340760323"/>
      <w:bookmarkStart w:id="2612" w:name="_Toc340759945"/>
      <w:bookmarkStart w:id="2613" w:name="_Toc340757483"/>
      <w:bookmarkStart w:id="2614" w:name="_Toc338754102"/>
      <w:bookmarkStart w:id="2615" w:name="_Toc338753949"/>
      <w:bookmarkStart w:id="2616" w:name="_Toc338753592"/>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IV</w:t>
      </w:r>
      <w:bookmarkStart w:id="2617" w:name="_Toc333516852"/>
      <w:bookmarkStart w:id="2618" w:name="_Toc333516729"/>
      <w:bookmarkStart w:id="2619" w:name="_Toc333516558"/>
      <w:bookmarkEnd w:id="2617"/>
      <w:bookmarkEnd w:id="2618"/>
      <w:bookmarkEnd w:id="2619"/>
      <w:r>
        <w:rPr>
          <w:rFonts w:ascii="Arial;Helvetica;sans-serif" w:hAnsi="Arial;Helvetica;sans-serif"/>
          <w:b/>
          <w:sz w:val="21"/>
        </w:rPr>
        <w:t>​</w:t>
      </w:r>
      <w:r>
        <w:rPr>
          <w:rFonts w:ascii="Times New Roman;Times;serif" w:hAnsi="Times New Roman;Times;serif"/>
          <w:b/>
          <w:sz w:val="24"/>
        </w:rPr>
        <w:br/>
      </w:r>
      <w:bookmarkStart w:id="2620" w:name="_Toc228467094"/>
      <w:bookmarkStart w:id="2621" w:name="_Toc493079749"/>
      <w:bookmarkStart w:id="2622" w:name="_Toc491265014"/>
      <w:bookmarkStart w:id="2623" w:name="_Toc491263229"/>
      <w:bookmarkStart w:id="2624" w:name="_Toc491250881"/>
      <w:bookmarkStart w:id="2625" w:name="_Toc491244324"/>
      <w:bookmarkStart w:id="2626" w:name="_Toc490572275"/>
      <w:bookmarkStart w:id="2627" w:name="_Toc488826783"/>
      <w:bookmarkStart w:id="2628" w:name="_Toc488825190"/>
      <w:bookmarkStart w:id="2629" w:name="_Toc445397437"/>
      <w:bookmarkStart w:id="2630" w:name="_Toc441652970"/>
      <w:bookmarkStart w:id="2631" w:name="_Toc343001474"/>
      <w:bookmarkStart w:id="2632" w:name="_Toc341780936"/>
      <w:bookmarkStart w:id="2633" w:name="_Toc341776362"/>
      <w:bookmarkStart w:id="2634" w:name="_Toc341771333"/>
      <w:bookmarkStart w:id="2635" w:name="_Toc340837423"/>
      <w:bookmarkStart w:id="2636" w:name="_Toc340828708"/>
      <w:bookmarkStart w:id="2637" w:name="_Toc340814379"/>
      <w:bookmarkStart w:id="2638" w:name="_Toc340814279"/>
      <w:bookmarkStart w:id="2639" w:name="_Toc340760324"/>
      <w:bookmarkStart w:id="2640" w:name="_Toc340759946"/>
      <w:bookmarkStart w:id="2641" w:name="_Toc340757485"/>
      <w:bookmarkStart w:id="2642" w:name="_Toc338754103"/>
      <w:bookmarkStart w:id="2643" w:name="_Toc338753950"/>
      <w:bookmarkStart w:id="2644" w:name="_Toc338753593"/>
      <w:bookmarkStart w:id="2645" w:name="_Toc338751659"/>
      <w:bookmarkStart w:id="2646" w:name="_Toc337829194"/>
      <w:bookmarkStart w:id="2647" w:name="_Toc337828023"/>
      <w:bookmarkStart w:id="2648" w:name="_Toc337827828"/>
      <w:bookmarkStart w:id="2649" w:name="_Toc337827459"/>
      <w:bookmarkStart w:id="2650" w:name="_Toc337826808"/>
      <w:bookmarkStart w:id="2651" w:name="_Toc334637512"/>
      <w:bookmarkStart w:id="2652" w:name="_Toc333517016"/>
      <w:bookmarkStart w:id="2653" w:name="_Toc333516934"/>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r>
        <w:rPr>
          <w:rFonts w:ascii="Times New Roman;Times;serif" w:hAnsi="Times New Roman;Times;serif"/>
          <w:b/>
          <w:sz w:val="24"/>
        </w:rPr>
        <w:t>REPRESENTATIONS AND WARRANTIES RELATING TO THE SELLERS</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Each Seller, severally and jointly, hereby represents and warrants to the Purchaser, as of the Closing Date, the following:</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4.1</w:t>
      </w:r>
      <w:bookmarkStart w:id="2654" w:name="_Toc333516560"/>
      <w:bookmarkStart w:id="2655" w:name="_Toc228467095"/>
      <w:bookmarkStart w:id="2656" w:name="_Toc493079750"/>
      <w:bookmarkStart w:id="2657" w:name="_Toc491265015"/>
      <w:bookmarkStart w:id="2658" w:name="_Toc491263230"/>
      <w:bookmarkStart w:id="2659" w:name="_Toc491250882"/>
      <w:bookmarkStart w:id="2660" w:name="_Toc491244325"/>
      <w:bookmarkStart w:id="2661" w:name="_Toc490572276"/>
      <w:bookmarkStart w:id="2662" w:name="_Toc488826784"/>
      <w:bookmarkStart w:id="2663" w:name="_Toc488825191"/>
      <w:bookmarkStart w:id="2664" w:name="_Toc445397438"/>
      <w:bookmarkStart w:id="2665" w:name="_Toc441652971"/>
      <w:bookmarkStart w:id="2666" w:name="_Toc343001475"/>
      <w:bookmarkStart w:id="2667" w:name="_Toc341780937"/>
      <w:bookmarkStart w:id="2668" w:name="_Toc341776363"/>
      <w:bookmarkStart w:id="2669" w:name="_Toc341771334"/>
      <w:bookmarkStart w:id="2670" w:name="_Toc340837424"/>
      <w:bookmarkStart w:id="2671" w:name="_Toc340828709"/>
      <w:bookmarkStart w:id="2672" w:name="_Toc340814380"/>
      <w:bookmarkStart w:id="2673" w:name="_Toc340814280"/>
      <w:bookmarkStart w:id="2674" w:name="_Toc340760325"/>
      <w:bookmarkStart w:id="2675" w:name="_Toc340759947"/>
      <w:bookmarkStart w:id="2676" w:name="_Toc340757486"/>
      <w:bookmarkStart w:id="2677" w:name="_Toc338754105"/>
      <w:bookmarkStart w:id="2678" w:name="_Toc338753952"/>
      <w:bookmarkStart w:id="2679" w:name="_Toc338753595"/>
      <w:bookmarkStart w:id="2680" w:name="_Toc338751661"/>
      <w:bookmarkStart w:id="2681" w:name="_Toc337829196"/>
      <w:bookmarkStart w:id="2682" w:name="_Toc337828025"/>
      <w:bookmarkStart w:id="2683" w:name="_Toc337827830"/>
      <w:bookmarkStart w:id="2684" w:name="_Toc337827461"/>
      <w:bookmarkStart w:id="2685" w:name="_Toc337826810"/>
      <w:bookmarkStart w:id="2686" w:name="_Toc334637514"/>
      <w:bookmarkStart w:id="2687" w:name="_Toc333517018"/>
      <w:bookmarkStart w:id="2688" w:name="_Toc333516936"/>
      <w:bookmarkStart w:id="2689" w:name="_Toc333516854"/>
      <w:bookmarkStart w:id="2690" w:name="_Toc333516731"/>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r>
        <w:rPr>
          <w:rFonts w:ascii="Times New Roman;Times;serif" w:hAnsi="Times New Roman;Times;serif"/>
          <w:sz w:val="24"/>
        </w:rPr>
        <w:t>Authorization.  Each Seller has the right, power, authority and capacity to execute and deliver this Agreement and the Company Ancillary Documents to which such Seller is a party and to perform such Seller’s obligations hereunder and thereunder and to consummate the transactions contemplated hereby and thereby.  This Agreement and each of the Company Ancillary Documents to which each Seller is a party have been duly executed and delivered by such Seller, and assuming due authorization, execution and delivery thereof by the other Parties hereto and thereto, constitute the valid and binding agreement of such Seller, enforceable against such Seller in accordance with their terms, except as such enforceability (a) may be limited by bankruptcy, insolvency, moratorium or other similar Laws affecting or relating to enforcement of creditors’ rights generally, and (b) is subject to general principles of equity (regardless of whether enforceability is considered in a proceeding at law or in equity).</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4.2</w:t>
      </w:r>
      <w:bookmarkStart w:id="2691" w:name="_Toc333516561"/>
      <w:bookmarkStart w:id="2692" w:name="_Toc228467096"/>
      <w:bookmarkStart w:id="2693" w:name="_Toc493079751"/>
      <w:bookmarkStart w:id="2694" w:name="_Toc491265016"/>
      <w:bookmarkStart w:id="2695" w:name="_Toc491263231"/>
      <w:bookmarkStart w:id="2696" w:name="_Toc491250883"/>
      <w:bookmarkStart w:id="2697" w:name="_Toc491244326"/>
      <w:bookmarkStart w:id="2698" w:name="_Toc490572277"/>
      <w:bookmarkStart w:id="2699" w:name="_Toc488826785"/>
      <w:bookmarkStart w:id="2700" w:name="_Toc488825192"/>
      <w:bookmarkStart w:id="2701" w:name="_Toc445397439"/>
      <w:bookmarkStart w:id="2702" w:name="_Toc441652972"/>
      <w:bookmarkStart w:id="2703" w:name="_Toc343001476"/>
      <w:bookmarkStart w:id="2704" w:name="_Toc341780938"/>
      <w:bookmarkStart w:id="2705" w:name="_Toc341776364"/>
      <w:bookmarkStart w:id="2706" w:name="_Toc341771335"/>
      <w:bookmarkStart w:id="2707" w:name="_Toc340837425"/>
      <w:bookmarkStart w:id="2708" w:name="_Toc340828710"/>
      <w:bookmarkStart w:id="2709" w:name="_Toc340814381"/>
      <w:bookmarkStart w:id="2710" w:name="_Toc340814281"/>
      <w:bookmarkStart w:id="2711" w:name="_Toc340760326"/>
      <w:bookmarkStart w:id="2712" w:name="_Toc340759948"/>
      <w:bookmarkStart w:id="2713" w:name="_Toc340757487"/>
      <w:bookmarkStart w:id="2714" w:name="_Toc338754106"/>
      <w:bookmarkStart w:id="2715" w:name="_Toc338753953"/>
      <w:bookmarkStart w:id="2716" w:name="_Toc338753596"/>
      <w:bookmarkStart w:id="2717" w:name="_Toc338751662"/>
      <w:bookmarkStart w:id="2718" w:name="_Toc337829197"/>
      <w:bookmarkStart w:id="2719" w:name="_Toc337828026"/>
      <w:bookmarkStart w:id="2720" w:name="_Toc337827831"/>
      <w:bookmarkStart w:id="2721" w:name="_Toc337827462"/>
      <w:bookmarkStart w:id="2722" w:name="_Toc337826811"/>
      <w:bookmarkStart w:id="2723" w:name="_Toc334637515"/>
      <w:bookmarkStart w:id="2724" w:name="_Toc333517019"/>
      <w:bookmarkStart w:id="2725" w:name="_Toc333516937"/>
      <w:bookmarkStart w:id="2726" w:name="_Toc333516855"/>
      <w:bookmarkStart w:id="2727" w:name="_Toc333516732"/>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r>
        <w:rPr>
          <w:rFonts w:ascii="Times New Roman;Times;serif" w:hAnsi="Times New Roman;Times;serif"/>
          <w:sz w:val="24"/>
        </w:rPr>
        <w:t>Absence of Restrictions and Conflicts.  </w:t>
      </w:r>
      <w:bookmarkStart w:id="2728" w:name="_Toc333516733"/>
      <w:bookmarkStart w:id="2729" w:name="_Toc333516562"/>
      <w:bookmarkEnd w:id="2728"/>
      <w:bookmarkEnd w:id="2729"/>
      <w:r>
        <w:rPr>
          <w:rFonts w:ascii="Times New Roman;Times;serif" w:hAnsi="Times New Roman;Times;serif"/>
          <w:sz w:val="24"/>
        </w:rPr>
        <w:t>The execution and delivery by each Seller of this Agreement and the Company Ancillary Documents to which such Seller is a party does not, and the performance of such Seller’s obligations hereunder and thereunder will not, (a) conflict with or violate any Law applicable to such Seller (with or without notice or lapse of time or both), or by which any of such Seller’s properties or assets is bound, (b) violate or conflict with, constitute a breach of or default under, result in the loss of any benefit under, permit the acceleration of any obligation under or create in any party the right to terminate, modify or cancel, (i) any contract, will, agreement, permit, franchise, license or other instrument applicable to such Seller, or (ii) any Order of any Governmental Entity to which such Seller is a party or by which any of such Seller’s properties are bound, or (c) conflict with or violate any arbitration award applicable to such Seller.</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4.3</w:t>
      </w:r>
      <w:bookmarkStart w:id="2730" w:name="_Toc333516564"/>
      <w:bookmarkStart w:id="2731" w:name="_Toc228467097"/>
      <w:bookmarkStart w:id="2732" w:name="_Toc493079752"/>
      <w:bookmarkStart w:id="2733" w:name="_Toc491265017"/>
      <w:bookmarkStart w:id="2734" w:name="_Toc491263232"/>
      <w:bookmarkStart w:id="2735" w:name="_Toc491250884"/>
      <w:bookmarkStart w:id="2736" w:name="_Toc491244327"/>
      <w:bookmarkStart w:id="2737" w:name="_Toc490572278"/>
      <w:bookmarkStart w:id="2738" w:name="_Toc488826786"/>
      <w:bookmarkStart w:id="2739" w:name="_Toc488825193"/>
      <w:bookmarkStart w:id="2740" w:name="_Toc445397440"/>
      <w:bookmarkStart w:id="2741" w:name="_Toc441652973"/>
      <w:bookmarkStart w:id="2742" w:name="_Toc343001477"/>
      <w:bookmarkStart w:id="2743" w:name="_Toc341780939"/>
      <w:bookmarkStart w:id="2744" w:name="_Toc341776365"/>
      <w:bookmarkStart w:id="2745" w:name="_Toc341771336"/>
      <w:bookmarkStart w:id="2746" w:name="_Toc340837426"/>
      <w:bookmarkStart w:id="2747" w:name="_Toc340828711"/>
      <w:bookmarkStart w:id="2748" w:name="_Toc340814382"/>
      <w:bookmarkStart w:id="2749" w:name="_Toc340814282"/>
      <w:bookmarkStart w:id="2750" w:name="_Toc340760327"/>
      <w:bookmarkStart w:id="2751" w:name="_Toc340759949"/>
      <w:bookmarkStart w:id="2752" w:name="_Toc340757488"/>
      <w:bookmarkStart w:id="2753" w:name="_Toc338754107"/>
      <w:bookmarkStart w:id="2754" w:name="_Toc338753954"/>
      <w:bookmarkStart w:id="2755" w:name="_Toc338753597"/>
      <w:bookmarkStart w:id="2756" w:name="_Toc338751663"/>
      <w:bookmarkStart w:id="2757" w:name="_Toc337829198"/>
      <w:bookmarkStart w:id="2758" w:name="_Toc337828027"/>
      <w:bookmarkStart w:id="2759" w:name="_Toc337827832"/>
      <w:bookmarkStart w:id="2760" w:name="_Toc337827463"/>
      <w:bookmarkStart w:id="2761" w:name="_Toc337826812"/>
      <w:bookmarkStart w:id="2762" w:name="_Toc334637516"/>
      <w:bookmarkStart w:id="2763" w:name="_Toc333517020"/>
      <w:bookmarkStart w:id="2764" w:name="_Toc333516938"/>
      <w:bookmarkStart w:id="2765" w:name="_Toc333516856"/>
      <w:bookmarkStart w:id="2766" w:name="_Toc333516735"/>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Pr>
          <w:rFonts w:ascii="Times New Roman;Times;serif" w:hAnsi="Times New Roman;Times;serif"/>
          <w:sz w:val="24"/>
        </w:rPr>
        <w:t>Ownership of Membership Interests.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767" w:name="_Toc333516736"/>
      <w:bookmarkStart w:id="2768" w:name="_Toc333516565"/>
      <w:bookmarkEnd w:id="2767"/>
      <w:bookmarkEnd w:id="2768"/>
      <w:r>
        <w:rPr>
          <w:rFonts w:ascii="Times New Roman;Times;serif" w:hAnsi="Times New Roman;Times;serif"/>
          <w:sz w:val="24"/>
        </w:rPr>
        <w:t xml:space="preserve">Each Seller has good and valid title to and beneficial ownership of the Membership Interests in the Company set forth next to such Seller’s name on </w:t>
      </w:r>
      <w:r>
        <w:rPr>
          <w:rFonts w:ascii="Times New Roman;Times;serif" w:hAnsi="Times New Roman;Times;serif"/>
          <w:sz w:val="24"/>
          <w:u w:val="single"/>
        </w:rPr>
        <w:t>Schedule 3.3</w:t>
      </w:r>
      <w:r>
        <w:rPr>
          <w:rFonts w:ascii="Times New Roman;Times;serif" w:hAnsi="Times New Roman;Times;serif"/>
          <w:sz w:val="24"/>
        </w:rPr>
        <w:t>; such Membership Interests are validly issued and free and clear of all Liens; and, immediately following the Closing, the Purchaser will own the Membership Interests of the Company free and clear of all Liens.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769" w:name="_Toc333516737"/>
      <w:bookmarkStart w:id="2770" w:name="_Toc333516566"/>
      <w:bookmarkEnd w:id="2769"/>
      <w:bookmarkEnd w:id="2770"/>
      <w:r>
        <w:rPr>
          <w:rFonts w:ascii="Times New Roman;Times;serif" w:hAnsi="Times New Roman;Times;serif"/>
          <w:sz w:val="24"/>
        </w:rPr>
        <w:t>Other than the Purchased Interests held by the Sellers, no Seller owns Membership Interests of the Company, or any warrant, purchase right, subscription right, conversion right, exchange right, conversion right, contingent right to receive or other right of any kind to have any such Membership Interest issued.</w:t>
      </w:r>
      <w:r>
        <w:rPr>
          <w:rFonts w:ascii="Arial;Helvetica;sans-serif" w:hAnsi="Arial;Helvetica;sans-serif"/>
          <w:sz w:val="21"/>
        </w:rPr>
        <w:t xml:space="preserve"> </w:t>
      </w:r>
      <w:r>
        <w:rPr>
          <w:rFonts w:ascii="Times New Roman;Times;serif" w:hAnsi="Times New Roman;Times;serif"/>
          <w:sz w:val="24"/>
        </w:rPr>
        <w:t>The Sellers are the sole holders of Member Interests in the Company.</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4.4</w:t>
      </w:r>
      <w:bookmarkStart w:id="2771" w:name="_Toc333516567"/>
      <w:bookmarkStart w:id="2772" w:name="_Toc228467098"/>
      <w:bookmarkStart w:id="2773" w:name="_Toc493079753"/>
      <w:bookmarkStart w:id="2774" w:name="_Toc491265018"/>
      <w:bookmarkStart w:id="2775" w:name="_Toc491263233"/>
      <w:bookmarkStart w:id="2776" w:name="_Toc491250885"/>
      <w:bookmarkStart w:id="2777" w:name="_Toc491244328"/>
      <w:bookmarkStart w:id="2778" w:name="_Toc490572279"/>
      <w:bookmarkStart w:id="2779" w:name="_Toc488826787"/>
      <w:bookmarkStart w:id="2780" w:name="_Toc488825194"/>
      <w:bookmarkStart w:id="2781" w:name="_Toc445397441"/>
      <w:bookmarkStart w:id="2782" w:name="_Toc441652974"/>
      <w:bookmarkStart w:id="2783" w:name="_Toc343001478"/>
      <w:bookmarkStart w:id="2784" w:name="_Toc341780940"/>
      <w:bookmarkStart w:id="2785" w:name="_Toc341776366"/>
      <w:bookmarkStart w:id="2786" w:name="_Toc341771337"/>
      <w:bookmarkStart w:id="2787" w:name="_Toc340837427"/>
      <w:bookmarkStart w:id="2788" w:name="_Toc340828712"/>
      <w:bookmarkStart w:id="2789" w:name="_Toc340814383"/>
      <w:bookmarkStart w:id="2790" w:name="_Toc340814283"/>
      <w:bookmarkStart w:id="2791" w:name="_Toc340760328"/>
      <w:bookmarkStart w:id="2792" w:name="_Toc340759950"/>
      <w:bookmarkStart w:id="2793" w:name="_Toc340757489"/>
      <w:bookmarkStart w:id="2794" w:name="_Toc338754108"/>
      <w:bookmarkStart w:id="2795" w:name="_Toc338753955"/>
      <w:bookmarkStart w:id="2796" w:name="_Toc338753598"/>
      <w:bookmarkStart w:id="2797" w:name="_Toc338751664"/>
      <w:bookmarkStart w:id="2798" w:name="_Toc337829199"/>
      <w:bookmarkStart w:id="2799" w:name="_Toc337828028"/>
      <w:bookmarkStart w:id="2800" w:name="_Toc337827833"/>
      <w:bookmarkStart w:id="2801" w:name="_Toc337827464"/>
      <w:bookmarkStart w:id="2802" w:name="_Toc337826813"/>
      <w:bookmarkStart w:id="2803" w:name="_Toc334637517"/>
      <w:bookmarkStart w:id="2804" w:name="_Toc333517021"/>
      <w:bookmarkStart w:id="2805" w:name="_Toc333516939"/>
      <w:bookmarkStart w:id="2806" w:name="_Toc333516857"/>
      <w:bookmarkStart w:id="2807" w:name="_Toc333516738"/>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r>
        <w:rPr>
          <w:rFonts w:ascii="Times New Roman;Times;serif" w:hAnsi="Times New Roman;Times;serif"/>
          <w:sz w:val="24"/>
        </w:rPr>
        <w:t>Legal Proceedings.  There is no Litigation or Proceeding pending or, to the Knowledge of the Sellers, threatened against, relating to or involving such Seller that could reasonably be expected to adversely affect such Seller’s ability to consummate the transactions contemplated by this Agreement or any Company Ancillary Document to which such Seller is a party.</w:t>
      </w:r>
    </w:p>
    <w:p>
      <w:pPr>
        <w:pStyle w:val="TextBody"/>
        <w:bidi w:val="0"/>
        <w:spacing w:lineRule="auto" w:line="285"/>
        <w:ind w:left="1530" w:right="0" w:hanging="0"/>
        <w:jc w:val="both"/>
        <w:rPr>
          <w:rFonts w:ascii="Times New Roman;Times;serif" w:hAnsi="Times New Roman;Times;serif"/>
          <w:sz w:val="24"/>
        </w:rPr>
      </w:pPr>
      <w:r>
        <w:rPr>
          <w:rFonts w:ascii="Times New Roman;Times;serif" w:hAnsi="Times New Roman;Times;serif"/>
          <w:sz w:val="24"/>
        </w:rPr>
        <w:t>Section 4.5</w:t>
      </w:r>
      <w:bookmarkStart w:id="2808" w:name="_Toc333516569"/>
      <w:bookmarkStart w:id="2809" w:name="_Toc228467099"/>
      <w:bookmarkStart w:id="2810" w:name="_Toc493079754"/>
      <w:bookmarkStart w:id="2811" w:name="_Toc491265019"/>
      <w:bookmarkStart w:id="2812" w:name="_Toc491263234"/>
      <w:bookmarkStart w:id="2813" w:name="_Toc491250886"/>
      <w:bookmarkStart w:id="2814" w:name="_Toc491244329"/>
      <w:bookmarkStart w:id="2815" w:name="_Toc490572280"/>
      <w:bookmarkStart w:id="2816" w:name="_Toc488826788"/>
      <w:bookmarkStart w:id="2817" w:name="_Toc488825195"/>
      <w:bookmarkStart w:id="2818" w:name="_Toc445397442"/>
      <w:bookmarkStart w:id="2819" w:name="_Toc441652976"/>
      <w:bookmarkStart w:id="2820" w:name="_Toc343001480"/>
      <w:bookmarkStart w:id="2821" w:name="_Toc341780942"/>
      <w:bookmarkStart w:id="2822" w:name="_Toc341776368"/>
      <w:bookmarkStart w:id="2823" w:name="_Toc341771339"/>
      <w:bookmarkStart w:id="2824" w:name="_Toc340837429"/>
      <w:bookmarkStart w:id="2825" w:name="_Toc340828714"/>
      <w:bookmarkStart w:id="2826" w:name="_Toc340814385"/>
      <w:bookmarkStart w:id="2827" w:name="_Toc340814285"/>
      <w:bookmarkStart w:id="2828" w:name="_Toc340760330"/>
      <w:bookmarkStart w:id="2829" w:name="_Toc340759952"/>
      <w:bookmarkStart w:id="2830" w:name="_Toc340757491"/>
      <w:bookmarkStart w:id="2831" w:name="_Toc338754110"/>
      <w:bookmarkStart w:id="2832" w:name="_Toc338753957"/>
      <w:bookmarkStart w:id="2833" w:name="_Toc338753600"/>
      <w:bookmarkStart w:id="2834" w:name="_Toc338751666"/>
      <w:bookmarkStart w:id="2835" w:name="_Toc337829201"/>
      <w:bookmarkStart w:id="2836" w:name="_Toc337828030"/>
      <w:bookmarkStart w:id="2837" w:name="_Toc337827835"/>
      <w:bookmarkStart w:id="2838" w:name="_Toc337827466"/>
      <w:bookmarkStart w:id="2839" w:name="_Toc337826815"/>
      <w:bookmarkStart w:id="2840" w:name="_Toc334637519"/>
      <w:bookmarkStart w:id="2841" w:name="_Toc333517023"/>
      <w:bookmarkStart w:id="2842" w:name="_Toc333516941"/>
      <w:bookmarkStart w:id="2843" w:name="_Toc333516859"/>
      <w:bookmarkStart w:id="2844" w:name="_Toc333516740"/>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r>
        <w:rPr>
          <w:rFonts w:ascii="Times New Roman;Times;serif" w:hAnsi="Times New Roman;Times;serif"/>
          <w:sz w:val="24"/>
        </w:rPr>
        <w:t>No Foreign Person.  Such Seller is not a foreign person within the meaning of Section 1445 of the Code.</w:t>
      </w:r>
    </w:p>
    <w:p>
      <w:pPr>
        <w:pStyle w:val="TextBody"/>
        <w:bidi w:val="0"/>
        <w:spacing w:lineRule="auto" w:line="314" w:before="0" w:after="0"/>
        <w:ind w:left="0" w:right="0" w:hanging="0"/>
        <w:jc w:val="both"/>
        <w:rPr/>
      </w:pPr>
      <w:r>
        <w:rPr/>
        <w:t>​</w:t>
      </w:r>
    </w:p>
    <w:p>
      <w:pPr>
        <w:pStyle w:val="TextBody"/>
        <w:bidi w:val="0"/>
        <w:spacing w:lineRule="auto" w:line="285"/>
        <w:ind w:left="1530" w:right="0" w:hanging="0"/>
        <w:jc w:val="both"/>
        <w:rPr>
          <w:rFonts w:ascii="Times New Roman;Times;serif" w:hAnsi="Times New Roman;Times;serif"/>
          <w:sz w:val="24"/>
        </w:rPr>
      </w:pPr>
      <w:r>
        <w:rPr>
          <w:rFonts w:ascii="Times New Roman;Times;serif" w:hAnsi="Times New Roman;Times;serif"/>
          <w:sz w:val="24"/>
        </w:rPr>
        <w:t>Section 4.6</w:t>
      </w:r>
      <w:bookmarkStart w:id="2845" w:name="_Toc228467100"/>
      <w:bookmarkEnd w:id="2845"/>
      <w:r>
        <w:rPr>
          <w:rFonts w:ascii="Times New Roman;Times;serif" w:hAnsi="Times New Roman;Times;serif"/>
          <w:sz w:val="24"/>
        </w:rPr>
        <w:t>Certain Matters.   Each Seller represents that such Seller has sufficient knowledge and experience in financial and business matters so as to be capable of evaluating the merits and risks of such Seller’s participation in the transactions contemplated by this Agreement, including the Acquisition, or has been able to consult with professionals who are able to enable such Seller to appreciate those merits and risks.</w:t>
      </w:r>
    </w:p>
    <w:p>
      <w:pPr>
        <w:pStyle w:val="TextBody"/>
        <w:bidi w:val="0"/>
        <w:spacing w:lineRule="auto" w:line="314" w:before="0" w:after="0"/>
        <w:ind w:left="0" w:right="0" w:hanging="0"/>
        <w:jc w:val="both"/>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V</w:t>
      </w:r>
      <w:bookmarkStart w:id="2846" w:name="_Toc333516860"/>
      <w:bookmarkStart w:id="2847" w:name="_Toc333516741"/>
      <w:bookmarkStart w:id="2848" w:name="_Toc333516570"/>
      <w:bookmarkEnd w:id="2846"/>
      <w:bookmarkEnd w:id="2847"/>
      <w:bookmarkEnd w:id="2848"/>
      <w:r>
        <w:rPr>
          <w:rFonts w:ascii="Arial;Helvetica;sans-serif" w:hAnsi="Arial;Helvetica;sans-serif"/>
          <w:b/>
          <w:sz w:val="21"/>
        </w:rPr>
        <w:t>​</w:t>
      </w:r>
      <w:r>
        <w:rPr>
          <w:rFonts w:ascii="Times New Roman;Times;serif" w:hAnsi="Times New Roman;Times;serif"/>
          <w:b/>
          <w:sz w:val="24"/>
        </w:rPr>
        <w:br/>
      </w:r>
      <w:bookmarkStart w:id="2849" w:name="_Toc228467101"/>
      <w:bookmarkStart w:id="2850" w:name="_Toc493079755"/>
      <w:bookmarkStart w:id="2851" w:name="_Toc491265020"/>
      <w:bookmarkStart w:id="2852" w:name="_Toc491263235"/>
      <w:bookmarkStart w:id="2853" w:name="_Toc491250887"/>
      <w:bookmarkStart w:id="2854" w:name="_Toc491244330"/>
      <w:bookmarkStart w:id="2855" w:name="_Toc490572281"/>
      <w:bookmarkStart w:id="2856" w:name="_Toc488826789"/>
      <w:bookmarkStart w:id="2857" w:name="_Toc488825196"/>
      <w:bookmarkStart w:id="2858" w:name="_Toc445397443"/>
      <w:bookmarkStart w:id="2859" w:name="_Toc441652977"/>
      <w:bookmarkStart w:id="2860" w:name="_Toc343001481"/>
      <w:bookmarkStart w:id="2861" w:name="_Toc341780943"/>
      <w:bookmarkStart w:id="2862" w:name="_Toc341776369"/>
      <w:bookmarkStart w:id="2863" w:name="_Toc341771340"/>
      <w:bookmarkStart w:id="2864" w:name="_Toc340837430"/>
      <w:bookmarkStart w:id="2865" w:name="_Toc340828715"/>
      <w:bookmarkStart w:id="2866" w:name="_Toc340814386"/>
      <w:bookmarkStart w:id="2867" w:name="_Toc340814286"/>
      <w:bookmarkStart w:id="2868" w:name="_Toc340760331"/>
      <w:bookmarkStart w:id="2869" w:name="_Toc340759953"/>
      <w:bookmarkStart w:id="2870" w:name="_Toc340757492"/>
      <w:bookmarkStart w:id="2871" w:name="_Toc338754111"/>
      <w:bookmarkStart w:id="2872" w:name="_Toc338753958"/>
      <w:bookmarkStart w:id="2873" w:name="_Toc338753601"/>
      <w:bookmarkStart w:id="2874" w:name="_Toc338751667"/>
      <w:bookmarkStart w:id="2875" w:name="_Toc337829202"/>
      <w:bookmarkStart w:id="2876" w:name="_Toc337828031"/>
      <w:bookmarkStart w:id="2877" w:name="_Toc337827836"/>
      <w:bookmarkStart w:id="2878" w:name="_Toc337827467"/>
      <w:bookmarkStart w:id="2879" w:name="_Toc337826816"/>
      <w:bookmarkStart w:id="2880" w:name="_Toc334637520"/>
      <w:bookmarkStart w:id="2881" w:name="_Toc333517024"/>
      <w:bookmarkStart w:id="2882" w:name="_Toc333516942"/>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r>
        <w:rPr>
          <w:rFonts w:ascii="Times New Roman;Times;serif" w:hAnsi="Times New Roman;Times;serif"/>
          <w:b/>
          <w:sz w:val="24"/>
        </w:rPr>
        <w:t>REPRESENTATIONS AND WARRANTIES OF THE PURCHASER</w:t>
      </w:r>
    </w:p>
    <w:p>
      <w:pPr>
        <w:pStyle w:val="TextBody"/>
        <w:bidi w:val="0"/>
        <w:spacing w:lineRule="auto" w:line="285" w:before="0" w:after="210"/>
        <w:ind w:left="0" w:right="0" w:firstLine="720"/>
        <w:jc w:val="both"/>
        <w:rPr>
          <w:rFonts w:ascii="Times New Roman;Times;serif" w:hAnsi="Times New Roman;Times;serif"/>
          <w:sz w:val="24"/>
        </w:rPr>
      </w:pPr>
      <w:r>
        <w:rPr>
          <w:rFonts w:ascii="Times New Roman;Times;serif" w:hAnsi="Times New Roman;Times;serif"/>
          <w:sz w:val="24"/>
        </w:rPr>
        <w:t xml:space="preserve">The Purchaser hereby represents and warrants to the Sellers, as of the Closing Date, the following: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5.1</w:t>
      </w:r>
      <w:bookmarkStart w:id="2883" w:name="_Toc333516571"/>
      <w:bookmarkStart w:id="2884" w:name="_Toc228467102"/>
      <w:bookmarkStart w:id="2885" w:name="_Toc493079756"/>
      <w:bookmarkStart w:id="2886" w:name="_Toc491265021"/>
      <w:bookmarkStart w:id="2887" w:name="_Toc491263236"/>
      <w:bookmarkStart w:id="2888" w:name="_Toc491250888"/>
      <w:bookmarkStart w:id="2889" w:name="_Toc491244331"/>
      <w:bookmarkStart w:id="2890" w:name="_Toc490572282"/>
      <w:bookmarkStart w:id="2891" w:name="_Toc488826790"/>
      <w:bookmarkStart w:id="2892" w:name="_Toc488825197"/>
      <w:bookmarkStart w:id="2893" w:name="_Toc445397444"/>
      <w:bookmarkStart w:id="2894" w:name="_Toc441652978"/>
      <w:bookmarkStart w:id="2895" w:name="_Toc343001482"/>
      <w:bookmarkStart w:id="2896" w:name="_Toc341780944"/>
      <w:bookmarkStart w:id="2897" w:name="_Toc341776370"/>
      <w:bookmarkStart w:id="2898" w:name="_Toc341771341"/>
      <w:bookmarkStart w:id="2899" w:name="_Toc340837431"/>
      <w:bookmarkStart w:id="2900" w:name="_Toc340828716"/>
      <w:bookmarkStart w:id="2901" w:name="_Toc340814387"/>
      <w:bookmarkStart w:id="2902" w:name="_Toc340814287"/>
      <w:bookmarkStart w:id="2903" w:name="_Toc340760332"/>
      <w:bookmarkStart w:id="2904" w:name="_Toc340759954"/>
      <w:bookmarkStart w:id="2905" w:name="_Toc340757493"/>
      <w:bookmarkStart w:id="2906" w:name="_Toc338754112"/>
      <w:bookmarkStart w:id="2907" w:name="_Toc338753959"/>
      <w:bookmarkStart w:id="2908" w:name="_Toc338753602"/>
      <w:bookmarkStart w:id="2909" w:name="_Toc338751668"/>
      <w:bookmarkStart w:id="2910" w:name="_Toc337829203"/>
      <w:bookmarkStart w:id="2911" w:name="_Toc337828032"/>
      <w:bookmarkStart w:id="2912" w:name="_Toc337827837"/>
      <w:bookmarkStart w:id="2913" w:name="_Toc337827468"/>
      <w:bookmarkStart w:id="2914" w:name="_Toc337826817"/>
      <w:bookmarkStart w:id="2915" w:name="_Toc334637521"/>
      <w:bookmarkStart w:id="2916" w:name="_Toc333517025"/>
      <w:bookmarkStart w:id="2917" w:name="_Toc333516943"/>
      <w:bookmarkStart w:id="2918" w:name="_Toc333516861"/>
      <w:bookmarkStart w:id="2919" w:name="_Toc33351674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r>
        <w:rPr>
          <w:rFonts w:ascii="Times New Roman;Times;serif" w:hAnsi="Times New Roman;Times;serif"/>
          <w:sz w:val="24"/>
        </w:rPr>
        <w:t xml:space="preserve">Organization.  The Purchaser is a corporation duly organized, validly existing and in good standing under the laws of the State of California and has all requisite corporate power and authority to own, lease and operate its properties and to carry on its business as now being conducted.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5.2</w:t>
      </w:r>
      <w:bookmarkStart w:id="2920" w:name="_Toc333516572"/>
      <w:bookmarkStart w:id="2921" w:name="_Toc228467103"/>
      <w:bookmarkStart w:id="2922" w:name="_Toc493079757"/>
      <w:bookmarkStart w:id="2923" w:name="_Toc491265022"/>
      <w:bookmarkStart w:id="2924" w:name="_Toc491263237"/>
      <w:bookmarkStart w:id="2925" w:name="_Toc491250889"/>
      <w:bookmarkStart w:id="2926" w:name="_Toc491244332"/>
      <w:bookmarkStart w:id="2927" w:name="_Toc490572283"/>
      <w:bookmarkStart w:id="2928" w:name="_Toc488826791"/>
      <w:bookmarkStart w:id="2929" w:name="_Toc488825198"/>
      <w:bookmarkStart w:id="2930" w:name="_Toc445397445"/>
      <w:bookmarkStart w:id="2931" w:name="_Toc441652979"/>
      <w:bookmarkStart w:id="2932" w:name="_Toc343001483"/>
      <w:bookmarkStart w:id="2933" w:name="_Toc341780945"/>
      <w:bookmarkStart w:id="2934" w:name="_Toc341776371"/>
      <w:bookmarkStart w:id="2935" w:name="_Toc341771342"/>
      <w:bookmarkStart w:id="2936" w:name="_Toc340837432"/>
      <w:bookmarkStart w:id="2937" w:name="_Toc340828717"/>
      <w:bookmarkStart w:id="2938" w:name="_Toc340814388"/>
      <w:bookmarkStart w:id="2939" w:name="_Toc340814288"/>
      <w:bookmarkStart w:id="2940" w:name="_Toc340760333"/>
      <w:bookmarkStart w:id="2941" w:name="_Toc340759955"/>
      <w:bookmarkStart w:id="2942" w:name="_Toc340757494"/>
      <w:bookmarkStart w:id="2943" w:name="_Toc338754113"/>
      <w:bookmarkStart w:id="2944" w:name="_Toc338753960"/>
      <w:bookmarkStart w:id="2945" w:name="_Toc338753603"/>
      <w:bookmarkStart w:id="2946" w:name="_Toc338751669"/>
      <w:bookmarkStart w:id="2947" w:name="_Toc337829204"/>
      <w:bookmarkStart w:id="2948" w:name="_Toc337828033"/>
      <w:bookmarkStart w:id="2949" w:name="_Toc337827838"/>
      <w:bookmarkStart w:id="2950" w:name="_Toc337827469"/>
      <w:bookmarkStart w:id="2951" w:name="_Toc337826818"/>
      <w:bookmarkStart w:id="2952" w:name="_Toc334637522"/>
      <w:bookmarkStart w:id="2953" w:name="_Toc333517026"/>
      <w:bookmarkStart w:id="2954" w:name="_Toc333516944"/>
      <w:bookmarkStart w:id="2955" w:name="_Toc333516862"/>
      <w:bookmarkStart w:id="2956" w:name="_Toc333516743"/>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r>
        <w:rPr>
          <w:rFonts w:ascii="Times New Roman;Times;serif" w:hAnsi="Times New Roman;Times;serif"/>
          <w:sz w:val="24"/>
        </w:rPr>
        <w:t>Authorization.  The Purchaser has all necessary corporate power and corporate authority to execute and deliver this Agreement and the Purchaser Ancillary Documents to which it is a party, to perform its obligations hereunder and thereunder and to consummate the transactions contemplated hereby and thereby.  The execution and delivery by the Purchaser of this Agreement and the Purchaser Ancillary Documents to which it is a party, the performance by it of its obligations hereunder and thereunder, and the consummation of the transactions provided for herein and therein have been duly and validly authorized by all necessary corporate action on the part of the Purchaser.  This Agreement and the Purchaser Ancillary Documents to which the Purchaser is a party have been duly executed and delivered by the Purchaser and, assuming due authorization, execution and delivery hereof and thereof by the other parties hereto and thereto, constitutes the valid and binding agreement of the Purchaser enforceable against the Purchaser in accordance with their terms, except as such enforceability (a) may be limited by bankruptcy, insolvency, moratorium or other similar Laws affecting or relating to enforcement of creditors’ rights generally, and (b) is subject to general principles of equity (regardless of whether enforceability is considered in a proceeding at law or in equity).</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5.3</w:t>
      </w:r>
      <w:bookmarkStart w:id="2957" w:name="_Toc333516573"/>
      <w:bookmarkStart w:id="2958" w:name="_Toc228467104"/>
      <w:bookmarkStart w:id="2959" w:name="_Toc493079758"/>
      <w:bookmarkStart w:id="2960" w:name="_Toc491265023"/>
      <w:bookmarkStart w:id="2961" w:name="_Toc491263238"/>
      <w:bookmarkStart w:id="2962" w:name="_Toc491250890"/>
      <w:bookmarkStart w:id="2963" w:name="_Toc491244333"/>
      <w:bookmarkStart w:id="2964" w:name="_Toc490572284"/>
      <w:bookmarkStart w:id="2965" w:name="_Toc488826792"/>
      <w:bookmarkStart w:id="2966" w:name="_Toc488825199"/>
      <w:bookmarkStart w:id="2967" w:name="_Toc445397446"/>
      <w:bookmarkStart w:id="2968" w:name="_Toc441652980"/>
      <w:bookmarkStart w:id="2969" w:name="_Toc343001484"/>
      <w:bookmarkStart w:id="2970" w:name="_Toc341780946"/>
      <w:bookmarkStart w:id="2971" w:name="_Toc341776372"/>
      <w:bookmarkStart w:id="2972" w:name="_Toc341771343"/>
      <w:bookmarkStart w:id="2973" w:name="_Toc340837433"/>
      <w:bookmarkStart w:id="2974" w:name="_Toc340828718"/>
      <w:bookmarkStart w:id="2975" w:name="_Toc340814389"/>
      <w:bookmarkStart w:id="2976" w:name="_Toc340814289"/>
      <w:bookmarkStart w:id="2977" w:name="_Toc340760334"/>
      <w:bookmarkStart w:id="2978" w:name="_Toc340759956"/>
      <w:bookmarkStart w:id="2979" w:name="_Toc340757495"/>
      <w:bookmarkStart w:id="2980" w:name="_Toc338754114"/>
      <w:bookmarkStart w:id="2981" w:name="_Toc338753961"/>
      <w:bookmarkStart w:id="2982" w:name="_Toc338753604"/>
      <w:bookmarkStart w:id="2983" w:name="_Toc338751670"/>
      <w:bookmarkStart w:id="2984" w:name="_Toc337829205"/>
      <w:bookmarkStart w:id="2985" w:name="_Toc337828034"/>
      <w:bookmarkStart w:id="2986" w:name="_Toc337827839"/>
      <w:bookmarkStart w:id="2987" w:name="_Toc337827470"/>
      <w:bookmarkStart w:id="2988" w:name="_Toc337826819"/>
      <w:bookmarkStart w:id="2989" w:name="_Toc334637523"/>
      <w:bookmarkStart w:id="2990" w:name="_Toc333517027"/>
      <w:bookmarkStart w:id="2991" w:name="_Toc333516945"/>
      <w:bookmarkStart w:id="2992" w:name="_Toc333516863"/>
      <w:bookmarkStart w:id="2993" w:name="_Toc333516744"/>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r>
        <w:rPr>
          <w:rFonts w:ascii="Times New Roman;Times;serif" w:hAnsi="Times New Roman;Times;serif"/>
          <w:sz w:val="24"/>
        </w:rPr>
        <w:t>Absence of Restrictions and Conflicts.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2994" w:name="_Toc333516745"/>
      <w:bookmarkStart w:id="2995" w:name="_Toc333516574"/>
      <w:bookmarkEnd w:id="2994"/>
      <w:bookmarkEnd w:id="2995"/>
      <w:r>
        <w:rPr>
          <w:rFonts w:ascii="Times New Roman;Times;serif" w:hAnsi="Times New Roman;Times;serif"/>
          <w:sz w:val="24"/>
        </w:rPr>
        <w:t>The execution and delivery by the Purchaser of this Agreement and the Purchaser Ancillary Documents to which it is a party does not, and the performance of the Purchaser’s obligations hereunder will not, (i) conflict with or violate the certificate of incorporation or bylaws of the Purchaser, (ii) conflict with or violate any Law applicable to the Purchaser (with or without notice or lapse of time or both), or by which any of its properties or assets is bound, or (iii) require any consent or result in any violation or breach of, or constitute a default or give to others any rights of termination, amendment, acceleration or cancellation, under, or result in the triggering of any payments or result in the creation of a Lien or other encumbrance on any of its properties or assets pursuant to, any of the terms, conditions or provisions of any note, bond, mortgage, indenture, Contract, lease, license, permit, franchise or other instrument or obligation to which the Purchaser is a party or by which it or any of its properties or assets is bound, except, with respect to clauses (ii) and (iii), for any such conflicts, violations, breaches defaults or other occurrences that would not, individually or in the aggregate, reasonably be expected to result in a Purchaser Material Adverse Effect.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2996" w:name="_Toc333516746"/>
      <w:bookmarkStart w:id="2997" w:name="_Toc333516575"/>
      <w:bookmarkEnd w:id="2996"/>
      <w:bookmarkEnd w:id="2997"/>
      <w:r>
        <w:rPr>
          <w:rFonts w:ascii="Times New Roman;Times;serif" w:hAnsi="Times New Roman;Times;serif"/>
          <w:sz w:val="24"/>
        </w:rPr>
        <w:t>The execution and delivery by the Purchaser of this Agreement and the Purchaser Ancillary Documents to which it is a party does not, and the performance of its obligations hereunder and thereunder will not, require any consent, approval, authorization or permit of, or filing with, or notification to, any Governmental Entity, except where the failure to obtain such consents, approvals, authorizations or permits, or to make such filings or notifications, would not, individually or in the aggregate, reasonably be expected to result in a Purchaser Material Adverse Effect.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5.4</w:t>
      </w:r>
      <w:bookmarkStart w:id="2998" w:name="_Toc228467105"/>
      <w:bookmarkStart w:id="2999" w:name="_Toc493079759"/>
      <w:bookmarkStart w:id="3000" w:name="_Toc491265024"/>
      <w:bookmarkStart w:id="3001" w:name="_Toc491263239"/>
      <w:bookmarkStart w:id="3002" w:name="_Toc491250891"/>
      <w:bookmarkStart w:id="3003" w:name="_Toc491244334"/>
      <w:bookmarkStart w:id="3004" w:name="_Toc490572285"/>
      <w:bookmarkStart w:id="3005" w:name="_Toc488826793"/>
      <w:bookmarkStart w:id="3006" w:name="_Toc488825200"/>
      <w:bookmarkStart w:id="3007" w:name="_Toc445397447"/>
      <w:bookmarkStart w:id="3008" w:name="_Toc441652981"/>
      <w:bookmarkStart w:id="3009" w:name="_Toc343001485"/>
      <w:bookmarkStart w:id="3010" w:name="_Toc341780947"/>
      <w:bookmarkStart w:id="3011" w:name="_Toc341776373"/>
      <w:bookmarkStart w:id="3012" w:name="_Toc341771344"/>
      <w:bookmarkStart w:id="3013" w:name="_Toc340837434"/>
      <w:bookmarkStart w:id="3014" w:name="_Toc340828719"/>
      <w:bookmarkStart w:id="3015" w:name="_Toc340814390"/>
      <w:bookmarkStart w:id="3016" w:name="_Toc340814290"/>
      <w:bookmarkStart w:id="3017" w:name="_Toc340760335"/>
      <w:bookmarkStart w:id="3018" w:name="_Toc340759957"/>
      <w:bookmarkStart w:id="3019" w:name="_Toc340757496"/>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r>
        <w:rPr>
          <w:rFonts w:ascii="Times New Roman;Times;serif" w:hAnsi="Times New Roman;Times;serif"/>
          <w:sz w:val="24"/>
        </w:rPr>
        <w:t>Legal Proceedings.  There is no Proceeding pending or, to the knowledge of the Purchaser, threatened against, relating to or involving the Purchaser that could reasonably be expected to adversely affect the Purchaser’s ability to consummate the transactions contemplated by this Agreement or any Purchaser Ancillary Document to which the Purchaser is a party in any material respect.</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5.5</w:t>
      </w:r>
      <w:bookmarkStart w:id="3020" w:name="_Toc228467106"/>
      <w:bookmarkStart w:id="3021" w:name="_Toc493079761"/>
      <w:bookmarkStart w:id="3022" w:name="_Toc491265026"/>
      <w:bookmarkStart w:id="3023" w:name="_Toc491263241"/>
      <w:bookmarkStart w:id="3024" w:name="_Toc491250893"/>
      <w:bookmarkStart w:id="3025" w:name="_Toc491244336"/>
      <w:bookmarkStart w:id="3026" w:name="_Toc490572287"/>
      <w:bookmarkStart w:id="3027" w:name="_Toc488826795"/>
      <w:bookmarkStart w:id="3028" w:name="_Toc488825202"/>
      <w:bookmarkStart w:id="3029" w:name="_Toc445397449"/>
      <w:bookmarkEnd w:id="3020"/>
      <w:bookmarkEnd w:id="3021"/>
      <w:bookmarkEnd w:id="3022"/>
      <w:bookmarkEnd w:id="3023"/>
      <w:bookmarkEnd w:id="3024"/>
      <w:bookmarkEnd w:id="3025"/>
      <w:bookmarkEnd w:id="3026"/>
      <w:bookmarkEnd w:id="3027"/>
      <w:bookmarkEnd w:id="3028"/>
      <w:bookmarkEnd w:id="3029"/>
      <w:r>
        <w:rPr>
          <w:rFonts w:ascii="Times New Roman;Times;serif" w:hAnsi="Times New Roman;Times;serif"/>
          <w:sz w:val="24"/>
        </w:rPr>
        <w:t>Investment Intent.  The Purchaser is acquiring the Purchased Interests for its own account for investment purposes only, and not with a view to their distribution within the meaning of Section 2(11) of the Securities Act of 1933, as amended.</w:t>
      </w:r>
    </w:p>
    <w:p>
      <w:pPr>
        <w:pStyle w:val="TextBody"/>
        <w:bidi w:val="0"/>
        <w:spacing w:lineRule="auto" w:line="314" w:before="0" w:after="0"/>
        <w:ind w:left="0" w:right="0" w:hanging="0"/>
        <w:jc w:val="both"/>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VI</w:t>
      </w:r>
      <w:bookmarkStart w:id="3030" w:name="_Toc333516866"/>
      <w:bookmarkStart w:id="3031" w:name="_Toc333516749"/>
      <w:bookmarkStart w:id="3032" w:name="_Toc333516578"/>
      <w:bookmarkEnd w:id="3030"/>
      <w:bookmarkEnd w:id="3031"/>
      <w:bookmarkEnd w:id="3032"/>
      <w:r>
        <w:rPr>
          <w:rFonts w:ascii="Arial;Helvetica;sans-serif" w:hAnsi="Arial;Helvetica;sans-serif"/>
          <w:b/>
          <w:sz w:val="21"/>
        </w:rPr>
        <w:t>​</w:t>
      </w:r>
      <w:r>
        <w:rPr>
          <w:rFonts w:ascii="Times New Roman;Times;serif" w:hAnsi="Times New Roman;Times;serif"/>
          <w:b/>
          <w:sz w:val="24"/>
        </w:rPr>
        <w:br/>
      </w:r>
      <w:bookmarkStart w:id="3033" w:name="_Toc228467107"/>
      <w:bookmarkStart w:id="3034" w:name="_Toc493079762"/>
      <w:bookmarkStart w:id="3035" w:name="_Toc491265027"/>
      <w:bookmarkStart w:id="3036" w:name="_Toc491263242"/>
      <w:bookmarkStart w:id="3037" w:name="_Toc491250894"/>
      <w:bookmarkStart w:id="3038" w:name="_Toc491244337"/>
      <w:bookmarkStart w:id="3039" w:name="_Toc490572288"/>
      <w:bookmarkStart w:id="3040" w:name="_Toc488826796"/>
      <w:bookmarkStart w:id="3041" w:name="_Toc488825203"/>
      <w:bookmarkStart w:id="3042" w:name="_Toc445397451"/>
      <w:bookmarkStart w:id="3043" w:name="_Toc441652983"/>
      <w:bookmarkStart w:id="3044" w:name="_Toc343001488"/>
      <w:bookmarkStart w:id="3045" w:name="_Toc341780949"/>
      <w:bookmarkStart w:id="3046" w:name="_Toc341776375"/>
      <w:bookmarkStart w:id="3047" w:name="_Toc341771346"/>
      <w:bookmarkStart w:id="3048" w:name="_Toc340837436"/>
      <w:bookmarkStart w:id="3049" w:name="_Toc340828721"/>
      <w:bookmarkStart w:id="3050" w:name="_Toc340814392"/>
      <w:bookmarkStart w:id="3051" w:name="_Toc340814292"/>
      <w:bookmarkStart w:id="3052" w:name="_Toc340760337"/>
      <w:bookmarkStart w:id="3053" w:name="_Toc340759959"/>
      <w:bookmarkStart w:id="3054" w:name="_Toc340757498"/>
      <w:bookmarkStart w:id="3055" w:name="_Toc338754117"/>
      <w:bookmarkStart w:id="3056" w:name="_Toc338753964"/>
      <w:bookmarkStart w:id="3057" w:name="_Toc338753607"/>
      <w:bookmarkStart w:id="3058" w:name="_Toc338751673"/>
      <w:bookmarkStart w:id="3059" w:name="_Toc337829209"/>
      <w:bookmarkStart w:id="3060" w:name="_Toc337828038"/>
      <w:bookmarkStart w:id="3061" w:name="_Toc337827843"/>
      <w:bookmarkStart w:id="3062" w:name="_Toc337827474"/>
      <w:bookmarkStart w:id="3063" w:name="_Toc337826823"/>
      <w:bookmarkStart w:id="3064" w:name="_Toc334637526"/>
      <w:bookmarkStart w:id="3065" w:name="_Toc333517030"/>
      <w:bookmarkStart w:id="3066" w:name="_Toc333516948"/>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r>
        <w:rPr>
          <w:rFonts w:ascii="Times New Roman;Times;serif" w:hAnsi="Times New Roman;Times;serif"/>
          <w:b/>
          <w:sz w:val="24"/>
        </w:rPr>
        <w:t>CERTAIN COVENANTS AND AGREEMENTS</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6.1</w:t>
      </w:r>
      <w:bookmarkStart w:id="3067" w:name="_Hlk512404088"/>
      <w:bookmarkStart w:id="3068" w:name="_Toc333516581"/>
      <w:bookmarkStart w:id="3069" w:name="_Toc228467108"/>
      <w:bookmarkStart w:id="3070" w:name="_Toc493079765"/>
      <w:bookmarkStart w:id="3071" w:name="_Toc491265030"/>
      <w:bookmarkStart w:id="3072" w:name="_Toc491263245"/>
      <w:bookmarkStart w:id="3073" w:name="_Toc491250897"/>
      <w:bookmarkStart w:id="3074" w:name="_Toc491244340"/>
      <w:bookmarkStart w:id="3075" w:name="_Toc490572291"/>
      <w:bookmarkStart w:id="3076" w:name="_Toc488826799"/>
      <w:bookmarkStart w:id="3077" w:name="_Toc488825206"/>
      <w:bookmarkStart w:id="3078" w:name="_Toc445397454"/>
      <w:bookmarkStart w:id="3079" w:name="_Toc441652986"/>
      <w:bookmarkStart w:id="3080" w:name="_Toc343001491"/>
      <w:bookmarkStart w:id="3081" w:name="_Toc341780952"/>
      <w:bookmarkStart w:id="3082" w:name="_Toc341776378"/>
      <w:bookmarkStart w:id="3083" w:name="_Toc341771349"/>
      <w:bookmarkStart w:id="3084" w:name="_Toc340837439"/>
      <w:bookmarkStart w:id="3085" w:name="_Toc340828724"/>
      <w:bookmarkStart w:id="3086" w:name="_Toc340814395"/>
      <w:bookmarkStart w:id="3087" w:name="_Toc340814295"/>
      <w:bookmarkStart w:id="3088" w:name="_Toc340760340"/>
      <w:bookmarkStart w:id="3089" w:name="_Toc340759962"/>
      <w:bookmarkStart w:id="3090" w:name="_Toc340757501"/>
      <w:bookmarkStart w:id="3091" w:name="_Toc338754120"/>
      <w:bookmarkStart w:id="3092" w:name="_Toc338753967"/>
      <w:bookmarkStart w:id="3093" w:name="_Toc338753610"/>
      <w:bookmarkStart w:id="3094" w:name="_Toc338751676"/>
      <w:bookmarkStart w:id="3095" w:name="_Toc337829212"/>
      <w:bookmarkStart w:id="3096" w:name="_Toc337828041"/>
      <w:bookmarkStart w:id="3097" w:name="_Toc337827846"/>
      <w:bookmarkStart w:id="3098" w:name="_Toc337827477"/>
      <w:bookmarkStart w:id="3099" w:name="_Toc337826826"/>
      <w:bookmarkStart w:id="3100" w:name="_Toc334637529"/>
      <w:bookmarkStart w:id="3101" w:name="_Toc333517033"/>
      <w:bookmarkStart w:id="3102" w:name="_Toc333516951"/>
      <w:bookmarkStart w:id="3103" w:name="_Toc333516869"/>
      <w:bookmarkStart w:id="3104" w:name="_Toc333516752"/>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r>
        <w:rPr>
          <w:rFonts w:ascii="Times New Roman;Times;serif" w:hAnsi="Times New Roman;Times;serif"/>
          <w:sz w:val="24"/>
        </w:rPr>
        <w:t xml:space="preserve">Tax Matters.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(a)</w:t>
      </w:r>
      <w:bookmarkStart w:id="3105" w:name="_Toc333516753"/>
      <w:bookmarkStart w:id="3106" w:name="_Toc333516582"/>
      <w:bookmarkEnd w:id="3105"/>
      <w:bookmarkEnd w:id="3106"/>
      <w:r>
        <w:rPr>
          <w:rFonts w:ascii="Times New Roman;Times;serif" w:hAnsi="Times New Roman;Times;serif"/>
          <w:sz w:val="24"/>
          <w:u w:val="single"/>
        </w:rPr>
        <w:t>Tax Periods Ending on or Before the Closing Date</w:t>
      </w:r>
      <w:r>
        <w:rPr>
          <w:rFonts w:ascii="Times New Roman;Times;serif" w:hAnsi="Times New Roman;Times;serif"/>
          <w:sz w:val="24"/>
        </w:rPr>
        <w:t xml:space="preserve">.  The Seller Representative shall prepare or cause to be prepared and timely filed all Tax Returns of the Company for all Pre-Closing Tax Periods that are due (taking into account applicable extensions) on or prior to the Closing Date.  All Tax Returns filed with respect to Pre-Closing Tax Periods shall be prepared using the same accounting method and elections used for the preparation of such Tax Returns in the preceding taxable period unless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otherwise required by applicable Law or mutually approved by the Purchaser and the Seller Representative in writing.  The Sellers shall pay or cause to be paid on behalf of the Company all Taxes of the Company with respect to all Pre-Closing Tax Periods except to the extent such Taxes were taken into consideration in computing Closing NWC and excluding any reserve for deferred Taxes established to reflect timing differences between book and Tax income.  Any Tax refunds that are received by the Company, and any amounts credited against Taxes to which the Company become entitled, that relate to any Pre-Closing Tax Period (including the pre-Closing portion of a Straddle Period), shall be for the account of the Sellers, and the Purchaser shall pay over to the Sellers any such refund or the amount of any such credit within fifteen (15) days after receipt thereof or entitlement thereto, except to the extent such Tax refunds were taken into consideration in computing Closing NWC.  In addition, to the extent that a claim for refund or a proceeding results in a payment or credit against Tax by any taxing authority to the Company of any amount that had been taken into account as a liability for Taxes in the determination of Closing NWC, the Purchaser shall cause the Company to pay such amount to the Sellers within fifteen (15) days after receipt or entitlement thereto.</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3107" w:name="_Toc333516754"/>
      <w:bookmarkStart w:id="3108" w:name="_Toc333516583"/>
      <w:bookmarkEnd w:id="3107"/>
      <w:bookmarkEnd w:id="3108"/>
      <w:r>
        <w:rPr>
          <w:rFonts w:ascii="Times New Roman;Times;serif" w:hAnsi="Times New Roman;Times;serif"/>
          <w:sz w:val="24"/>
          <w:u w:val="single"/>
        </w:rPr>
        <w:t>Tax Periods Beginning Before and Ending After the Closing Date</w:t>
      </w:r>
      <w:r>
        <w:rPr>
          <w:rFonts w:ascii="Times New Roman;Times;serif" w:hAnsi="Times New Roman;Times;serif"/>
          <w:sz w:val="24"/>
        </w:rPr>
        <w:t>.  The Purchaser shall prepare or cause to be prepared at its own expense and shall timely file, taking into account extensions, or cause to be timely filed all Tax Returns of the Company for any Tax periods which begin before the Closing Date and end after the Closing Date (each, a “</w:t>
      </w:r>
      <w:r>
        <w:rPr>
          <w:rFonts w:ascii="Times New Roman;Times;serif" w:hAnsi="Times New Roman;Times;serif"/>
          <w:sz w:val="24"/>
          <w:u w:val="single"/>
        </w:rPr>
        <w:t>Straddle Period</w:t>
      </w:r>
      <w:r>
        <w:rPr>
          <w:rFonts w:ascii="Arial;Helvetica;sans-serif" w:hAnsi="Arial;Helvetica;sans-serif"/>
          <w:sz w:val="21"/>
        </w:rPr>
        <w:t>”</w:t>
      </w:r>
      <w:r>
        <w:rPr>
          <w:rFonts w:ascii="Times New Roman;Times;serif" w:hAnsi="Times New Roman;Times;serif"/>
          <w:sz w:val="24"/>
        </w:rPr>
        <w:t xml:space="preserve">).  At least thirty (30) days prior to the date on which each such Straddle Period Tax Return is to be filed, the Purchaser shall provide a copy of such Straddle Period Tax Return to the Seller Representative for his review and shall make any reasonable changes to such Tax Return that are requested by the Seller Representative.  The Sellers shall reimburse the Purchaser for the portion of the Taxes paid by the Purchaser with respect to such Straddle Period Tax Return that is allocable to the portion of the Straddle Period that ends on the Closing Date, except to the extent that such Taxes are taken into account in computing NWC, such reimbursement to be made within fifteen (15) days after such payment.  For purposes of this Agreement, Taxes for a Straddle Period shall be allocated as follows:  (i) </w:t>
      </w:r>
      <w:r>
        <w:rPr>
          <w:rFonts w:ascii="Times New Roman;Times;serif" w:hAnsi="Times New Roman;Times;serif"/>
          <w:i/>
          <w:sz w:val="24"/>
        </w:rPr>
        <w:t>ad valorem</w:t>
      </w:r>
      <w:r>
        <w:rPr>
          <w:rFonts w:ascii="Arial;Helvetica;sans-serif" w:hAnsi="Arial;Helvetica;sans-serif"/>
          <w:sz w:val="21"/>
        </w:rPr>
        <w:t xml:space="preserve"> </w:t>
      </w:r>
      <w:r>
        <w:rPr>
          <w:rFonts w:ascii="Times New Roman;Times;serif" w:hAnsi="Times New Roman;Times;serif"/>
          <w:sz w:val="24"/>
        </w:rPr>
        <w:t>Taxes imposed on or with respect to real or personal property shall be allocated between the portion of the Straddle Period that ends on the Closing Date and the remaining portion of the Straddle Period in proportion to the number of days in each such portion, and (ii) all other Taxes shall be allocated based on a “closing of the books” as of the close of business on the Closing Date.  All Tax Returns filed for any Straddle Period shall be prepared using the same accounting method and elections used for the preparation of such Tax Returns in the preceding taxable periods unless otherwise required by applicable Law or mutually approved by the Purchaser and the Seller Representative in writing.  The Purchaser shall pay over to the Sellers any Tax refunds for any Straddle Period that are allocable (in accordance with the foregoing principles) to the portion of such Straddle Period ending on the Closing Date, such refund to be paid within fifteen (15) days of the Company’s receipt of the same.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3109" w:name="_Toc333516755"/>
      <w:bookmarkStart w:id="3110" w:name="_Toc333516584"/>
      <w:bookmarkEnd w:id="3109"/>
      <w:bookmarkEnd w:id="3110"/>
      <w:r>
        <w:rPr>
          <w:rFonts w:ascii="Times New Roman;Times;serif" w:hAnsi="Times New Roman;Times;serif"/>
          <w:sz w:val="24"/>
          <w:u w:val="single"/>
        </w:rPr>
        <w:t>Tax Audits and Contests</w:t>
      </w:r>
      <w:r>
        <w:rPr>
          <w:rFonts w:ascii="Times New Roman;Times;serif" w:hAnsi="Times New Roman;Times;serif"/>
          <w:sz w:val="24"/>
        </w:rPr>
        <w:t>.  </w:t>
      </w:r>
      <w:bookmarkStart w:id="3111" w:name="OLE_LINK2"/>
      <w:bookmarkStart w:id="3112" w:name="OLE_LINK1"/>
      <w:bookmarkEnd w:id="3111"/>
      <w:bookmarkEnd w:id="3112"/>
      <w:r>
        <w:rPr>
          <w:rFonts w:ascii="Times New Roman;Times;serif" w:hAnsi="Times New Roman;Times;serif"/>
          <w:sz w:val="24"/>
        </w:rPr>
        <w:t xml:space="preserve">The Purchaser shall promptly notify the Seller Representative in writing upon the receipt by the Purchaser, the Company of notice of any audit or any court or administrative Litigation relating to the liability of the Company for Taxes for any period described in Sections 6.1(a) or 6.1(b).  The Sellers shall have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right, at their own expense and through counsel of their choosing, to participate in any audit or Litigation relating to a Pre-Closing Tax Period or Straddle Period, and the Sellers shall have the right, at their own expense and through counsel of their choosing reasonably acceptable to the Purchaser, to control any such audit or Litigation that relates to a Pre-Closing Tax Period (including any portion of a Straddle Period that relates to periods prior to the Closing Date).  The Purchaser shall have the right, at its own expense, to participate in any audit or Litigation that is controlled by the Sellers, and the Purchaser shall have the right to control any audit or Litigation that is not controlled by the Sellers.  The Purchaser shall not agree to settle or cause or permit the Company to settle any audit or Litigation which has the effect of imposing additional Tax liability on the Company with respect to any Pre-Closing Tax Periods or the portion of any Straddle Period that ends on the Closing Date without the advance written consent of the Seller Representative (which consent will not be denied, delayed or conditioned unreasonably).  In the event of conflict between the provisions of this Section 6.1(c) and the provisions of Section 8.3 with respect to any potential Liability for Taxes, the provisions of this Section 6.1(c) shall control.</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Within 120 days after the Closing Date, the Seller shall deliver to the Purchaser a proper allocation of the Aggregate Deemed Sales Price (as such term is defined in Treasury Regulation Section 1.338-4) among the assets of the Company in accordance with Treasury Regulations Sections 1.338-6 and 1.338-7 (the “Allocation Statement”) under the assumption that the transaction will be treated as an asset purchase for tax purposes.  The allocation of the Aggregate Deemed Sales Price shall be in accordance with the fair market value of the acquired assets as provided in Section 1060 of the Code.  The Purchaser shall have the right to review the Allocation Statement.  Within twenty (20) days after the Purchaser’s receipt of the Allocation Statement, the Purchaser shall indicate its concurrence therewith, or propose to the Seller any changes to the Allocation Statement.  The Purchaser’s failure to notify the Seller of any objection to the Allocation Statement within twenty (20) days after receipt thereof shall constitute the Purchaser’s concurrence therewith.  Should the Purchaser propose any change to the Allocation Statement, the Purchaser and the Sellers shall resolve any disagreement regarding the Allocation Statement in accordance with the provisions of Section 2.4(d).  The allocation so determined shall be binding on the parties, and all Tax Returns filed by the Purchaser, the Sellers, and each of their Affiliates, if any, shall be prepared consistently with such allocation, and none of them shall take a position on any Tax Return or other form or statement contrary to such allocation (unless required to do so by Law).  Appropriate adjustments shall be made with respect to the allocation for all payments made after the Closing Date in accordance with Section 6.1(d)(c).  Each of the parties agrees to notify the other if the IRS or any other authority proposes a reallocation of amounts allocated pursuant to this Section 6.13(e)(b).</w:t>
      </w:r>
      <w:r>
        <w:rPr>
          <w:rFonts w:ascii="Arial;Helvetica;sans-serif" w:hAnsi="Arial;Helvetica;sans-serif"/>
          <w:sz w:val="21"/>
        </w:rPr>
        <w:t xml:space="preserve"> </w:t>
      </w:r>
      <w:r>
        <w:rPr>
          <w:rFonts w:ascii="Times New Roman;Times;serif" w:hAnsi="Times New Roman;Times;serif"/>
          <w:sz w:val="24"/>
        </w:rPr>
        <w:t>Notwithstanding the foregoing, no portion of the Aggregate Deemed Sales Price shall be allocated to any covenant not to compete, non-solicitation covenant, or similar restrictive covenant entered into in connection with this Agreement or the transactions contemplated hereby.</w:t>
      </w:r>
    </w:p>
    <w:p>
      <w:pPr>
        <w:pStyle w:val="TextBody"/>
        <w:bidi w:val="0"/>
        <w:spacing w:lineRule="auto" w:line="314" w:before="0" w:after="210"/>
        <w:ind w:left="1530" w:right="0" w:firstLine="720"/>
        <w:jc w:val="both"/>
        <w:rPr>
          <w:rFonts w:ascii="Times New Roman;Times;serif" w:hAnsi="Times New Roman;Times;serif"/>
          <w:sz w:val="24"/>
        </w:rPr>
      </w:pPr>
      <w:r>
        <w:rPr>
          <w:rFonts w:ascii="Times New Roman;Times;serif" w:hAnsi="Times New Roman;Times;serif"/>
          <w:sz w:val="24"/>
        </w:rPr>
        <w:t>Section 6.2</w:t>
      </w:r>
      <w:bookmarkStart w:id="3113" w:name="_Toc228467109"/>
      <w:bookmarkStart w:id="3114" w:name="_Toc493079767"/>
      <w:bookmarkStart w:id="3115" w:name="_Toc491265032"/>
      <w:bookmarkStart w:id="3116" w:name="_Toc491263247"/>
      <w:bookmarkStart w:id="3117" w:name="_Toc491250899"/>
      <w:bookmarkStart w:id="3118" w:name="_Toc491244342"/>
      <w:bookmarkStart w:id="3119" w:name="_Toc490572293"/>
      <w:bookmarkStart w:id="3120" w:name="_Toc488826801"/>
      <w:bookmarkStart w:id="3121" w:name="_Toc488825208"/>
      <w:bookmarkStart w:id="3122" w:name="_Toc445397456"/>
      <w:bookmarkStart w:id="3123" w:name="_Toc441652988"/>
      <w:bookmarkStart w:id="3124" w:name="_Toc343001493"/>
      <w:bookmarkStart w:id="3125" w:name="_Toc341780954"/>
      <w:bookmarkStart w:id="3126" w:name="_Toc341776380"/>
      <w:bookmarkStart w:id="3127" w:name="_Toc341771351"/>
      <w:bookmarkStart w:id="3128" w:name="_Toc340837441"/>
      <w:bookmarkStart w:id="3129" w:name="_Toc340828726"/>
      <w:bookmarkStart w:id="3130" w:name="_Toc340814397"/>
      <w:bookmarkStart w:id="3131" w:name="_Toc340814297"/>
      <w:bookmarkStart w:id="3132" w:name="_Toc340760342"/>
      <w:bookmarkStart w:id="3133" w:name="_Toc340759964"/>
      <w:bookmarkStart w:id="3134" w:name="_Toc340757504"/>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r>
        <w:rPr>
          <w:rFonts w:ascii="Times New Roman;Times;serif" w:hAnsi="Times New Roman;Times;serif"/>
          <w:sz w:val="24"/>
        </w:rPr>
        <w:t>Release.</w:t>
      </w:r>
      <w:bookmarkStart w:id="3135" w:name="_Toc340760343"/>
      <w:bookmarkStart w:id="3136" w:name="_Toc340759965"/>
      <w:bookmarkStart w:id="3137" w:name="_Toc340757505"/>
      <w:bookmarkEnd w:id="3135"/>
      <w:bookmarkEnd w:id="3136"/>
      <w:bookmarkEnd w:id="3137"/>
      <w:r>
        <w:rPr>
          <w:rFonts w:ascii="Times New Roman;Times;serif" w:hAnsi="Times New Roman;Times;serif"/>
          <w:sz w:val="24"/>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rPr>
        <w:t xml:space="preserve">Each Seller, on behalf of such Seller and such Seller’s successors, assigns, heirs, members, beneficiaries, creditors, Representatives, trustees and Affiliates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pPr>
      <w:r>
        <w:rPr/>
        <w:t>“</w:t>
      </w:r>
      <w:r>
        <w:rPr>
          <w:rFonts w:ascii="Times New Roman;Times;serif" w:hAnsi="Times New Roman;Times;serif"/>
          <w:sz w:val="24"/>
          <w:u w:val="single"/>
        </w:rPr>
        <w:t>Releasing Parties</w:t>
      </w:r>
      <w:r>
        <w:rPr>
          <w:rFonts w:ascii="Arial;Helvetica;sans-serif" w:hAnsi="Arial;Helvetica;sans-serif"/>
          <w:sz w:val="21"/>
        </w:rPr>
        <w:t>”</w:t>
      </w:r>
      <w:r>
        <w:rPr>
          <w:rFonts w:ascii="Times New Roman;Times;serif" w:hAnsi="Times New Roman;Times;serif"/>
          <w:sz w:val="24"/>
        </w:rPr>
        <w:t>) hereby fully, finally and irrevocably releases, acquits and forever discharges the Company, and its successors, assigns, Affiliates (including, following the Closing, Willdan and its Affiliates), insurers, controlling persons, and operating, administration and services companies and the like, and all persons and entities acting for, through or in concert with any of them (collective, the “</w:t>
      </w:r>
      <w:r>
        <w:rPr>
          <w:rFonts w:ascii="Times New Roman;Times;serif" w:hAnsi="Times New Roman;Times;serif"/>
          <w:sz w:val="24"/>
          <w:u w:val="single"/>
        </w:rPr>
        <w:t>Released Parties</w:t>
      </w:r>
      <w:r>
        <w:rPr>
          <w:rFonts w:ascii="Arial;Helvetica;sans-serif" w:hAnsi="Arial;Helvetica;sans-serif"/>
          <w:sz w:val="21"/>
        </w:rPr>
        <w:t>”</w:t>
      </w:r>
      <w:r>
        <w:rPr>
          <w:rFonts w:ascii="Times New Roman;Times;serif" w:hAnsi="Times New Roman;Times;serif"/>
          <w:sz w:val="24"/>
        </w:rPr>
        <w:t>), of and from any and all commitments, actions, debts, claims, counterclaims, suits, causes of action, Damages, demands and compensation of every kind and nature whatsoever, past, present or future, whether known or unknown, contingent or otherwise, suspected or unsuspected, at law or in equity, whether in any federal or state court or before an administrative agency of any federal, state, county or municipal government, which such Releasing Parties, or any of them, had, has or may have had at any time in the past until and including the Closing Date, against the Released Parties(collectively, “</w:t>
      </w:r>
      <w:r>
        <w:rPr>
          <w:rFonts w:ascii="Times New Roman;Times;serif" w:hAnsi="Times New Roman;Times;serif"/>
          <w:sz w:val="24"/>
          <w:u w:val="single"/>
        </w:rPr>
        <w:t>Causes of Action</w:t>
      </w:r>
      <w:r>
        <w:rPr>
          <w:rFonts w:ascii="Arial;Helvetica;sans-serif" w:hAnsi="Arial;Helvetica;sans-serif"/>
          <w:sz w:val="21"/>
        </w:rPr>
        <w:t>”</w:t>
      </w:r>
      <w:r>
        <w:rPr>
          <w:rFonts w:ascii="Times New Roman;Times;serif" w:hAnsi="Times New Roman;Times;serif"/>
          <w:sz w:val="24"/>
        </w:rPr>
        <w:t xml:space="preserve">); </w:t>
      </w:r>
      <w:r>
        <w:rPr>
          <w:rFonts w:ascii="Times New Roman;Times;serif" w:hAnsi="Times New Roman;Times;serif"/>
          <w:sz w:val="24"/>
          <w:u w:val="single"/>
        </w:rPr>
        <w:t>provided</w:t>
      </w:r>
      <w:r>
        <w:rPr>
          <w:rFonts w:ascii="Times New Roman;Times;serif" w:hAnsi="Times New Roman;Times;serif"/>
          <w:i/>
          <w:sz w:val="24"/>
        </w:rPr>
        <w:t xml:space="preserve">, </w:t>
      </w:r>
      <w:r>
        <w:rPr>
          <w:rFonts w:ascii="Times New Roman;Times;serif" w:hAnsi="Times New Roman;Times;serif"/>
          <w:sz w:val="24"/>
          <w:u w:val="single"/>
        </w:rPr>
        <w:t>however</w:t>
      </w:r>
      <w:r>
        <w:rPr>
          <w:rFonts w:ascii="Times New Roman;Times;serif" w:hAnsi="Times New Roman;Times;serif"/>
          <w:i/>
          <w:sz w:val="24"/>
        </w:rPr>
        <w:t xml:space="preserve">, </w:t>
      </w:r>
      <w:r>
        <w:rPr>
          <w:rFonts w:ascii="Times New Roman;Times;serif" w:hAnsi="Times New Roman;Times;serif"/>
          <w:sz w:val="24"/>
        </w:rPr>
        <w:t>that nothing herein shall be deemed to release (i) Sellers’ rights under this Agreement, (ii) any claims of a Seller for amounts owed to such Seller, if applicable, pursuant to this Agreement, (iii) any claims arising out of or involving fraud, (iv) any claim that cannot be released as a matter of Law, or (v) any right of any Seller to assert any defense, counterclaim, cross-claim, or third-party claim in any action, proceeding, or dispute initiated against any Seller by Purchaser, the Company, or any of their respective Affiliates, successors, or assigns.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(b)</w:t>
      </w:r>
      <w:r>
        <w:rPr>
          <w:rFonts w:ascii="Times New Roman;Times;serif" w:hAnsi="Times New Roman;Times;serif"/>
          <w:sz w:val="24"/>
        </w:rPr>
        <w:t>Each Seller, severally, hereby represents to the Released Parties that such Seller (i) has not assigned any Causes of Action or possible Causes of Action against any Released Party, (ii) fully intends to release all Causes of Action against the Released Parties, and (iii) has been given an opportunity to or has consulted with counsel with respect to the execution and delivery of this release and has been apprised of the consequences hereof.</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(c)</w:t>
      </w:r>
      <w:r>
        <w:rPr>
          <w:rFonts w:ascii="Times New Roman;Times;serif" w:hAnsi="Times New Roman;Times;serif"/>
          <w:sz w:val="24"/>
        </w:rPr>
        <w:t>Each Seller, on behalf of himself or itself and each other Releasing Party, intentionally and specifically waives any statute or rule which may prohibit the release of future rights or a release with respect to unknown claims.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(d)</w:t>
      </w:r>
      <w:r>
        <w:rPr>
          <w:rFonts w:ascii="Times New Roman;Times;serif" w:hAnsi="Times New Roman;Times;serif"/>
          <w:sz w:val="24"/>
        </w:rPr>
        <w:t>Each Seller, severally, hereby irrevocably covenants to refrain from, directly or indirectly, asserting any claim or demand, or commencing, instituting or causing to be commenced, any proceeding of any kind against any Released Parties, based upon any Causes of Action.  Each Seller further agrees that, in the event such Seller brings a claim or charge covered by this Section 6.2 or does not dismiss and withdraw any claim covered by this Section 6.2 in which he seeks Damages or any other relief against any Released Party, or in the event he seeks to recover against any Released Party in any claim brought by a Governmental Entity on such Seller’s behalf, the release in this Section 6.2 shall serve as a complete defense to such claims or charges. If any provision of this Section 6.2 is held invalid or unenforceable by any court of competent jurisdiction, the other provisions of this Section 6.2 will remain in full force and effect.  Any provision of this Section 6.2 held invalid or unenforceable only in part or degree will remain in full force and effect to the extent not held invalid or unenforceable.</w:t>
      </w:r>
    </w:p>
    <w:p>
      <w:pPr>
        <w:pStyle w:val="TextBody"/>
        <w:bidi w:val="0"/>
        <w:spacing w:lineRule="auto" w:line="285" w:before="0" w:after="210"/>
        <w:ind w:left="810" w:right="0" w:hanging="0"/>
        <w:jc w:val="both"/>
        <w:rPr>
          <w:rFonts w:ascii="Times New Roman;Times;serif" w:hAnsi="Times New Roman;Times;serif"/>
          <w:sz w:val="24"/>
        </w:rPr>
      </w:pPr>
      <w:r>
        <w:rPr>
          <w:rFonts w:ascii="Times New Roman;Times;serif" w:hAnsi="Times New Roman;Times;serif"/>
          <w:sz w:val="24"/>
        </w:rPr>
        <w:t>Section 6.3</w:t>
      </w:r>
      <w:bookmarkStart w:id="3138" w:name="_Toc333516589"/>
      <w:bookmarkStart w:id="3139" w:name="_Toc228467110"/>
      <w:bookmarkStart w:id="3140" w:name="_Toc493079768"/>
      <w:bookmarkStart w:id="3141" w:name="_Toc491265033"/>
      <w:bookmarkStart w:id="3142" w:name="_Toc491263248"/>
      <w:bookmarkStart w:id="3143" w:name="_Toc491250900"/>
      <w:bookmarkStart w:id="3144" w:name="_Toc491244343"/>
      <w:bookmarkStart w:id="3145" w:name="_Toc490572294"/>
      <w:bookmarkStart w:id="3146" w:name="_Toc488826802"/>
      <w:bookmarkStart w:id="3147" w:name="_Toc488825209"/>
      <w:bookmarkStart w:id="3148" w:name="_Toc445397457"/>
      <w:bookmarkStart w:id="3149" w:name="_Toc441652989"/>
      <w:bookmarkStart w:id="3150" w:name="_Toc343001494"/>
      <w:bookmarkStart w:id="3151" w:name="_Toc341780955"/>
      <w:bookmarkStart w:id="3152" w:name="_Toc341776381"/>
      <w:bookmarkStart w:id="3153" w:name="_Toc341771352"/>
      <w:bookmarkStart w:id="3154" w:name="_Toc340837442"/>
      <w:bookmarkStart w:id="3155" w:name="_Toc340828727"/>
      <w:bookmarkStart w:id="3156" w:name="_Toc340814398"/>
      <w:bookmarkStart w:id="3157" w:name="_Toc340814298"/>
      <w:bookmarkStart w:id="3158" w:name="_Toc340760344"/>
      <w:bookmarkStart w:id="3159" w:name="_Toc340759966"/>
      <w:bookmarkStart w:id="3160" w:name="_Toc340757506"/>
      <w:bookmarkStart w:id="3161" w:name="_Toc338754122"/>
      <w:bookmarkStart w:id="3162" w:name="_Toc338753969"/>
      <w:bookmarkStart w:id="3163" w:name="_Toc338753612"/>
      <w:bookmarkStart w:id="3164" w:name="_Toc338751678"/>
      <w:bookmarkStart w:id="3165" w:name="_Toc337829214"/>
      <w:bookmarkStart w:id="3166" w:name="_Toc337828043"/>
      <w:bookmarkStart w:id="3167" w:name="_Toc337827848"/>
      <w:bookmarkStart w:id="3168" w:name="_Toc337827479"/>
      <w:bookmarkStart w:id="3169" w:name="_Toc337826828"/>
      <w:bookmarkStart w:id="3170" w:name="_Toc334637531"/>
      <w:bookmarkStart w:id="3171" w:name="_Toc333517035"/>
      <w:bookmarkStart w:id="3172" w:name="_Toc333516953"/>
      <w:bookmarkStart w:id="3173" w:name="_Toc333516871"/>
      <w:bookmarkStart w:id="3174" w:name="_Toc333516760"/>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r>
        <w:rPr>
          <w:rFonts w:ascii="Times New Roman;Times;serif" w:hAnsi="Times New Roman;Times;serif"/>
          <w:sz w:val="24"/>
        </w:rPr>
        <w:t>Employee Benefits Matters</w:t>
      </w:r>
      <w:bookmarkStart w:id="3175" w:name="_Toc340760345"/>
      <w:bookmarkStart w:id="3176" w:name="_Toc340759967"/>
      <w:bookmarkStart w:id="3177" w:name="_Toc340757507"/>
      <w:bookmarkEnd w:id="3175"/>
      <w:bookmarkEnd w:id="3176"/>
      <w:bookmarkEnd w:id="3177"/>
      <w:r>
        <w:rPr>
          <w:rFonts w:ascii="Times New Roman;Times;serif" w:hAnsi="Times New Roman;Times;serif"/>
          <w:sz w:val="24"/>
        </w:rPr>
        <w:t>.</w:t>
      </w:r>
      <w:bookmarkStart w:id="3178" w:name="_Toc333516761"/>
      <w:bookmarkStart w:id="3179" w:name="_Toc333516590"/>
      <w:bookmarkEnd w:id="3178"/>
      <w:bookmarkEnd w:id="3179"/>
      <w:r>
        <w:rPr>
          <w:rFonts w:ascii="Times New Roman;Times;serif" w:hAnsi="Times New Roman;Times;serif"/>
          <w:sz w:val="24"/>
        </w:rPr>
        <w:t xml:space="preserve">  The Purchaser shall continue the employment of each individual who is an employee of the Company as of immediately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810" w:right="0" w:hanging="0"/>
        <w:jc w:val="left"/>
        <w:rPr>
          <w:rFonts w:ascii="Arial;Helvetica;sans-serif" w:hAnsi="Arial;Helvetica;sans-serif"/>
        </w:rPr>
      </w:pPr>
      <w:r>
        <w:rPr>
          <w:rFonts w:ascii="Times New Roman;Times;serif" w:hAnsi="Times New Roman;Times;serif"/>
          <w:b w:val="false"/>
          <w:i w:val="false"/>
          <w:caps w:val="false"/>
          <w:smallCaps w:val="false"/>
          <w:sz w:val="24"/>
        </w:rPr>
        <w:t>prior to the Closing (each, a “</w:t>
      </w:r>
      <w:r>
        <w:rPr>
          <w:rFonts w:ascii="Times New Roman;Times;serif" w:hAnsi="Times New Roman;Times;serif"/>
          <w:b w:val="false"/>
          <w:i w:val="false"/>
          <w:caps w:val="false"/>
          <w:smallCaps w:val="false"/>
          <w:sz w:val="24"/>
          <w:u w:val="single"/>
        </w:rPr>
        <w:t>Continuing Employee</w:t>
      </w:r>
      <w:r>
        <w:rPr>
          <w:rFonts w:ascii="Arial;Helvetica;sans-serif" w:hAnsi="Arial;Helvetica;sans-serif"/>
          <w:caps w:val="false"/>
          <w:smallCaps w:val="false"/>
        </w:rPr>
        <w:t>”</w:t>
      </w:r>
      <w:r>
        <w:rPr>
          <w:rFonts w:ascii="Times New Roman;Times;serif" w:hAnsi="Times New Roman;Times;serif"/>
          <w:b w:val="false"/>
          <w:i w:val="false"/>
          <w:caps w:val="false"/>
          <w:smallCaps w:val="false"/>
          <w:sz w:val="24"/>
        </w:rPr>
        <w:t>) on an at-will basis or pursuant to the terms of any existing employment agreement in effect on the Closing Date, as applicable.</w:t>
      </w:r>
      <w:r>
        <w:rPr>
          <w:rFonts w:ascii="Arial;Helvetica;sans-serif" w:hAnsi="Arial;Helvetica;sans-serif"/>
          <w:caps w:val="false"/>
          <w:smallCaps w:val="false"/>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(a)</w:t>
      </w:r>
      <w:bookmarkStart w:id="3180" w:name="_Toc333516762"/>
      <w:bookmarkStart w:id="3181" w:name="_Toc333516591"/>
      <w:bookmarkEnd w:id="3180"/>
      <w:bookmarkEnd w:id="3181"/>
      <w:r>
        <w:rPr>
          <w:rFonts w:ascii="Times New Roman;Times;serif" w:hAnsi="Times New Roman;Times;serif"/>
          <w:sz w:val="24"/>
        </w:rPr>
        <w:t>With respect to any one or more employee benefit policies, plans or programs maintained by the Purchaser or its Affiliates from time to time (each, a “</w:t>
      </w:r>
      <w:r>
        <w:rPr>
          <w:rFonts w:ascii="Times New Roman;Times;serif" w:hAnsi="Times New Roman;Times;serif"/>
          <w:sz w:val="24"/>
          <w:u w:val="single"/>
        </w:rPr>
        <w:t>Purchaser Plan</w:t>
      </w:r>
      <w:r>
        <w:rPr>
          <w:rFonts w:ascii="Arial;Helvetica;sans-serif" w:hAnsi="Arial;Helvetica;sans-serif"/>
          <w:sz w:val="21"/>
        </w:rPr>
        <w:t>”</w:t>
      </w:r>
      <w:r>
        <w:rPr>
          <w:rFonts w:ascii="Times New Roman;Times;serif" w:hAnsi="Times New Roman;Times;serif"/>
          <w:sz w:val="24"/>
        </w:rPr>
        <w:t>) in which Continuing Employees participate after the Closing, the Purchaser shall, or shall cause the Company or such Affiliates to recognize all service of Continuing Employees with the Company and its current and former Affiliates from each such employee’s most recent date of hire as reflected in the Company’s records for purposes of eligibility to participate, vesting credit (other than vesting of equity awards), form of payment, and  accrual of paid time off benefits or severance in applicable Purchaser Plans, as such plans may be amended from time to time, to the same extent taken into account under a comparable Employee Benefit Plan as is offered to similarly situated employees of the Purchaser immediately prior to Closing, but not to any extent that such recognition would result in any duplication of benefits or violation of any law or regulation.</w:t>
      </w:r>
    </w:p>
    <w:p>
      <w:pPr>
        <w:pStyle w:val="TextBody"/>
        <w:bidi w:val="0"/>
        <w:spacing w:lineRule="auto" w:line="285" w:before="0" w:after="24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Nothing contained in this Section 6.3 shall be construed to (i) establish, amend, or modify any benefit or compensation plan, program, agreement or arrangement, (ii) limit the ability of the Purchaser or the Company to amend, modify or terminate any compensation or benefit plan, program or arrangement maintained by the Company or Purchaser at any time after the Closing Date, or (iii) provide any third party beneficiary rights to any Person under this Agreement.</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Section 6.4</w:t>
      </w:r>
      <w:bookmarkStart w:id="3182" w:name="_Toc333516592"/>
      <w:bookmarkStart w:id="3183" w:name="_Toc228467111"/>
      <w:bookmarkStart w:id="3184" w:name="_Toc493079769"/>
      <w:bookmarkStart w:id="3185" w:name="_Toc491265034"/>
      <w:bookmarkStart w:id="3186" w:name="_Toc491263249"/>
      <w:bookmarkStart w:id="3187" w:name="_Toc491250901"/>
      <w:bookmarkStart w:id="3188" w:name="_Toc491244344"/>
      <w:bookmarkStart w:id="3189" w:name="_Toc490572295"/>
      <w:bookmarkStart w:id="3190" w:name="_Toc488826803"/>
      <w:bookmarkStart w:id="3191" w:name="_Toc488825211"/>
      <w:bookmarkStart w:id="3192" w:name="_Toc445397461"/>
      <w:bookmarkStart w:id="3193" w:name="_Toc441652990"/>
      <w:bookmarkStart w:id="3194" w:name="_Toc343001495"/>
      <w:bookmarkStart w:id="3195" w:name="_Toc341780956"/>
      <w:bookmarkStart w:id="3196" w:name="_Toc341776382"/>
      <w:bookmarkStart w:id="3197" w:name="_Toc341771353"/>
      <w:bookmarkStart w:id="3198" w:name="_Toc340837443"/>
      <w:bookmarkStart w:id="3199" w:name="_Toc340828728"/>
      <w:bookmarkStart w:id="3200" w:name="_Toc340814399"/>
      <w:bookmarkStart w:id="3201" w:name="_Toc340814299"/>
      <w:bookmarkStart w:id="3202" w:name="_Toc340760346"/>
      <w:bookmarkStart w:id="3203" w:name="_Toc340759968"/>
      <w:bookmarkStart w:id="3204" w:name="_Toc340757508"/>
      <w:bookmarkStart w:id="3205" w:name="_Toc338754123"/>
      <w:bookmarkStart w:id="3206" w:name="_Toc338753970"/>
      <w:bookmarkStart w:id="3207" w:name="_Toc338753613"/>
      <w:bookmarkStart w:id="3208" w:name="_Toc338751679"/>
      <w:bookmarkStart w:id="3209" w:name="_Toc337829215"/>
      <w:bookmarkStart w:id="3210" w:name="_Toc337828044"/>
      <w:bookmarkStart w:id="3211" w:name="_Toc337827849"/>
      <w:bookmarkStart w:id="3212" w:name="_Toc337827480"/>
      <w:bookmarkStart w:id="3213" w:name="_Toc337826829"/>
      <w:bookmarkStart w:id="3214" w:name="_Toc334637532"/>
      <w:bookmarkStart w:id="3215" w:name="_Toc333517036"/>
      <w:bookmarkStart w:id="3216" w:name="_Toc333516954"/>
      <w:bookmarkStart w:id="3217" w:name="_Toc333516872"/>
      <w:bookmarkStart w:id="3218" w:name="_Toc333516763"/>
      <w:bookmarkStart w:id="3219" w:name="_Toc488825210"/>
      <w:bookmarkStart w:id="3220" w:name="_Toc445397459"/>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r>
        <w:rPr>
          <w:rFonts w:ascii="Times New Roman;Times;serif" w:hAnsi="Times New Roman;Times;serif"/>
          <w:sz w:val="24"/>
        </w:rPr>
        <w:t>Transaction Expenses</w:t>
      </w:r>
      <w:bookmarkStart w:id="3221" w:name="_Toc340757509"/>
      <w:bookmarkEnd w:id="3221"/>
      <w:r>
        <w:rPr>
          <w:rFonts w:ascii="Times New Roman;Times;serif" w:hAnsi="Times New Roman;Times;serif"/>
          <w:sz w:val="24"/>
        </w:rPr>
        <w:t xml:space="preserve">. Each Party shall pay its own expenses incidental to the preparation of this Agreement and the other Company Ancillary Documents, the carrying out of the provisions hereof and thereof and the consummation of the transactions contemplated hereby and thereby, including fees and disbursements of their respective attorneys, accountants, brokers, finders and investment bankers; provided, that the Parties hereby agree that the Sellers shall be responsible for and shall pay any and all Transfer Taxes and any and all Transaction Expenses.   </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Section 6.5</w:t>
      </w:r>
      <w:bookmarkStart w:id="3222" w:name="_Toc228467112"/>
      <w:bookmarkEnd w:id="3222"/>
      <w:r>
        <w:rPr>
          <w:rFonts w:ascii="Times New Roman;Times;serif" w:hAnsi="Times New Roman;Times;serif"/>
          <w:sz w:val="24"/>
        </w:rPr>
        <w:t xml:space="preserve">Confidentiality. From and after the Closing, each Seller shall, and shall cause their respective controlled Affiliates to, hold, and shall use reasonable best efforts to cause their or such Affiliates’ respective Representatives to hold, in confidence any and all information, whether written or oral, concerning the Business, except to the extent that  Seller can show that such information (a) is generally available to and known by the public through no fault of Seller, any of their respective Affiliates or their or such Affiliates’ respective representatives; (b) is lawfully acquired by  Seller, any of their respective Affiliates or their or such Affiliates’ respective representatives from and after the Closing from sources which are not, to the knowledge of the receipt, prohibited from disclosing such information by a legal, contractual or fiduciary obligation of confidentiality; or (c) is independently developed by Seller, any of their respective Affiliates or their or such Affiliates’ respective representatives.  If Seller, any of their respective Affiliates or any of their or such Affiliates’ respective representatives are required to disclose any information by judicial or administrative process or by other requirements of Law, Seller (or their respective Affiliates and their and such Affiliates’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respective representatives) shall, only to the extent practicable and permitted by applicable Law, promptly notify Purchaser of such required disclosure and shall disclose only that portion of such information which Seller (or other applicable disclosing party) is advised by its counsel (which can include in-house counsel) is legally required to be disclosed, provided that Seller, as the case may be, shall use reasonable best efforts to obtain an appropriate protective order or other reasonable assurance that confidential treatment will be accorded such information.</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Section 6.6</w:t>
      </w:r>
      <w:bookmarkStart w:id="3223" w:name="_Toc228467113"/>
      <w:bookmarkStart w:id="3224" w:name="_Toc493079771"/>
      <w:bookmarkStart w:id="3225" w:name="_Toc223343430"/>
      <w:bookmarkStart w:id="3226" w:name="_Toc223343263"/>
      <w:bookmarkStart w:id="3227" w:name="_Toc223343098"/>
      <w:bookmarkStart w:id="3228" w:name="_Toc223342587"/>
      <w:bookmarkStart w:id="3229" w:name="_Toc223342493"/>
      <w:bookmarkStart w:id="3230" w:name="_Toc223342240"/>
      <w:bookmarkStart w:id="3231" w:name="_Toc223342107"/>
      <w:bookmarkEnd w:id="3223"/>
      <w:bookmarkEnd w:id="3224"/>
      <w:bookmarkEnd w:id="3225"/>
      <w:bookmarkEnd w:id="3226"/>
      <w:bookmarkEnd w:id="3227"/>
      <w:bookmarkEnd w:id="3228"/>
      <w:bookmarkEnd w:id="3229"/>
      <w:bookmarkEnd w:id="3230"/>
      <w:bookmarkEnd w:id="3231"/>
      <w:r>
        <w:rPr>
          <w:rFonts w:ascii="Times New Roman;Times;serif" w:hAnsi="Times New Roman;Times;serif"/>
          <w:sz w:val="24"/>
        </w:rPr>
        <w:t xml:space="preserve">Public Announcements. Subject to any legal obligations, the Purchaser and the Seller Representative shall consult with each other with respect to the timing and content of any announcements regarding this Agreement or the transactions contemplated hereby, and no Seller shall, without the prior written consent of the Purchaser, issue any public announcement or press release regarding this Agreement or the transactions contemplated hereby. </w:t>
      </w:r>
    </w:p>
    <w:p>
      <w:pPr>
        <w:pStyle w:val="TextBody"/>
        <w:bidi w:val="0"/>
        <w:spacing w:lineRule="auto" w:line="285" w:before="0" w:after="240"/>
        <w:ind w:left="720" w:right="0" w:hanging="0"/>
        <w:jc w:val="both"/>
        <w:rPr>
          <w:rFonts w:ascii="Times New Roman;Times;serif" w:hAnsi="Times New Roman;Times;serif"/>
          <w:sz w:val="24"/>
        </w:rPr>
      </w:pPr>
      <w:r>
        <w:rPr>
          <w:rFonts w:ascii="Times New Roman;Times;serif" w:hAnsi="Times New Roman;Times;serif"/>
          <w:sz w:val="24"/>
        </w:rPr>
        <w:t>Section 6.7</w:t>
      </w:r>
      <w:bookmarkStart w:id="3232" w:name="_Toc228467114"/>
      <w:bookmarkEnd w:id="3232"/>
      <w:r>
        <w:rPr>
          <w:rFonts w:ascii="Times New Roman;Times;serif" w:hAnsi="Times New Roman;Times;serif"/>
          <w:sz w:val="24"/>
        </w:rPr>
        <w:t>Further Assurances. Following the Closing, each of the Parties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w:t>
      </w:r>
      <w:bookmarkStart w:id="3233" w:name="_Toc223343102"/>
      <w:bookmarkStart w:id="3234" w:name="_Toc223342591"/>
      <w:bookmarkStart w:id="3235" w:name="_Toc223342497"/>
      <w:bookmarkStart w:id="3236" w:name="_Toc223342245"/>
      <w:bookmarkStart w:id="3237" w:name="_Toc223342112"/>
      <w:bookmarkStart w:id="3238" w:name="_Toc223341813"/>
      <w:bookmarkStart w:id="3239" w:name="_Toc223341452"/>
      <w:bookmarkStart w:id="3240" w:name="_Toc223340831"/>
      <w:bookmarkStart w:id="3241" w:name="_Toc223340695"/>
      <w:bookmarkStart w:id="3242" w:name="_Toc223340418"/>
      <w:bookmarkStart w:id="3243" w:name="_Toc223339916"/>
      <w:bookmarkEnd w:id="3233"/>
      <w:bookmarkEnd w:id="3234"/>
      <w:bookmarkEnd w:id="3235"/>
      <w:bookmarkEnd w:id="3236"/>
      <w:bookmarkEnd w:id="3237"/>
      <w:bookmarkEnd w:id="3238"/>
      <w:bookmarkEnd w:id="3239"/>
      <w:bookmarkEnd w:id="3240"/>
      <w:bookmarkEnd w:id="3241"/>
      <w:bookmarkEnd w:id="3242"/>
      <w:bookmarkEnd w:id="3243"/>
    </w:p>
    <w:p>
      <w:pPr>
        <w:pStyle w:val="TextBody"/>
        <w:bidi w:val="0"/>
        <w:spacing w:lineRule="auto" w:line="285" w:before="0" w:after="240"/>
        <w:ind w:left="720" w:right="0" w:firstLine="1170"/>
        <w:jc w:val="both"/>
        <w:rPr>
          <w:rFonts w:ascii="Times New Roman;Times;serif" w:hAnsi="Times New Roman;Times;serif"/>
          <w:sz w:val="24"/>
        </w:rPr>
      </w:pPr>
      <w:r>
        <w:rPr>
          <w:rFonts w:ascii="Times New Roman;Times;serif" w:hAnsi="Times New Roman;Times;serif"/>
          <w:sz w:val="24"/>
        </w:rPr>
        <w:t>Section 6.8. Post-Closing Consents. The Parties acknowledge and agree that certain consents required in connection with the consummation of the Acquisition have not been obtained as of the Closing Date and are identified on Schedule 3.4(a) (collectively, the "Scheduled Consents"). Purchaser has elected to consummate the Acquisition notwithstanding the failure to obtain such Scheduled Consents prior to Closing. Accordingly: (a) neither the Company nor any Seller shall be deemed to be in breach of any representation, warranty, covenant or agreement set forth in this Agreement, or any Company Ancillary Document, by reason of the failure to obtain any Scheduled Consent prior to or following the Closing; (b) no Purchaser Indemnified Party shall have any right to indemnification, contribution, set-off or any other claim for Damages under this Agreement or otherwise against any Seller or the Company arising from or relating to the failure to obtain any Scheduled Consent, whether before or after the Closing; (c) by executing this Agreement, Purchaser irrevocably acknowledges and agrees that it has assumed the risk associated with the failure to obtain any Scheduled Consent and has waived any right to assert any claim against the Sellers or the Company on account thereof; and (d) following the Closing, each of Purchaser and the Company shall use commercially reasonable efforts to seek and obtain, as promptly as practicable, each Scheduled Consent that remains outstanding as of the Closing Date, and the Sellers shall cooperate reasonably with such efforts at no out-of-pocket cost or expense to the Sellers.</w:t>
      </w:r>
    </w:p>
    <w:p>
      <w:pPr>
        <w:pStyle w:val="TextBody"/>
        <w:bidi w:val="0"/>
        <w:spacing w:lineRule="auto" w:line="314" w:before="0" w:after="0"/>
        <w:ind w:left="0" w:right="0" w:hanging="0"/>
        <w:jc w:val="both"/>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VII</w:t>
      </w:r>
      <w:bookmarkStart w:id="3244" w:name="_Toc333516873"/>
      <w:bookmarkStart w:id="3245" w:name="_Toc333516764"/>
      <w:bookmarkStart w:id="3246" w:name="_Toc333516593"/>
      <w:bookmarkEnd w:id="3244"/>
      <w:bookmarkEnd w:id="3245"/>
      <w:bookmarkEnd w:id="3246"/>
      <w:r>
        <w:rPr>
          <w:rFonts w:ascii="Arial;Helvetica;sans-serif" w:hAnsi="Arial;Helvetica;sans-serif"/>
          <w:b/>
          <w:sz w:val="21"/>
        </w:rPr>
        <w:t>​</w:t>
      </w:r>
      <w:r>
        <w:rPr>
          <w:rFonts w:ascii="Times New Roman;Times;serif" w:hAnsi="Times New Roman;Times;serif"/>
          <w:b/>
          <w:sz w:val="24"/>
        </w:rPr>
        <w:br/>
      </w:r>
      <w:bookmarkStart w:id="3247" w:name="_Toc228467115"/>
      <w:bookmarkStart w:id="3248" w:name="_Toc493079772"/>
      <w:bookmarkStart w:id="3249" w:name="_Toc491265035"/>
      <w:bookmarkStart w:id="3250" w:name="_Toc491263250"/>
      <w:bookmarkStart w:id="3251" w:name="_Toc491250902"/>
      <w:bookmarkStart w:id="3252" w:name="_Toc491244345"/>
      <w:bookmarkStart w:id="3253" w:name="_Toc490572296"/>
      <w:bookmarkStart w:id="3254" w:name="_Toc488826804"/>
      <w:bookmarkStart w:id="3255" w:name="_Toc488825212"/>
      <w:bookmarkStart w:id="3256" w:name="_Toc445397462"/>
      <w:bookmarkStart w:id="3257" w:name="_Toc441652991"/>
      <w:bookmarkStart w:id="3258" w:name="_Toc343001498"/>
      <w:bookmarkStart w:id="3259" w:name="_Toc341780957"/>
      <w:bookmarkStart w:id="3260" w:name="_Toc341776383"/>
      <w:bookmarkStart w:id="3261" w:name="_Toc341771354"/>
      <w:bookmarkStart w:id="3262" w:name="_Toc340837444"/>
      <w:bookmarkStart w:id="3263" w:name="_Toc340828729"/>
      <w:bookmarkStart w:id="3264" w:name="_Toc340814400"/>
      <w:bookmarkStart w:id="3265" w:name="_Toc340814300"/>
      <w:bookmarkStart w:id="3266" w:name="_Toc340760347"/>
      <w:bookmarkStart w:id="3267" w:name="_Toc340759969"/>
      <w:bookmarkStart w:id="3268" w:name="_Toc340757510"/>
      <w:bookmarkStart w:id="3269" w:name="_Toc338754124"/>
      <w:bookmarkStart w:id="3270" w:name="_Toc338753971"/>
      <w:bookmarkStart w:id="3271" w:name="_Toc338753614"/>
      <w:bookmarkStart w:id="3272" w:name="_Toc338751680"/>
      <w:bookmarkStart w:id="3273" w:name="_Toc337829216"/>
      <w:bookmarkStart w:id="3274" w:name="_Toc337828045"/>
      <w:bookmarkStart w:id="3275" w:name="_Toc337827850"/>
      <w:bookmarkStart w:id="3276" w:name="_Toc337827481"/>
      <w:bookmarkStart w:id="3277" w:name="_Toc337826830"/>
      <w:bookmarkStart w:id="3278" w:name="_Toc334637533"/>
      <w:bookmarkStart w:id="3279" w:name="_Toc333517037"/>
      <w:bookmarkStart w:id="3280" w:name="_Toc333516955"/>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r>
        <w:rPr>
          <w:rFonts w:ascii="Times New Roman;Times;serif" w:hAnsi="Times New Roman;Times;serif"/>
          <w:b/>
          <w:sz w:val="24"/>
        </w:rPr>
        <w:t>CLOSING</w:t>
      </w:r>
      <w:r>
        <w:rPr>
          <w:rFonts w:ascii="Arial;Helvetica;sans-serif" w:hAnsi="Arial;Helvetica;sans-serif"/>
          <w:b/>
          <w:sz w:val="21"/>
        </w:rPr>
        <w:t xml:space="preserve"> </w:t>
      </w:r>
      <w:r>
        <w:rPr>
          <w:rFonts w:ascii="Times New Roman;Times;serif" w:hAnsi="Times New Roman;Times;serif"/>
          <w:b/>
          <w:sz w:val="24"/>
        </w:rPr>
        <w:t>DELIVERABLES</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7.1</w:t>
      </w:r>
      <w:bookmarkStart w:id="3281" w:name="_Toc333516595"/>
      <w:bookmarkStart w:id="3282" w:name="_Toc228467116"/>
      <w:bookmarkStart w:id="3283" w:name="_Toc493079774"/>
      <w:bookmarkStart w:id="3284" w:name="_Toc491265037"/>
      <w:bookmarkStart w:id="3285" w:name="_Toc491263252"/>
      <w:bookmarkStart w:id="3286" w:name="_Toc491250904"/>
      <w:bookmarkStart w:id="3287" w:name="_Toc491244347"/>
      <w:bookmarkStart w:id="3288" w:name="_Toc490572298"/>
      <w:bookmarkStart w:id="3289" w:name="_Toc488826806"/>
      <w:bookmarkStart w:id="3290" w:name="_Toc488825214"/>
      <w:bookmarkStart w:id="3291" w:name="_Toc445397464"/>
      <w:bookmarkStart w:id="3292" w:name="_Toc441652993"/>
      <w:bookmarkStart w:id="3293" w:name="_Toc343001500"/>
      <w:bookmarkStart w:id="3294" w:name="_Toc341780959"/>
      <w:bookmarkStart w:id="3295" w:name="_Toc341776385"/>
      <w:bookmarkStart w:id="3296" w:name="_Toc341771356"/>
      <w:bookmarkStart w:id="3297" w:name="_Toc340837446"/>
      <w:bookmarkStart w:id="3298" w:name="_Toc340828731"/>
      <w:bookmarkStart w:id="3299" w:name="_Toc340814402"/>
      <w:bookmarkStart w:id="3300" w:name="_Toc340814302"/>
      <w:bookmarkStart w:id="3301" w:name="_Toc340760349"/>
      <w:bookmarkStart w:id="3302" w:name="_Toc340759971"/>
      <w:bookmarkStart w:id="3303" w:name="_Toc340757512"/>
      <w:bookmarkStart w:id="3304" w:name="_Toc338754126"/>
      <w:bookmarkStart w:id="3305" w:name="_Toc338753973"/>
      <w:bookmarkStart w:id="3306" w:name="_Toc338753616"/>
      <w:bookmarkStart w:id="3307" w:name="_Toc338751682"/>
      <w:bookmarkStart w:id="3308" w:name="_Toc337829218"/>
      <w:bookmarkStart w:id="3309" w:name="_Toc337828047"/>
      <w:bookmarkStart w:id="3310" w:name="_Toc337827852"/>
      <w:bookmarkStart w:id="3311" w:name="_Toc337827483"/>
      <w:bookmarkStart w:id="3312" w:name="_Toc337826832"/>
      <w:bookmarkStart w:id="3313" w:name="_Toc334637535"/>
      <w:bookmarkStart w:id="3314" w:name="_Toc333517039"/>
      <w:bookmarkStart w:id="3315" w:name="_Toc333516957"/>
      <w:bookmarkStart w:id="3316" w:name="_Toc333516875"/>
      <w:bookmarkStart w:id="3317" w:name="_Toc333516766"/>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r>
        <w:rPr>
          <w:rFonts w:ascii="Times New Roman;Times;serif" w:hAnsi="Times New Roman;Times;serif"/>
          <w:sz w:val="24"/>
        </w:rPr>
        <w:t>Sellers’ Closing Deliverables.  At or prior to the Closing, the Sellers shall deliver, or cause to be delivered, to the Purchaser the following:</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(a)</w:t>
      </w:r>
      <w:bookmarkStart w:id="3318" w:name="_Toc333516768"/>
      <w:bookmarkStart w:id="3319" w:name="_Toc333516597"/>
      <w:bookmarkEnd w:id="3318"/>
      <w:bookmarkEnd w:id="3319"/>
      <w:r>
        <w:rPr>
          <w:rFonts w:ascii="Times New Roman;Times;serif" w:hAnsi="Times New Roman;Times;serif"/>
          <w:sz w:val="24"/>
        </w:rPr>
        <w:t>each completed W-9 Form in accordance with Section 2.3(c);</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Books and Records of the Company;</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each of [REDACTED], [REDACTED], [REDACTED], [REDACTED], [REDACTED]</w:t>
      </w:r>
      <w:r>
        <w:rPr>
          <w:rFonts w:ascii="Arial;Helvetica;sans-serif" w:hAnsi="Arial;Helvetica;sans-serif"/>
          <w:sz w:val="21"/>
        </w:rPr>
        <w:t xml:space="preserve"> </w:t>
      </w:r>
      <w:r>
        <w:rPr>
          <w:rFonts w:ascii="Times New Roman;Times;serif" w:hAnsi="Times New Roman;Times;serif"/>
          <w:sz w:val="24"/>
        </w:rPr>
        <w:t xml:space="preserve">and [REDACTED] shall have executed a non-competition agreement in substantially the form set forth on </w:t>
      </w:r>
      <w:r>
        <w:rPr>
          <w:rFonts w:ascii="Times New Roman;Times;serif" w:hAnsi="Times New Roman;Times;serif"/>
          <w:sz w:val="24"/>
          <w:u w:val="single"/>
        </w:rPr>
        <w:t>Exhibit 7.2(d)(2)</w:t>
      </w:r>
      <w:r>
        <w:rPr>
          <w:rFonts w:ascii="Times New Roman;Times;serif" w:hAnsi="Times New Roman;Times;serif"/>
          <w:sz w:val="24"/>
        </w:rPr>
        <w:t>, (the “</w:t>
      </w:r>
      <w:r>
        <w:rPr>
          <w:rFonts w:ascii="Times New Roman;Times;serif" w:hAnsi="Times New Roman;Times;serif"/>
          <w:sz w:val="24"/>
          <w:u w:val="single"/>
        </w:rPr>
        <w:t>Seller Agreements</w:t>
      </w:r>
      <w:r>
        <w:rPr>
          <w:rFonts w:ascii="Arial;Helvetica;sans-serif" w:hAnsi="Arial;Helvetica;sans-serif"/>
          <w:sz w:val="21"/>
        </w:rPr>
        <w:t>”</w:t>
      </w:r>
      <w:r>
        <w:rPr>
          <w:rFonts w:ascii="Times New Roman;Times;serif" w:hAnsi="Times New Roman;Times;serif"/>
          <w:sz w:val="24"/>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bookmarkStart w:id="3320" w:name="_Toc333516770"/>
      <w:bookmarkStart w:id="3321" w:name="_Toc333516599"/>
      <w:bookmarkEnd w:id="3320"/>
      <w:bookmarkEnd w:id="3321"/>
      <w:r>
        <w:rPr>
          <w:rFonts w:ascii="Times New Roman;Times;serif" w:hAnsi="Times New Roman;Times;serif"/>
          <w:sz w:val="24"/>
        </w:rPr>
        <w:t>copies of a good standing certificate from the applicable Governmental Entity of the Company’s jurisdiction of incorporation and each jurisdiction in which the Company is qualified to conduct business, dated a recent date prior to the Closing Date;</w:t>
      </w:r>
      <w:r>
        <w:rPr>
          <w:rFonts w:ascii="Arial;Helvetica;sans-serif" w:hAnsi="Arial;Helvetica;sans-serif"/>
          <w:sz w:val="21"/>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bookmarkStart w:id="3322" w:name="_Toc333516772"/>
      <w:bookmarkStart w:id="3323" w:name="_Toc333516601"/>
      <w:bookmarkEnd w:id="3322"/>
      <w:bookmarkEnd w:id="3323"/>
      <w:r>
        <w:rPr>
          <w:rFonts w:ascii="Times New Roman;Times;serif" w:hAnsi="Times New Roman;Times;serif"/>
          <w:sz w:val="24"/>
        </w:rPr>
        <w:t xml:space="preserve">a </w:t>
      </w:r>
      <w:bookmarkStart w:id="3324" w:name="_docxtools_312"/>
      <w:bookmarkEnd w:id="3324"/>
      <w:r>
        <w:rPr>
          <w:rFonts w:ascii="Times New Roman;Times;serif" w:hAnsi="Times New Roman;Times;serif"/>
          <w:sz w:val="24"/>
        </w:rPr>
        <w:t xml:space="preserve">duly executed Assignment of Membership Interests;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(f)</w:t>
      </w:r>
      <w:r>
        <w:rPr>
          <w:rFonts w:ascii="Times New Roman;Times;serif" w:hAnsi="Times New Roman;Times;serif"/>
          <w:sz w:val="24"/>
        </w:rPr>
        <w:t xml:space="preserve">a certificate certifying the Company’s Second Amended and Restated Operating Agreement;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(g)</w:t>
      </w:r>
      <w:r>
        <w:rPr>
          <w:rFonts w:ascii="Times New Roman;Times;serif" w:hAnsi="Times New Roman;Times;serif"/>
          <w:sz w:val="24"/>
        </w:rPr>
        <w:t>all other documents required to be entered into or delivered by the Company and the Sellers at or prior to Closing pursuant to the express terms of this Agreement or such other documents or instruments as the Purchaser reasonably requests and are reasonably necessary to consummate the transactions contemplated by this Agreement;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(h)</w:t>
      </w:r>
      <w:r>
        <w:rPr>
          <w:rFonts w:ascii="Times New Roman;Times;serif" w:hAnsi="Times New Roman;Times;serif"/>
          <w:sz w:val="24"/>
        </w:rPr>
        <w:t xml:space="preserve">a corporate consent resolution authorizing the sale; </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7.2</w:t>
      </w:r>
      <w:bookmarkStart w:id="3325" w:name="_Toc333516602"/>
      <w:bookmarkStart w:id="3326" w:name="_Toc228467117"/>
      <w:bookmarkStart w:id="3327" w:name="_Toc493079775"/>
      <w:bookmarkStart w:id="3328" w:name="_Toc491265038"/>
      <w:bookmarkStart w:id="3329" w:name="_Toc491263253"/>
      <w:bookmarkStart w:id="3330" w:name="_Toc491250905"/>
      <w:bookmarkStart w:id="3331" w:name="_Toc491244348"/>
      <w:bookmarkStart w:id="3332" w:name="_Toc490572299"/>
      <w:bookmarkStart w:id="3333" w:name="_Toc488826807"/>
      <w:bookmarkStart w:id="3334" w:name="_Toc488825215"/>
      <w:bookmarkStart w:id="3335" w:name="_Toc445397465"/>
      <w:bookmarkStart w:id="3336" w:name="_Toc441652994"/>
      <w:bookmarkStart w:id="3337" w:name="_Toc343001501"/>
      <w:bookmarkStart w:id="3338" w:name="_Toc341780960"/>
      <w:bookmarkStart w:id="3339" w:name="_Toc341776386"/>
      <w:bookmarkStart w:id="3340" w:name="_Toc341771357"/>
      <w:bookmarkStart w:id="3341" w:name="_Toc340837447"/>
      <w:bookmarkStart w:id="3342" w:name="_Toc340828732"/>
      <w:bookmarkStart w:id="3343" w:name="_Toc340814403"/>
      <w:bookmarkStart w:id="3344" w:name="_Toc340814303"/>
      <w:bookmarkStart w:id="3345" w:name="_Toc340760350"/>
      <w:bookmarkStart w:id="3346" w:name="_Toc340759972"/>
      <w:bookmarkStart w:id="3347" w:name="_Toc340757513"/>
      <w:bookmarkStart w:id="3348" w:name="_Toc338754127"/>
      <w:bookmarkStart w:id="3349" w:name="_Toc338753974"/>
      <w:bookmarkStart w:id="3350" w:name="_Toc338753617"/>
      <w:bookmarkStart w:id="3351" w:name="_Toc338751683"/>
      <w:bookmarkStart w:id="3352" w:name="_Toc337829219"/>
      <w:bookmarkStart w:id="3353" w:name="_Toc337828048"/>
      <w:bookmarkStart w:id="3354" w:name="_Toc337827853"/>
      <w:bookmarkStart w:id="3355" w:name="_Toc337827484"/>
      <w:bookmarkStart w:id="3356" w:name="_Toc337826833"/>
      <w:bookmarkStart w:id="3357" w:name="_Toc334637536"/>
      <w:bookmarkStart w:id="3358" w:name="_Toc333517040"/>
      <w:bookmarkStart w:id="3359" w:name="_Toc333516958"/>
      <w:bookmarkStart w:id="3360" w:name="_Toc333516876"/>
      <w:bookmarkStart w:id="3361" w:name="_Toc333516773"/>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r>
        <w:rPr>
          <w:rFonts w:ascii="Times New Roman;Times;serif" w:hAnsi="Times New Roman;Times;serif"/>
          <w:sz w:val="24"/>
        </w:rPr>
        <w:t>Purchaser Closing Deliverables.  At or prior to the Closing, the Purchaser shall deliver, or cause to be delivered, the following:</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3362" w:name="_Toc333516774"/>
      <w:bookmarkStart w:id="3363" w:name="_Toc333516603"/>
      <w:bookmarkEnd w:id="3362"/>
      <w:bookmarkEnd w:id="3363"/>
      <w:r>
        <w:rPr>
          <w:rFonts w:ascii="Times New Roman;Times;serif" w:hAnsi="Times New Roman;Times;serif"/>
          <w:sz w:val="24"/>
        </w:rPr>
        <w:t>the Initial Purchase Price, paid in accordance with Section 2.2(a);</w:t>
      </w:r>
      <w:r>
        <w:rPr>
          <w:rFonts w:ascii="Arial;Helvetica;sans-serif" w:hAnsi="Arial;Helvetica;sans-serif"/>
          <w:sz w:val="21"/>
        </w:rPr>
        <w:t xml:space="preserve"> </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Seller Agreements, executed on behalf of the Company by the Purchaser;</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3364" w:name="_Toc333516777"/>
      <w:bookmarkStart w:id="3365" w:name="_Toc333516606"/>
      <w:bookmarkEnd w:id="3364"/>
      <w:bookmarkEnd w:id="3365"/>
      <w:r>
        <w:rPr>
          <w:rFonts w:ascii="Times New Roman;Times;serif" w:hAnsi="Times New Roman;Times;serif"/>
          <w:sz w:val="24"/>
        </w:rPr>
        <w:t>a certificate, executed by the Purchaser’s secretary and dated as of the Closing Date, stating that the Board of Directors of the Purchaser has taken all necessary action to approve and authorize, including obtaining the approval of the Purchaser’s banks “BMO Harris Bank N.A., MUFG Union Bank, N.A., Bank of America N.A., Citibank N.A. and U.S. Bank, N.A.”, the Purchaser’s performance of its obligations under this Agreement and the Purchaser Ancillary Documents to which it is a party and all actions required to be taken by the Purchaser pursuant hereto and thereto;</w:t>
      </w:r>
      <w:r>
        <w:rPr>
          <w:rFonts w:ascii="Arial;Helvetica;sans-serif" w:hAnsi="Arial;Helvetica;sans-serif"/>
          <w:sz w:val="21"/>
        </w:rPr>
        <w:t xml:space="preserve"> </w:t>
      </w:r>
    </w:p>
    <w:p>
      <w:pPr>
        <w:pStyle w:val="TextBody"/>
        <w:bidi w:val="0"/>
        <w:spacing w:lineRule="auto" w:line="285" w:before="0" w:after="240"/>
        <w:ind w:left="1440" w:right="0" w:hanging="0"/>
        <w:jc w:val="both"/>
        <w:rPr/>
      </w:pPr>
      <w:bookmarkStart w:id="3366" w:name="_Toc333516779"/>
      <w:bookmarkStart w:id="3367" w:name="_Toc333516608"/>
      <w:bookmarkEnd w:id="3366"/>
      <w:bookmarkEnd w:id="3367"/>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a certificate of insurance or other evidence that the R&amp;W Insurance policy is in full force and effect as of the Closing Date; and</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all other documents required to be entered into or delivered by the Purchaser at or prior to Closing pursuant to the express terms of this Agreement.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VIII</w:t>
      </w:r>
      <w:bookmarkStart w:id="3368" w:name="_Toc333516877"/>
      <w:bookmarkStart w:id="3369" w:name="_Toc333516780"/>
      <w:bookmarkStart w:id="3370" w:name="_Toc333516609"/>
      <w:bookmarkEnd w:id="3368"/>
      <w:bookmarkEnd w:id="3369"/>
      <w:bookmarkEnd w:id="3370"/>
      <w:r>
        <w:rPr>
          <w:rFonts w:ascii="Arial;Helvetica;sans-serif" w:hAnsi="Arial;Helvetica;sans-serif"/>
          <w:b/>
          <w:sz w:val="21"/>
        </w:rPr>
        <w:t>​</w:t>
      </w:r>
      <w:r>
        <w:rPr>
          <w:rFonts w:ascii="Times New Roman;Times;serif" w:hAnsi="Times New Roman;Times;serif"/>
          <w:b/>
          <w:sz w:val="24"/>
        </w:rPr>
        <w:br/>
      </w:r>
      <w:bookmarkStart w:id="3371" w:name="_Toc228467118"/>
      <w:bookmarkStart w:id="3372" w:name="_Toc493079776"/>
      <w:bookmarkStart w:id="3373" w:name="_Toc491265039"/>
      <w:bookmarkStart w:id="3374" w:name="_Toc491263254"/>
      <w:bookmarkStart w:id="3375" w:name="_Toc491250906"/>
      <w:bookmarkStart w:id="3376" w:name="_Toc491244349"/>
      <w:bookmarkStart w:id="3377" w:name="_Toc490572300"/>
      <w:bookmarkStart w:id="3378" w:name="_Toc488826808"/>
      <w:bookmarkStart w:id="3379" w:name="_Toc488825216"/>
      <w:bookmarkStart w:id="3380" w:name="_Toc445397466"/>
      <w:bookmarkStart w:id="3381" w:name="_Toc441652995"/>
      <w:bookmarkStart w:id="3382" w:name="_Toc343001502"/>
      <w:bookmarkStart w:id="3383" w:name="_Toc341780961"/>
      <w:bookmarkStart w:id="3384" w:name="_Toc341776387"/>
      <w:bookmarkStart w:id="3385" w:name="_Toc341771358"/>
      <w:bookmarkStart w:id="3386" w:name="_Toc340837448"/>
      <w:bookmarkStart w:id="3387" w:name="_Toc340828733"/>
      <w:bookmarkStart w:id="3388" w:name="_Toc340814404"/>
      <w:bookmarkStart w:id="3389" w:name="_Toc340814304"/>
      <w:bookmarkStart w:id="3390" w:name="_Toc340760351"/>
      <w:bookmarkStart w:id="3391" w:name="_Toc340759973"/>
      <w:bookmarkStart w:id="3392" w:name="_Toc340757514"/>
      <w:bookmarkStart w:id="3393" w:name="_Toc338754128"/>
      <w:bookmarkStart w:id="3394" w:name="_Toc338753975"/>
      <w:bookmarkStart w:id="3395" w:name="_Toc338753618"/>
      <w:bookmarkStart w:id="3396" w:name="_Toc338751684"/>
      <w:bookmarkStart w:id="3397" w:name="_Toc337829220"/>
      <w:bookmarkStart w:id="3398" w:name="_Toc337828049"/>
      <w:bookmarkStart w:id="3399" w:name="_Toc337827854"/>
      <w:bookmarkStart w:id="3400" w:name="_Toc337827485"/>
      <w:bookmarkStart w:id="3401" w:name="_Toc337826834"/>
      <w:bookmarkStart w:id="3402" w:name="_Toc334637537"/>
      <w:bookmarkStart w:id="3403" w:name="_Toc333517041"/>
      <w:bookmarkStart w:id="3404" w:name="_Toc333516959"/>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r>
        <w:rPr>
          <w:rFonts w:ascii="Times New Roman;Times;serif" w:hAnsi="Times New Roman;Times;serif"/>
          <w:b/>
          <w:sz w:val="24"/>
        </w:rPr>
        <w:t>INDEMNIFICATION</w:t>
      </w:r>
    </w:p>
    <w:p>
      <w:pPr>
        <w:pStyle w:val="TextBody"/>
        <w:bidi w:val="0"/>
        <w:spacing w:lineRule="auto" w:line="285" w:before="0" w:after="210"/>
        <w:ind w:left="810" w:right="0" w:hanging="0"/>
        <w:jc w:val="both"/>
        <w:rPr>
          <w:rFonts w:ascii="Times New Roman;Times;serif" w:hAnsi="Times New Roman;Times;serif"/>
          <w:sz w:val="24"/>
        </w:rPr>
      </w:pPr>
      <w:r>
        <w:rPr>
          <w:rFonts w:ascii="Times New Roman;Times;serif" w:hAnsi="Times New Roman;Times;serif"/>
          <w:sz w:val="24"/>
        </w:rPr>
        <w:t>Section 8.1</w:t>
      </w:r>
      <w:bookmarkStart w:id="3405" w:name="_Toc333516610"/>
      <w:bookmarkStart w:id="3406" w:name="_Toc493079777"/>
      <w:bookmarkStart w:id="3407" w:name="_Toc491265040"/>
      <w:bookmarkStart w:id="3408" w:name="_Toc491263255"/>
      <w:bookmarkStart w:id="3409" w:name="_Toc491250907"/>
      <w:bookmarkStart w:id="3410" w:name="_Toc491244350"/>
      <w:bookmarkStart w:id="3411" w:name="_Toc490572301"/>
      <w:bookmarkStart w:id="3412" w:name="_Toc488826809"/>
      <w:bookmarkStart w:id="3413" w:name="_Toc488825217"/>
      <w:bookmarkStart w:id="3414" w:name="_Toc445397467"/>
      <w:bookmarkStart w:id="3415" w:name="_Toc441652996"/>
      <w:bookmarkStart w:id="3416" w:name="_Toc343001503"/>
      <w:bookmarkStart w:id="3417" w:name="_Toc341780962"/>
      <w:bookmarkStart w:id="3418" w:name="_Toc341776388"/>
      <w:bookmarkStart w:id="3419" w:name="_Toc341771359"/>
      <w:bookmarkStart w:id="3420" w:name="_Toc340837449"/>
      <w:bookmarkStart w:id="3421" w:name="_Toc340828734"/>
      <w:bookmarkStart w:id="3422" w:name="_Toc340814405"/>
      <w:bookmarkStart w:id="3423" w:name="_Toc340814305"/>
      <w:bookmarkStart w:id="3424" w:name="_Toc340760352"/>
      <w:bookmarkStart w:id="3425" w:name="_Toc340759974"/>
      <w:bookmarkStart w:id="3426" w:name="_Toc340757515"/>
      <w:bookmarkStart w:id="3427" w:name="_Toc338754129"/>
      <w:bookmarkStart w:id="3428" w:name="_Toc338753976"/>
      <w:bookmarkStart w:id="3429" w:name="_Toc338753619"/>
      <w:bookmarkStart w:id="3430" w:name="_Toc338751685"/>
      <w:bookmarkStart w:id="3431" w:name="_Toc337829221"/>
      <w:bookmarkStart w:id="3432" w:name="_Toc337828050"/>
      <w:bookmarkStart w:id="3433" w:name="_Toc337827855"/>
      <w:bookmarkStart w:id="3434" w:name="_Toc337827486"/>
      <w:bookmarkStart w:id="3435" w:name="_Toc337826835"/>
      <w:bookmarkStart w:id="3436" w:name="_Toc334637538"/>
      <w:bookmarkStart w:id="3437" w:name="_Toc333517042"/>
      <w:bookmarkStart w:id="3438" w:name="_Toc333516960"/>
      <w:bookmarkStart w:id="3439" w:name="_Toc333516878"/>
      <w:bookmarkStart w:id="3440" w:name="_Toc333516781"/>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r>
        <w:rPr>
          <w:rFonts w:ascii="Times New Roman;Times;serif" w:hAnsi="Times New Roman;Times;serif"/>
          <w:sz w:val="24"/>
        </w:rPr>
        <w:t xml:space="preserve">  </w:t>
      </w:r>
      <w:bookmarkStart w:id="3441" w:name="_Toc228467119"/>
      <w:bookmarkEnd w:id="3441"/>
      <w:r>
        <w:rPr>
          <w:rFonts w:ascii="Times New Roman;Times;serif" w:hAnsi="Times New Roman;Times;serif"/>
          <w:sz w:val="24"/>
        </w:rPr>
        <w:t>Indemnification of the Purchaser Indemnified Parties.  Subject to the other provisions of this Article VIII, from and after the Closing, the Sellers shall indemnify, reimburse, defend and hold harmless the Purchaser Indemnified Parties from and against any and all Damages incurred, resulting or arising from the following; provided, however, that with respect to any claim arising under Section 8.1(a) (other than a claim based on Fraud), the Purchaser Indemnified Parties shall, as a condition precedent to asserting any indemnification claim directly against any Seller, first submit such claim to and use commercially reasonable efforts to recover such claim under the R&amp;W Insurance policy, and no Seller shall have any direct liability to any Purchaser Indemnified Party under Section 8.1(a) unless and until (x) such claim has been finally denied in writing by the R&amp;W Insurance carrier, or (y) the R&amp;W Insurance policy has been exhausted:</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3442" w:name="_Toc333516782"/>
      <w:bookmarkStart w:id="3443" w:name="_Toc333516611"/>
      <w:bookmarkEnd w:id="3442"/>
      <w:bookmarkEnd w:id="3443"/>
      <w:r>
        <w:rPr>
          <w:rFonts w:ascii="Times New Roman;Times;serif" w:hAnsi="Times New Roman;Times;serif"/>
          <w:sz w:val="24"/>
        </w:rPr>
        <w:t xml:space="preserve">any breach or inaccuracy of any representation or warranty made in </w:t>
      </w:r>
      <w:r>
        <w:rPr>
          <w:rFonts w:ascii="Times New Roman;Times;serif" w:hAnsi="Times New Roman;Times;serif"/>
          <w:sz w:val="24"/>
          <w:u w:val="single"/>
        </w:rPr>
        <w:t>Article III</w:t>
      </w:r>
      <w:r>
        <w:rPr>
          <w:rFonts w:ascii="Arial;Helvetica;sans-serif" w:hAnsi="Arial;Helvetica;sans-serif"/>
          <w:sz w:val="21"/>
        </w:rPr>
        <w:t xml:space="preserve"> </w:t>
      </w:r>
      <w:r>
        <w:rPr>
          <w:rFonts w:ascii="Times New Roman;Times;serif" w:hAnsi="Times New Roman;Times;serif"/>
          <w:sz w:val="24"/>
        </w:rPr>
        <w:t xml:space="preserve">or </w:t>
      </w:r>
      <w:r>
        <w:rPr>
          <w:rFonts w:ascii="Times New Roman;Times;serif" w:hAnsi="Times New Roman;Times;serif"/>
          <w:sz w:val="24"/>
          <w:u w:val="single"/>
        </w:rPr>
        <w:t>Article IV</w:t>
      </w:r>
      <w:r>
        <w:rPr>
          <w:rFonts w:ascii="Arial;Helvetica;sans-serif" w:hAnsi="Arial;Helvetica;sans-serif"/>
          <w:sz w:val="21"/>
        </w:rPr>
        <w:t xml:space="preserve"> </w:t>
      </w:r>
      <w:r>
        <w:rPr>
          <w:rFonts w:ascii="Times New Roman;Times;serif" w:hAnsi="Times New Roman;Times;serif"/>
          <w:sz w:val="24"/>
        </w:rPr>
        <w:t>this Agreement;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3444" w:name="_Toc333516783"/>
      <w:bookmarkStart w:id="3445" w:name="_Toc333516612"/>
      <w:bookmarkEnd w:id="3444"/>
      <w:bookmarkEnd w:id="3445"/>
      <w:r>
        <w:rPr>
          <w:rFonts w:ascii="Times New Roman;Times;serif" w:hAnsi="Times New Roman;Times;serif"/>
          <w:sz w:val="24"/>
        </w:rPr>
        <w:t>any breach or non-fulfillment of any covenant, agreement or undertaking made any Seller in this Agreement or any Company Ancillary Document;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any and all Indebtedness or Transaction Expenses, to the extent not paid or taken into account in determining the Initial Purchase Price at or prior to the Closing; provided, however, that no Seller shall have any indemnification obligation under this Section 8.1(c) with respect to (i) any retention payments, incentive compensation, or other compensatory arrangements initiated, imposed, or required by Purchaser or any of its Affiliates on or after the Closing Date, (ii) any payments attributable to post-Closing events or decisions made by Purchaser or any of its Affiliates, (iii) any employer-side payroll, employment or social security Taxes arising solely from compensation arrangements established or modified by Purchaser after the Closing Date, or (iv) the R&amp;W Insurance premium or associated fees and costs, it being the intent of the Parties that Seller indemnification obligations under this Section 8.1(c) are limited solely to Transaction Expenses arising from pre-Closing obligations of the Company or the Sellers as set forth in the definition of Transaction Expenses;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bookmarkStart w:id="3446" w:name="OLE_LINK21"/>
      <w:bookmarkStart w:id="3447" w:name="OLE_LINK19"/>
      <w:bookmarkEnd w:id="3446"/>
      <w:bookmarkEnd w:id="3447"/>
      <w:r>
        <w:rPr>
          <w:rFonts w:ascii="Times New Roman;Times;serif" w:hAnsi="Times New Roman;Times;serif"/>
          <w:sz w:val="24"/>
        </w:rPr>
        <w:t>notwithstanding any Knowledge qualifiers contained in any representations and warranties of the Sellers hereunder, any Liability or obligation for (i) any Taxes imposed on the Company with respect to any Pre-Closing Tax Period and the portion of any Straddle Period through and ending on the Closing Date, other than Taxes for which Sellers are entitled to be indemnified pursuant to Section 6.1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the Sellers shall have no liability for Taxes attributable to transactions or occurrences outside the Ordinary Course on the Closing Date after the Closing), (ii) any Taxes of any member of an affiliated, consolidated combined or unitary group of which the Company (or predecessor of the Company) was a member prior to the Closing, for which the Company is liable pursuant to Treasury Regulation Section 1.1502-6 or any analogous or similar state, local or foreign law or regulation, (iii) any Taxes of any Person (other than the Company) imposed on the Company as a transferee, successor or by Contract, when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events giving rise to such Taxes and to the Company’s liability for such Taxes occurred prior to the Closing, (iv) any Taxes imposed upon any income or gain recognized by the Sellers or the Company with respect to the sale and purchase of the Purchased Interests pursuant to the provisions of this Agreement, and (v) any Transfer Taxes; and</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 xml:space="preserve">any Liability or obligation incurred by the Company with respect to any of the Litigation disclosed or required to be disclosed in </w:t>
      </w:r>
      <w:r>
        <w:rPr>
          <w:rFonts w:ascii="Times New Roman;Times;serif" w:hAnsi="Times New Roman;Times;serif"/>
          <w:sz w:val="24"/>
          <w:u w:val="single"/>
        </w:rPr>
        <w:t>Schedule 3.12</w:t>
      </w:r>
      <w:r>
        <w:rPr>
          <w:rFonts w:ascii="Times New Roman;Times;serif" w:hAnsi="Times New Roman;Times;serif"/>
          <w:sz w:val="24"/>
        </w:rPr>
        <w:t>.</w:t>
      </w:r>
    </w:p>
    <w:p>
      <w:pPr>
        <w:pStyle w:val="TextBody"/>
        <w:bidi w:val="0"/>
        <w:spacing w:lineRule="auto" w:line="285" w:before="0" w:after="240"/>
        <w:ind w:left="0" w:right="0" w:firstLine="720"/>
        <w:jc w:val="both"/>
        <w:rPr>
          <w:rFonts w:ascii="Arial;Helvetica;sans-serif" w:hAnsi="Arial;Helvetica;sans-serif"/>
          <w:sz w:val="21"/>
        </w:rPr>
      </w:pPr>
      <w:r>
        <w:rPr>
          <w:rFonts w:ascii="Times New Roman;Times;serif" w:hAnsi="Times New Roman;Times;serif"/>
          <w:sz w:val="24"/>
        </w:rPr>
        <w:t>The Damages of the Purchaser Indemnified Parties described in this Section 8.1 as to which the Purchaser Indemnified Parties are entitled to indemnification are collectively referred to as “</w:t>
      </w:r>
      <w:r>
        <w:rPr>
          <w:rFonts w:ascii="Times New Roman;Times;serif" w:hAnsi="Times New Roman;Times;serif"/>
          <w:sz w:val="24"/>
          <w:u w:val="single"/>
        </w:rPr>
        <w:t>Purchaser Losses.</w:t>
      </w:r>
      <w:r>
        <w:rPr>
          <w:rFonts w:ascii="Arial;Helvetica;sans-serif" w:hAnsi="Arial;Helvetica;sans-serif"/>
          <w:sz w:val="21"/>
        </w:rPr>
        <w:t xml:space="preserve">” </w:t>
      </w:r>
      <w:r>
        <w:rPr>
          <w:rFonts w:ascii="Times New Roman;Times;serif" w:hAnsi="Times New Roman;Times;serif"/>
          <w:sz w:val="24"/>
        </w:rPr>
        <w:t>Each Seller’s liability with respect to Purchaser Losses under Section 8.1(a) and Section 8.1(b) shall be several and not joint, and shall be limited to such Seller’s pro rata share of such Purchaser Losses based on such Seller’s Sharing Ratio; provided, however, that (i) each Seller’s individual liability for Purchaser Losses arising from a breach or inaccuracy of such Seller’s own representations and warranties in Article IV or a breach of such Seller’s own covenants and agreements hereunder shall be borne solely by such Seller; and (ii) any Seller whose Sharing Ratio is equal to or less than 10% shall have no liability under Section 8.1 other than for (x) Purchaser Losses arising from a breach or inaccuracy of such Seller’s own representations and warranties in Article IV, (y) a breach of such Seller's own individual covenants hereunder, or (z) such Seller’s Sharing Ratio percentage of any Sales Tax imposed on the Company relating to any pre-Closing period.</w:t>
      </w:r>
    </w:p>
    <w:p>
      <w:pPr>
        <w:pStyle w:val="TextBody"/>
        <w:bidi w:val="0"/>
        <w:spacing w:lineRule="auto" w:line="285" w:before="0" w:after="210"/>
        <w:ind w:left="180" w:right="0" w:hanging="0"/>
        <w:jc w:val="both"/>
        <w:rPr>
          <w:rFonts w:ascii="Times New Roman;Times;serif" w:hAnsi="Times New Roman;Times;serif"/>
          <w:sz w:val="24"/>
        </w:rPr>
      </w:pPr>
      <w:r>
        <w:rPr>
          <w:rFonts w:ascii="Times New Roman;Times;serif" w:hAnsi="Times New Roman;Times;serif"/>
          <w:sz w:val="24"/>
        </w:rPr>
        <w:t>Section 8.2</w:t>
      </w:r>
      <w:bookmarkStart w:id="3448" w:name="_Toc228467120"/>
      <w:bookmarkEnd w:id="3448"/>
      <w:r>
        <w:rPr>
          <w:rFonts w:ascii="Times New Roman;Times;serif" w:hAnsi="Times New Roman;Times;serif"/>
          <w:sz w:val="24"/>
        </w:rPr>
        <w:t>Indemnification of the Seller Indemnified Parties.  Subject to the other provisions of this Article VIII, from and after the Closing, the Purchaser shall indemnify, reimburse, defend and hold harmless the Seller Indemnified Parties from and against any and all Damages incurred, resulting or arising from the following: (a) any breach of any representation or warranty made by the Purchaser in this Agreement; (b) any breach of any covenant, agreement or undertaking made by the Purchaser in this Agreement or any Purchaser Ancillary Document and any breach by the Company of any covenant, agreement or undertaking in this Agreement or any Purchaser Ancillary Document; (c) any Liability or obligation for (i) any Taxes imposed on the Company with respect to any periods after the Closing Date, (ii) any Taxes attributable to transactions or occurrences outside the Ordinary Course on the Closing Date and after the Closing, (iii) any Taxes for which Sellers are entitled to be indemnified pursuant to Section 6.1; (d) Purchaser’s Transaction Expenses; (e) the operation or conduct of the business by Purchaser or the Company after the Closing (including any Liability arising out of facts, circumstances or conditions first occurring after the Closing Date)  The Damages of the Seller Indemnified Parties described in this Section 8.2 as to which the Seller Indemnified Parties are entitled to indemnification are collectively referred to as “</w:t>
      </w:r>
      <w:r>
        <w:rPr>
          <w:rFonts w:ascii="Times New Roman;Times;serif" w:hAnsi="Times New Roman;Times;serif"/>
          <w:sz w:val="24"/>
          <w:u w:val="single"/>
        </w:rPr>
        <w:t>Seller Losses</w:t>
      </w:r>
      <w:r>
        <w:rPr>
          <w:rFonts w:ascii="Times New Roman;Times;serif" w:hAnsi="Times New Roman;Times;serif"/>
          <w:sz w:val="24"/>
        </w:rPr>
        <w:t>.”</w:t>
      </w:r>
      <w:bookmarkStart w:id="3449" w:name="_Toc333516619"/>
      <w:bookmarkStart w:id="3450" w:name="_Toc493079779"/>
      <w:bookmarkStart w:id="3451" w:name="_Toc491265042"/>
      <w:bookmarkStart w:id="3452" w:name="_Toc491263257"/>
      <w:bookmarkStart w:id="3453" w:name="_Toc491250909"/>
      <w:bookmarkStart w:id="3454" w:name="_Toc491244352"/>
      <w:bookmarkStart w:id="3455" w:name="_Toc490572303"/>
      <w:bookmarkStart w:id="3456" w:name="_Toc488826811"/>
      <w:bookmarkStart w:id="3457" w:name="_Toc488825219"/>
      <w:bookmarkStart w:id="3458" w:name="_Toc445397470"/>
      <w:bookmarkStart w:id="3459" w:name="_Toc441652998"/>
      <w:bookmarkStart w:id="3460" w:name="_Toc343001505"/>
      <w:bookmarkStart w:id="3461" w:name="_Toc341780964"/>
      <w:bookmarkStart w:id="3462" w:name="_Toc341776390"/>
      <w:bookmarkStart w:id="3463" w:name="_Toc341771361"/>
      <w:bookmarkStart w:id="3464" w:name="_Toc340837451"/>
      <w:bookmarkStart w:id="3465" w:name="_Toc340828736"/>
      <w:bookmarkStart w:id="3466" w:name="_Toc340814407"/>
      <w:bookmarkStart w:id="3467" w:name="_Toc340814307"/>
      <w:bookmarkStart w:id="3468" w:name="_Toc340760354"/>
      <w:bookmarkStart w:id="3469" w:name="_Toc340759976"/>
      <w:bookmarkStart w:id="3470" w:name="_Toc340757517"/>
      <w:bookmarkStart w:id="3471" w:name="_Toc338754131"/>
      <w:bookmarkStart w:id="3472" w:name="_Toc338753978"/>
      <w:bookmarkStart w:id="3473" w:name="_Toc338753621"/>
      <w:bookmarkStart w:id="3474" w:name="_Toc338751687"/>
      <w:bookmarkStart w:id="3475" w:name="_Toc337829223"/>
      <w:bookmarkStart w:id="3476" w:name="_Toc337828052"/>
      <w:bookmarkStart w:id="3477" w:name="_Toc337827857"/>
      <w:bookmarkStart w:id="3478" w:name="_Toc337827488"/>
      <w:bookmarkStart w:id="3479" w:name="_Toc337826837"/>
      <w:bookmarkStart w:id="3480" w:name="_Toc334637540"/>
      <w:bookmarkStart w:id="3481" w:name="_Toc333517044"/>
      <w:bookmarkStart w:id="3482" w:name="_Toc333516962"/>
      <w:bookmarkStart w:id="3483" w:name="_Toc333516880"/>
      <w:bookmarkStart w:id="3484" w:name="_Toc333516790"/>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p>
    <w:p>
      <w:pPr>
        <w:pStyle w:val="TextBody"/>
        <w:bidi w:val="0"/>
        <w:spacing w:lineRule="auto" w:line="285" w:before="0" w:after="210"/>
        <w:ind w:left="180" w:right="0" w:hanging="0"/>
        <w:jc w:val="both"/>
        <w:rPr>
          <w:rFonts w:ascii="Times New Roman;Times;serif" w:hAnsi="Times New Roman;Times;serif"/>
          <w:sz w:val="24"/>
        </w:rPr>
      </w:pPr>
      <w:r>
        <w:rPr>
          <w:rFonts w:ascii="Times New Roman;Times;serif" w:hAnsi="Times New Roman;Times;serif"/>
          <w:sz w:val="24"/>
        </w:rPr>
        <w:t>Section 8.3</w:t>
      </w:r>
      <w:bookmarkStart w:id="3485" w:name="_Toc228467121"/>
      <w:bookmarkEnd w:id="3485"/>
      <w:r>
        <w:rPr>
          <w:rFonts w:ascii="Times New Roman;Times;serif" w:hAnsi="Times New Roman;Times;serif"/>
          <w:sz w:val="24"/>
        </w:rPr>
        <w:t>Indemnification Procedure. A party making a claim for indemnification under ‎Section 8.1 shall be referred to as an “</w:t>
      </w:r>
      <w:r>
        <w:rPr>
          <w:rFonts w:ascii="Times New Roman;Times;serif" w:hAnsi="Times New Roman;Times;serif"/>
          <w:sz w:val="24"/>
          <w:u w:val="single"/>
        </w:rPr>
        <w:t>Indemnified Party</w:t>
      </w:r>
      <w:r>
        <w:rPr>
          <w:rFonts w:ascii="Times New Roman;Times;serif" w:hAnsi="Times New Roman;Times;serif"/>
          <w:sz w:val="24"/>
        </w:rPr>
        <w:t>” and a party against whom such claim for indemnification is asserted under Section 8.1 shall be referred to as an “</w:t>
      </w:r>
      <w:r>
        <w:rPr>
          <w:rFonts w:ascii="Times New Roman;Times;serif" w:hAnsi="Times New Roman;Times;serif"/>
          <w:sz w:val="24"/>
          <w:u w:val="single"/>
        </w:rPr>
        <w:t>Indemnifying Party.</w:t>
      </w:r>
      <w:r>
        <w:rPr>
          <w:rFonts w:ascii="Times New Roman;Times;serif" w:hAnsi="Times New Roman;Times;serif"/>
          <w:sz w:val="24"/>
        </w:rPr>
        <w:t>”  All claims by any Indemnified Party under Section 8.1 shall be asserted and resolved as follows: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color w:val="010000"/>
          <w:sz w:val="22"/>
        </w:rPr>
        <w:t>(a)</w:t>
      </w:r>
      <w:bookmarkStart w:id="3486" w:name="_Toc333516791"/>
      <w:bookmarkStart w:id="3487" w:name="_Toc333516620"/>
      <w:bookmarkEnd w:id="3486"/>
      <w:bookmarkEnd w:id="3487"/>
      <w:r>
        <w:rPr>
          <w:rFonts w:ascii="Times New Roman;Times;serif" w:hAnsi="Times New Roman;Times;serif"/>
          <w:sz w:val="24"/>
        </w:rPr>
        <w:t>In the event that (i) any action, application, suit, demand, claim or legal, administrative, arbitration or other alternative dispute resolution proceeding, hearing or investigation (each, a “</w:t>
      </w:r>
      <w:r>
        <w:rPr>
          <w:rFonts w:ascii="Times New Roman;Times;serif" w:hAnsi="Times New Roman;Times;serif"/>
          <w:sz w:val="24"/>
          <w:u w:val="single"/>
        </w:rPr>
        <w:t>Proceeding</w:t>
      </w:r>
      <w:r>
        <w:rPr>
          <w:rFonts w:ascii="Arial;Helvetica;sans-serif" w:hAnsi="Arial;Helvetica;sans-serif"/>
          <w:sz w:val="21"/>
        </w:rPr>
        <w:t>”</w:t>
      </w:r>
      <w:r>
        <w:rPr>
          <w:rFonts w:ascii="Times New Roman;Times;serif" w:hAnsi="Times New Roman;Times;serif"/>
          <w:sz w:val="24"/>
        </w:rPr>
        <w:t xml:space="preserve">) is asserted or instituted by any Person other than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Parties or their Affiliates which could give rise to Damages for which an Indemnifying Party could be liable to an Indemnified Party under this Agreement (such Proceeding, a “</w:t>
      </w:r>
      <w:r>
        <w:rPr>
          <w:rFonts w:ascii="Times New Roman;Times;serif" w:hAnsi="Times New Roman;Times;serif"/>
          <w:sz w:val="24"/>
          <w:u w:val="single"/>
        </w:rPr>
        <w:t>Third Party Claim</w:t>
      </w:r>
      <w:r>
        <w:rPr>
          <w:rFonts w:ascii="Arial;Helvetica;sans-serif" w:hAnsi="Arial;Helvetica;sans-serif"/>
          <w:sz w:val="21"/>
        </w:rPr>
        <w:t>”</w:t>
      </w:r>
      <w:r>
        <w:rPr>
          <w:rFonts w:ascii="Times New Roman;Times;serif" w:hAnsi="Times New Roman;Times;serif"/>
          <w:sz w:val="24"/>
        </w:rPr>
        <w:t>), or (ii) any Indemnified Party shall have a claim to be indemnified by any Indemnifying Party under this Agreement which does not involve a Third Party Claim (such claim, a “</w:t>
      </w:r>
      <w:r>
        <w:rPr>
          <w:rFonts w:ascii="Times New Roman;Times;serif" w:hAnsi="Times New Roman;Times;serif"/>
          <w:sz w:val="24"/>
          <w:u w:val="single"/>
        </w:rPr>
        <w:t>Direct Claim</w:t>
      </w:r>
      <w:r>
        <w:rPr>
          <w:rFonts w:ascii="Arial;Helvetica;sans-serif" w:hAnsi="Arial;Helvetica;sans-serif"/>
          <w:sz w:val="21"/>
        </w:rPr>
        <w:t xml:space="preserve">” </w:t>
      </w:r>
      <w:r>
        <w:rPr>
          <w:rFonts w:ascii="Times New Roman;Times;serif" w:hAnsi="Times New Roman;Times;serif"/>
          <w:sz w:val="24"/>
        </w:rPr>
        <w:t>and, together with Third Party Claims, “</w:t>
      </w:r>
      <w:r>
        <w:rPr>
          <w:rFonts w:ascii="Times New Roman;Times;serif" w:hAnsi="Times New Roman;Times;serif"/>
          <w:sz w:val="24"/>
          <w:u w:val="single"/>
        </w:rPr>
        <w:t>Indemnification Claims</w:t>
      </w:r>
      <w:r>
        <w:rPr>
          <w:rFonts w:ascii="Arial;Helvetica;sans-serif" w:hAnsi="Arial;Helvetica;sans-serif"/>
          <w:sz w:val="21"/>
        </w:rPr>
        <w:t>”</w:t>
      </w:r>
      <w:r>
        <w:rPr>
          <w:rFonts w:ascii="Times New Roman;Times;serif" w:hAnsi="Times New Roman;Times;serif"/>
          <w:sz w:val="24"/>
        </w:rPr>
        <w:t>), the Indemnified Party shall, as promptly as practicable after it becomes aware of a Third Party Claim or facts supporting a Direct Claim (and in any event, within fourteen (14) days thereof), send to the Indemnifying Party a written notice specifying the nature of such Indemnification Claim, (a “</w:t>
      </w:r>
      <w:r>
        <w:rPr>
          <w:rFonts w:ascii="Times New Roman;Times;serif" w:hAnsi="Times New Roman;Times;serif"/>
          <w:sz w:val="24"/>
          <w:u w:val="single"/>
        </w:rPr>
        <w:t>Claim Notice</w:t>
      </w:r>
      <w:r>
        <w:rPr>
          <w:rFonts w:ascii="Arial;Helvetica;sans-serif" w:hAnsi="Arial;Helvetica;sans-serif"/>
          <w:sz w:val="21"/>
        </w:rPr>
        <w:t>”</w:t>
      </w:r>
      <w:r>
        <w:rPr>
          <w:rFonts w:ascii="Times New Roman;Times;serif" w:hAnsi="Times New Roman;Times;serif"/>
          <w:sz w:val="24"/>
        </w:rPr>
        <w:t>). The Claim Notice shall include in reasonable detail, at a minimum (i) copies of all pleadings, summonses, citations, notices, demands, correspondence, and other documents served on or received by the Indemnified Party in the case of a Third Party Claim, (ii) the specific nature of such Indemnification Claim, including a reasonably detailed explanation of the facts and circumstances giving rise thereto; (iii) the amount or estimated amount of Damages sought or anticipated in connection with such Indemnification Claim; (iv) any other remedy sought under a Third-Party Claim; (v) any relevant time constraints, deadlines, or response obligations relating to a Third Party Claim; (vi) the specific representations, warranties, covenants or other provisions of this Agreement alleged to have been breached or that give rise to such Indemnification Claim; and (vii) any other material details pertaining thereto that are reasonably necessary for the Indemnifying Party to evaluate such Indemnification Claim. The Indemnified Party shall supplement or amend the Claim Notice promptly (and in any event within ten (10) Business Days) upon obtaining material additional information relating to the Indemnification Claim, including any updates to the estimated amount of Damages, any additional pleadings or correspondence received, or any material change in the facts and circumstances underlying the Indemnification Claim. The failure to provide a timely or fully compliant Claim Notice as required by this Section 8.3(a) shall not relieve the Indemnifying Party of its indemnification obligations hereunder except to the extent that (and only to the extent that) the Indemnifying Party has been actually and materially prejudiced by such delay or failure, in which case the Indemnifying Party shall be relieved of its obligations hereunder only to the extent of such prejudice; provided however, that if the Indemnified Party fails to deliver a Claim Notice within the applicable Claims Period, any claim for indemnification with respect to the facts and circumstances set forth in such Claim Notice shall be permanently barred and waived, regardless of prejudice.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bookmarkStart w:id="3488" w:name="_Toc333516792"/>
      <w:bookmarkStart w:id="3489" w:name="_Toc333516621"/>
      <w:bookmarkEnd w:id="3488"/>
      <w:bookmarkEnd w:id="3489"/>
      <w:r>
        <w:rPr>
          <w:rFonts w:ascii="Times New Roman;Times;serif" w:hAnsi="Times New Roman;Times;serif"/>
          <w:sz w:val="24"/>
        </w:rPr>
        <w:t>In the event of a Third Party Claim, the Indemnifying Party shall, at its sole cost and expense, have the right to defend against and direct the defense of such Third Party Claim, provided that the Indemnifying Party shall have acknowledged in writing to the Indemnified Party its obligation to indemnify the Indemnified Party to the extent provided hereunder and the Indemnifying Party shall be entitled to be represented by counsel of the Indemnifying Party’s choice at the expense of the Indemnifying Party in connection with such Proceeding, provided that such counsel is acceptable to the Indemnified Party (which acceptance shall not be unreasonably withheld, delayed or conditioned). If the Indemnifying Party elects to defend against and direct the defense of any Third Party Claim, it shall within twenty (20) days (or sooner, if the nature of the Third Party Claim so requires) (the “</w:t>
      </w:r>
      <w:r>
        <w:rPr>
          <w:rFonts w:ascii="Times New Roman;Times;serif" w:hAnsi="Times New Roman;Times;serif"/>
          <w:sz w:val="24"/>
          <w:u w:val="single"/>
        </w:rPr>
        <w:t>Dispute Period</w:t>
      </w:r>
      <w:r>
        <w:rPr>
          <w:rFonts w:ascii="Arial;Helvetica;sans-serif" w:hAnsi="Arial;Helvetica;sans-serif"/>
          <w:sz w:val="21"/>
        </w:rPr>
        <w:t>”</w:t>
      </w:r>
      <w:r>
        <w:rPr>
          <w:rFonts w:ascii="Times New Roman;Times;serif" w:hAnsi="Times New Roman;Times;serif"/>
          <w:sz w:val="24"/>
        </w:rPr>
        <w:t xml:space="preserve">) notify the Indemnified Party of its intent to do so, provided that the Indemnifying Party must conduct its defense of the Third Party Claim actively and diligently thereafter in order to preserve its rights in this regard. If the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4"/>
        </w:rPr>
        <w:t>Indemnifying Party does not elect within the Dispute Period to defend against and direct the defense of any Third Party Claim or fails to notify the Indemnified Party of its election during the Dispute Period, the Indemnified Party may defend against and direct the defense of such Third Party Claim. If the Indemnifying Party elects to defend against and direct the defense of such Third Party Claim and appoint counsel in connection therewith, (i) the Indemnifying Party shall use its commercially reasonable efforts to defend and protect the interests of the Indemnified Party with respect to such Third Party Claim, (ii) the Indemnified Party may participate, at its own cost and expense, in the defense of such Third Party Claim, and (iii) the Indemnified Party shall have the right to engage separate counsel in connection therewith, and the Indemnifying Party shall bear the reasonable fees, costs and expenses of no more than one such separate counsel (at rates that are reasonable and customary for counsel of comparable experience in the relevant jurisdiction) if, and only if, (x) in the reasonable opinion of counsel to the Indemnifying Party a conflict or potential conflict exists between the Indemnified Party and the Indemnifying Party that would make such separate representation necessary, (y) the Indemnifying Party requests that the Indemnified Party participate in such defense, or (z) the Indemnifying Party shall not have engaged counsel within a reasonable time (but not more than fifteen (15) days) after notice of the institution of such Third Party Claim. Except as provided in the preceding sentence, nothing in this Section 8.3 shall require the Indemnifying Party to be responsible for the fees and expenses of more than one law firm representing the Indemnified Party in any jurisdiction at any time in connection with the defense against a Third Party Claim. The Indemnified Party shall: (A) cooperate fully and unconditionally with the Indemnifying Party and its counsel in the defense, investigation, and resolution of any Third Party Claim, including making available all relevant personnel, books, records, documents and information reasonably requested by the Indemnifying Party; (B) promptly (and in any event within five (5) Business Days) notify the Indemnifying Party in writing of all material developments in the Third Party Claim, including any new pleadings, demands, correspondence, settlement offers, or other material communications received by the Indemnified Party; and (C) take no action with respect to any Third Party Claim, including making any statement or admission, that could materially and adversely affect the Indemnifying Party’s defense or indemnification obligations without the prior written consent of the Indemnifying Party. Failure of the Indemnified Party to comply with the obligations in clauses (A), (B) or (C) of the immediately preceding sentence shall, to the extent the Indemnifying Party is actually and materially prejudiced by such failure, relieve the Indemnifying Party of its indemnification obligations hereunder with respect to such Third Party Claim to the extent of such prejudice. Notwithstanding the foregoing, if a Third Party Claim (1) seeks the imposition of an Order that would materially restrict the future activity or conduct of the Indemnified Party or any of its Affiliates, or (2) seeks a finding or admission of a criminal violation by the Indemnified Party or any of its Affiliates, the Indemnified Party alone shall be entitled to contest and defend such claim in the first instance and, if the Indemnified Party does not contest such Third Party Claim, the Indemnifying Party shall then have the right to contest such Third Party Claim. No Third Party Claim may be settled or compromised, or offered to be settled or compromised, or a default permitted or an entry of any judgment consented to (each, a “</w:t>
      </w:r>
      <w:r>
        <w:rPr>
          <w:rFonts w:ascii="Times New Roman;Times;serif" w:hAnsi="Times New Roman;Times;serif"/>
          <w:sz w:val="24"/>
          <w:u w:val="single"/>
        </w:rPr>
        <w:t>Settlement</w:t>
      </w:r>
      <w:r>
        <w:rPr>
          <w:rFonts w:ascii="Arial;Helvetica;sans-serif" w:hAnsi="Arial;Helvetica;sans-serif"/>
          <w:sz w:val="21"/>
        </w:rPr>
        <w:t>”</w:t>
      </w:r>
      <w:r>
        <w:rPr>
          <w:rFonts w:ascii="Times New Roman;Times;serif" w:hAnsi="Times New Roman;Times;serif"/>
          <w:sz w:val="24"/>
        </w:rPr>
        <w:t xml:space="preserve">) (A) by the Indemnifying Party without the prior written consent of the Indemnified Party (which consent shall not be unreasonably withheld, delayed or conditioned) if (1) such Settlement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provides for injunctive or other nonmonetary relief affecting the Indemnified Party or, (2) such Settlement does not include an unconditional general release of the Indemnified Party from all liability with respect to such Third Party Claim, or (B) by the Indemnified Party without the prior written consent of the Indemnifying Party (which consent shall not be unreasonably withheld, delayed or conditioned). For the avoidance of doubt, this Section 8.3 shall not apply to any Tax audit or other Tax proceeding addressed in Section 6.1.</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bookmarkStart w:id="3490" w:name="_Toc333516793"/>
      <w:bookmarkStart w:id="3491" w:name="_Toc333516622"/>
      <w:bookmarkEnd w:id="3490"/>
      <w:bookmarkEnd w:id="3491"/>
      <w:r>
        <w:rPr>
          <w:rFonts w:ascii="Times New Roman;Times;serif" w:hAnsi="Times New Roman;Times;serif"/>
          <w:sz w:val="24"/>
        </w:rPr>
        <w:t>In the event of a Direct Claim, the Claim Notice delivered by the Indemnified Party shall comply in all respects with the requirements of Section 8.3(a), including the requirements to specify the amount or estimated amount of Damages, the specific provisions alleged to have been breached, and the factual basis for the claim with reasonable particularity. The Indemnifying Party shall notify the Indemnified Party in writing within thirty (30) days after receipt of a fully compliant Claim Notice whether the Indemnifying Party disputes such Direct Claim, setting forth in reasonable detail the basis for any such dispute. If the Indemnifying Party fails to notify the Indemnified Party within such thirty (30) day period that it disputes the Direct Claim, the Indemnifying Party shall be deemed to have accepted such Direct Claim, but only to the extent such Claim Notice is fully compliant with the requirements of Section 8.3(a). Any deemed acceptance pursuant to this Section 8.3(c) shall be without prejudice to the Indemnifying Party’s right to raise any defense based on the liability limits set forth in Section 8.5 or any other applicable limitation on indemnification set forth in this Agreement.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From and after the delivery of a Claim Notice under this Agreement, at the reasonable request of either Party, each Party shall grant the other and its Representatives reasonable access to the books, records, employees, Representatives and properties of such Party to the extent reasonably related to the matters to which the Claim Notice relates.  All such access shall be granted during normal business hours and shall be granted under conditions which will not unreasonably interfere with the business and operations of each Party.  The Party requesting access will not, and shall use its reasonable best efforts to cause it Representatives not to, use (except in connection with such Claim Notice) or disclose to any third person other than the Party’s Representatives (except as may be required by applicable Law) any information obtained pursuant to this Section 8.3(d) that is designated as confidential by the other Party.  Notwithstanding the foregoing, neither Party shall have access to (i) any medical or other employee information that is contained in the personnel records of the other Party or its Affiliates and the disclosure of which would subject that Party or such Affiliate to risk of liability, (ii) any information that is subject of any attorney-client or other privilege in favor of the other Party or its Affiliates, or (iii) any information the disclosure of which would cause the other Party or any of its Affiliates to violate any applicable Law.</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bookmarkStart w:id="3492" w:name="_Toc333516794"/>
      <w:bookmarkStart w:id="3493" w:name="_Toc333516623"/>
      <w:bookmarkEnd w:id="3492"/>
      <w:bookmarkEnd w:id="3493"/>
      <w:r>
        <w:rPr>
          <w:rFonts w:ascii="Times New Roman;Times;serif" w:hAnsi="Times New Roman;Times;serif"/>
          <w:sz w:val="24"/>
        </w:rPr>
        <w:t xml:space="preserve">After any final decision, judgment or award shall have been rendered by a Governmental Entity of competent jurisdiction and the expiration of the time in which to appeal therefrom, or a Settlement or arbitration shall have been consummated, or the Indemnified Party and the Indemnifying Party shall have arrived at a mutually binding agreement with respect to an Indemnification Claim hereunder, the Indemnified Party shall forward to the Indemnifying Party notice of any sums determined or agreed to be due and owing by the Indemnifying Party pursuant to this Agreement with respect to such matter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720" w:right="0" w:hanging="0"/>
        <w:jc w:val="both"/>
        <w:rPr>
          <w:rFonts w:ascii="Times New Roman;Times;serif" w:hAnsi="Times New Roman;Times;serif"/>
          <w:sz w:val="24"/>
        </w:rPr>
      </w:pPr>
      <w:r>
        <w:rPr>
          <w:rFonts w:ascii="Times New Roman;Times;serif" w:hAnsi="Times New Roman;Times;serif"/>
          <w:sz w:val="24"/>
        </w:rPr>
        <w:t>and the Indemnifying Party shall make prompt payment thereof by wire transfer within ten (10) Business Days after the date of such notice or, if required earlier, pursuant to the terms of the agreement reached with respect to the Indemnification Claim.</w:t>
      </w:r>
    </w:p>
    <w:p>
      <w:pPr>
        <w:pStyle w:val="TextBody"/>
        <w:bidi w:val="0"/>
        <w:spacing w:lineRule="auto" w:line="285" w:before="0" w:after="210"/>
        <w:ind w:left="1530" w:right="0" w:hanging="0"/>
        <w:jc w:val="both"/>
        <w:rPr>
          <w:rFonts w:ascii="Times New Roman;Times;serif" w:hAnsi="Times New Roman;Times;serif"/>
          <w:sz w:val="24"/>
        </w:rPr>
      </w:pPr>
      <w:r>
        <w:rPr>
          <w:rFonts w:ascii="Times New Roman;Times;serif" w:hAnsi="Times New Roman;Times;serif"/>
          <w:sz w:val="24"/>
        </w:rPr>
        <w:t>Section 8.4</w:t>
      </w:r>
      <w:bookmarkStart w:id="3494" w:name="_Toc333516624"/>
      <w:bookmarkStart w:id="3495" w:name="_Toc228467122"/>
      <w:bookmarkStart w:id="3496" w:name="_Toc493079780"/>
      <w:bookmarkStart w:id="3497" w:name="_Toc491265043"/>
      <w:bookmarkStart w:id="3498" w:name="_Toc491263258"/>
      <w:bookmarkStart w:id="3499" w:name="_Toc491250910"/>
      <w:bookmarkStart w:id="3500" w:name="_Toc491244353"/>
      <w:bookmarkStart w:id="3501" w:name="_Toc490572304"/>
      <w:bookmarkStart w:id="3502" w:name="_Toc488826812"/>
      <w:bookmarkStart w:id="3503" w:name="_Toc488825220"/>
      <w:bookmarkStart w:id="3504" w:name="_Toc445397471"/>
      <w:bookmarkStart w:id="3505" w:name="_Toc441652999"/>
      <w:bookmarkStart w:id="3506" w:name="_Toc343001506"/>
      <w:bookmarkStart w:id="3507" w:name="_Toc341780965"/>
      <w:bookmarkStart w:id="3508" w:name="_Toc341776391"/>
      <w:bookmarkStart w:id="3509" w:name="_Toc341771362"/>
      <w:bookmarkStart w:id="3510" w:name="_Toc340837452"/>
      <w:bookmarkStart w:id="3511" w:name="_Toc340828737"/>
      <w:bookmarkStart w:id="3512" w:name="_Toc340814408"/>
      <w:bookmarkStart w:id="3513" w:name="_Toc340814308"/>
      <w:bookmarkStart w:id="3514" w:name="_Toc340760355"/>
      <w:bookmarkStart w:id="3515" w:name="_Toc340759977"/>
      <w:bookmarkStart w:id="3516" w:name="_Toc340757518"/>
      <w:bookmarkStart w:id="3517" w:name="_Toc338754132"/>
      <w:bookmarkStart w:id="3518" w:name="_Toc338753979"/>
      <w:bookmarkStart w:id="3519" w:name="_Toc338753622"/>
      <w:bookmarkStart w:id="3520" w:name="_Toc338751688"/>
      <w:bookmarkStart w:id="3521" w:name="_Toc337829224"/>
      <w:bookmarkStart w:id="3522" w:name="_Toc337828053"/>
      <w:bookmarkStart w:id="3523" w:name="_Toc337827858"/>
      <w:bookmarkStart w:id="3524" w:name="_Toc337827489"/>
      <w:bookmarkStart w:id="3525" w:name="_Toc337826838"/>
      <w:bookmarkStart w:id="3526" w:name="_Toc334637541"/>
      <w:bookmarkStart w:id="3527" w:name="_Toc333517045"/>
      <w:bookmarkStart w:id="3528" w:name="_Toc333516963"/>
      <w:bookmarkStart w:id="3529" w:name="_Toc333516881"/>
      <w:bookmarkStart w:id="3530" w:name="_Toc333516795"/>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r>
        <w:rPr>
          <w:rFonts w:ascii="Times New Roman;Times;serif" w:hAnsi="Times New Roman;Times;serif"/>
          <w:sz w:val="24"/>
        </w:rPr>
        <w:t>Claims Period.  The Claims Period shall be as follows:</w:t>
      </w:r>
    </w:p>
    <w:p>
      <w:pPr>
        <w:pStyle w:val="TextBody"/>
        <w:bidi w:val="0"/>
        <w:spacing w:lineRule="auto" w:line="285" w:before="0" w:after="240"/>
        <w:ind w:left="720" w:right="0" w:hanging="0"/>
        <w:jc w:val="both"/>
        <w:rPr>
          <w:rFonts w:ascii="Arial;Helvetica;sans-serif" w:hAnsi="Arial;Helvetica;sans-serif"/>
          <w:sz w:val="21"/>
        </w:rPr>
      </w:pPr>
      <w:r>
        <w:rPr>
          <w:rFonts w:ascii="Times New Roman;Times;serif" w:hAnsi="Times New Roman;Times;serif"/>
          <w:sz w:val="22"/>
        </w:rPr>
        <w:t>(a)</w:t>
      </w:r>
      <w:r>
        <w:rPr>
          <w:rFonts w:ascii="Times New Roman;Times;serif" w:hAnsi="Times New Roman;Times;serif"/>
          <w:sz w:val="24"/>
        </w:rPr>
        <w:t xml:space="preserve">The representations and warranties made in </w:t>
      </w:r>
      <w:r>
        <w:rPr>
          <w:rFonts w:ascii="Times New Roman;Times;serif" w:hAnsi="Times New Roman;Times;serif"/>
          <w:sz w:val="24"/>
          <w:u w:val="single"/>
        </w:rPr>
        <w:t>Article III,</w:t>
      </w:r>
      <w:r>
        <w:rPr>
          <w:rFonts w:ascii="Arial;Helvetica;sans-serif" w:hAnsi="Arial;Helvetica;sans-serif"/>
          <w:sz w:val="21"/>
        </w:rPr>
        <w:t xml:space="preserve"> </w:t>
      </w:r>
      <w:r>
        <w:rPr>
          <w:rFonts w:ascii="Times New Roman;Times;serif" w:hAnsi="Times New Roman;Times;serif"/>
          <w:sz w:val="24"/>
          <w:u w:val="single"/>
        </w:rPr>
        <w:t>Article IV</w:t>
      </w:r>
      <w:r>
        <w:rPr>
          <w:rFonts w:ascii="Times New Roman;Times;serif" w:hAnsi="Times New Roman;Times;serif"/>
          <w:sz w:val="24"/>
        </w:rPr>
        <w:t xml:space="preserve">, or </w:t>
      </w:r>
      <w:r>
        <w:rPr>
          <w:rFonts w:ascii="Times New Roman;Times;serif" w:hAnsi="Times New Roman;Times;serif"/>
          <w:sz w:val="24"/>
          <w:u w:val="single"/>
        </w:rPr>
        <w:t>Article V</w:t>
      </w:r>
      <w:r>
        <w:rPr>
          <w:rFonts w:ascii="Arial;Helvetica;sans-serif" w:hAnsi="Arial;Helvetica;sans-serif"/>
          <w:sz w:val="21"/>
        </w:rPr>
        <w:t xml:space="preserve"> </w:t>
      </w:r>
      <w:r>
        <w:rPr>
          <w:rFonts w:ascii="Times New Roman;Times;serif" w:hAnsi="Times New Roman;Times;serif"/>
          <w:sz w:val="24"/>
        </w:rPr>
        <w:t xml:space="preserve">of this Agreement shall survive the Closing until the date that is 24 months following the Closing Date;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except as set forth in below, (i) the Claims Period for any Fundamental Purchaser Claim shall begin on the date hereof and continue until that date that is eight (8)  years following the Closing Date, and (ii) the Claims Period for any Statute Of Limitations (“</w:t>
      </w:r>
      <w:r>
        <w:rPr>
          <w:rFonts w:ascii="Times New Roman;Times;serif" w:hAnsi="Times New Roman;Times;serif"/>
          <w:sz w:val="24"/>
          <w:u w:val="single"/>
        </w:rPr>
        <w:t>SOL</w:t>
      </w:r>
      <w:r>
        <w:rPr>
          <w:rFonts w:ascii="Arial;Helvetica;sans-serif" w:hAnsi="Arial;Helvetica;sans-serif"/>
          <w:sz w:val="21"/>
        </w:rPr>
        <w:t>”</w:t>
      </w:r>
      <w:r>
        <w:rPr>
          <w:rFonts w:ascii="Times New Roman;Times;serif" w:hAnsi="Times New Roman;Times;serif"/>
          <w:sz w:val="24"/>
        </w:rPr>
        <w:t>) Purchaser Claims shall survive the Closing until the date that is six (6) months following the expiration of the longest applicable statute of limitations (including any extension thereof agreed to by the Purchaser and the Seller Representative) applicable thereto;</w:t>
      </w:r>
    </w:p>
    <w:p>
      <w:pPr>
        <w:pStyle w:val="TextBody"/>
        <w:bidi w:val="0"/>
        <w:spacing w:lineRule="auto" w:line="285" w:before="0" w:after="24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Claims Period for any covenants, agreements or undertakings made by the Parties in this Agreement, any Company Ancillary Document or any Purchaser Ancillary Document shall survive the Closing in accordance with their express terms, except as set forth in subsection (c) immediately below; and</w:t>
      </w:r>
    </w:p>
    <w:p>
      <w:pPr>
        <w:pStyle w:val="TextBody"/>
        <w:bidi w:val="0"/>
        <w:spacing w:lineRule="auto" w:line="285" w:before="0" w:after="240"/>
        <w:ind w:left="1440" w:right="0" w:hanging="0"/>
        <w:jc w:val="both"/>
        <w:rPr>
          <w:rFonts w:ascii="Arial;Helvetica;sans-serif" w:hAnsi="Arial;Helvetica;sans-serif"/>
          <w:sz w:val="21"/>
        </w:rPr>
      </w:pPr>
      <w:r>
        <w:rPr>
          <w:rFonts w:ascii="Times New Roman;Times;serif" w:hAnsi="Times New Roman;Times;serif"/>
          <w:sz w:val="24"/>
        </w:rPr>
        <w:t>The Claims Period for the covenants, agreements and undertakings set forth in Section 6.1 (</w:t>
      </w:r>
      <w:r>
        <w:rPr>
          <w:rFonts w:ascii="Times New Roman;Times;serif" w:hAnsi="Times New Roman;Times;serif"/>
          <w:i/>
          <w:sz w:val="24"/>
        </w:rPr>
        <w:t>Tax Matters</w:t>
      </w:r>
      <w:r>
        <w:rPr>
          <w:rFonts w:ascii="Times New Roman;Times;serif" w:hAnsi="Times New Roman;Times;serif"/>
          <w:sz w:val="24"/>
        </w:rPr>
        <w:t xml:space="preserve">) shall survive the Closing until the date that thirty (30) days following the longest applicable statute of limitations (including any extension thereof agreed to by the Purchaser and the Seller Representative) applicable thereto. </w:t>
      </w:r>
    </w:p>
    <w:p>
      <w:pPr>
        <w:pStyle w:val="TextBody"/>
        <w:bidi w:val="0"/>
        <w:spacing w:lineRule="auto" w:line="314" w:before="0" w:after="0"/>
        <w:ind w:left="0" w:right="0" w:hanging="0"/>
        <w:jc w:val="both"/>
        <w:rPr>
          <w:rFonts w:ascii="Arial;Helvetica;sans-serif" w:hAnsi="Arial;Helvetica;sans-serif"/>
          <w:sz w:val="21"/>
        </w:rPr>
      </w:pPr>
      <w:r>
        <w:rPr>
          <w:rFonts w:ascii="Times New Roman;Times;serif" w:hAnsi="Times New Roman;Times;serif"/>
          <w:sz w:val="24"/>
        </w:rPr>
        <w:t>No claim or cause of action for indemnification under‎ this Article VIII may be made following the expiration of the applicable Claims Period; it being understood that in the event notice of any claim for indemnification under ‎this Article VIII shall have been given within the applicable Claims Period, the representations, warranties, covenants or obligations that are the subject of such indemnification claim shall survive with respect to such indemnification claim until such time as such claim is fully and finally resolved, including by final non-appealable Order of a court of competent jurisdiction, even if the date of such full and final resolution occurs after the applicable Claims Period.</w:t>
      </w:r>
      <w:r>
        <w:rPr>
          <w:rFonts w:ascii="Arial;Helvetica;sans-serif" w:hAnsi="Arial;Helvetica;sans-serif"/>
          <w:sz w:val="21"/>
        </w:rPr>
        <w:t xml:space="preserve"> </w:t>
      </w:r>
      <w:r>
        <w:rPr>
          <w:rFonts w:ascii="Times New Roman;Times;serif" w:hAnsi="Times New Roman;Times;serif"/>
          <w:sz w:val="24"/>
        </w:rPr>
        <w:t>Except with respect to Fundamental Purchaser Claims and SOL Purchaser Claims, for purposes of determining the amount of Damages to which an Indemnified Party may be entitled to recover under this Article VIII and for purposes of determining whether or not an Indemnified Party is entitled to indemnification pursuant to this Article VIII, each of the representations and warranties that contains any “Material Adverse Effect,” “material” or similar materiality qualifications shall be read as though such qualifications were not contained therein.</w:t>
      </w:r>
    </w:p>
    <w:p>
      <w:pPr>
        <w:pStyle w:val="TextBody"/>
        <w:bidi w:val="0"/>
        <w:spacing w:lineRule="auto" w:line="314" w:before="0" w:after="0"/>
        <w:ind w:left="0" w:right="0" w:hanging="0"/>
        <w:jc w:val="both"/>
        <w:rPr/>
      </w:pPr>
      <w:r>
        <w:rPr/>
        <w:t>​</w:t>
      </w:r>
    </w:p>
    <w:p>
      <w:pPr>
        <w:pStyle w:val="TextBody"/>
        <w:bidi w:val="0"/>
        <w:spacing w:lineRule="auto" w:line="285" w:before="0" w:after="210"/>
        <w:ind w:left="360" w:right="0" w:hanging="0"/>
        <w:jc w:val="both"/>
        <w:rPr>
          <w:rFonts w:ascii="Times New Roman;Times;serif" w:hAnsi="Times New Roman;Times;serif"/>
          <w:sz w:val="24"/>
        </w:rPr>
      </w:pPr>
      <w:r>
        <w:rPr>
          <w:rFonts w:ascii="Times New Roman;Times;serif" w:hAnsi="Times New Roman;Times;serif"/>
          <w:sz w:val="24"/>
        </w:rPr>
        <w:t>Section 8.5</w:t>
      </w:r>
      <w:bookmarkStart w:id="3531" w:name="_Toc333516625"/>
      <w:bookmarkStart w:id="3532" w:name="_Toc493079781"/>
      <w:bookmarkStart w:id="3533" w:name="_Toc491265044"/>
      <w:bookmarkStart w:id="3534" w:name="_Toc491263259"/>
      <w:bookmarkStart w:id="3535" w:name="_Toc491250911"/>
      <w:bookmarkStart w:id="3536" w:name="_Toc491244354"/>
      <w:bookmarkStart w:id="3537" w:name="_Toc490572305"/>
      <w:bookmarkStart w:id="3538" w:name="_Toc488826813"/>
      <w:bookmarkStart w:id="3539" w:name="_Toc488825221"/>
      <w:bookmarkStart w:id="3540" w:name="_Toc445397472"/>
      <w:bookmarkStart w:id="3541" w:name="_Toc441653000"/>
      <w:bookmarkStart w:id="3542" w:name="_Toc343001507"/>
      <w:bookmarkStart w:id="3543" w:name="_Toc341780966"/>
      <w:bookmarkStart w:id="3544" w:name="_Toc341776392"/>
      <w:bookmarkStart w:id="3545" w:name="_Toc341771363"/>
      <w:bookmarkStart w:id="3546" w:name="_Toc340837453"/>
      <w:bookmarkStart w:id="3547" w:name="_Toc340828738"/>
      <w:bookmarkStart w:id="3548" w:name="_Toc340814409"/>
      <w:bookmarkStart w:id="3549" w:name="_Toc340814309"/>
      <w:bookmarkStart w:id="3550" w:name="_Toc340760356"/>
      <w:bookmarkStart w:id="3551" w:name="_Toc340759978"/>
      <w:bookmarkStart w:id="3552" w:name="_Toc340757519"/>
      <w:bookmarkStart w:id="3553" w:name="_Toc338754133"/>
      <w:bookmarkStart w:id="3554" w:name="_Toc338753980"/>
      <w:bookmarkStart w:id="3555" w:name="_Toc338753623"/>
      <w:bookmarkStart w:id="3556" w:name="_Toc338751689"/>
      <w:bookmarkStart w:id="3557" w:name="_Toc337829225"/>
      <w:bookmarkStart w:id="3558" w:name="_Toc337828054"/>
      <w:bookmarkStart w:id="3559" w:name="_Toc337827859"/>
      <w:bookmarkStart w:id="3560" w:name="_Toc337827490"/>
      <w:bookmarkStart w:id="3561" w:name="_Toc337826839"/>
      <w:bookmarkStart w:id="3562" w:name="_Toc334637542"/>
      <w:bookmarkStart w:id="3563" w:name="_Toc333517046"/>
      <w:bookmarkStart w:id="3564" w:name="_Toc333516964"/>
      <w:bookmarkStart w:id="3565" w:name="_Toc333516882"/>
      <w:bookmarkStart w:id="3566" w:name="_Toc333516796"/>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r>
        <w:rPr>
          <w:rFonts w:ascii="Times New Roman;Times;serif" w:hAnsi="Times New Roman;Times;serif"/>
          <w:sz w:val="24"/>
        </w:rPr>
        <w:t xml:space="preserve">  </w:t>
      </w:r>
      <w:bookmarkStart w:id="3567" w:name="_Toc228467123"/>
      <w:bookmarkEnd w:id="3567"/>
      <w:r>
        <w:rPr>
          <w:rFonts w:ascii="Times New Roman;Times;serif" w:hAnsi="Times New Roman;Times;serif"/>
          <w:sz w:val="24"/>
        </w:rPr>
        <w:t>Liability Limits.  </w:t>
      </w:r>
      <w:bookmarkStart w:id="3568" w:name="_Toc333516797"/>
      <w:bookmarkStart w:id="3569" w:name="_Toc333516626"/>
      <w:bookmarkEnd w:id="3568"/>
      <w:bookmarkEnd w:id="3569"/>
      <w:r>
        <w:rPr>
          <w:rFonts w:ascii="Times New Roman;Times;serif" w:hAnsi="Times New Roman;Times;serif"/>
          <w:sz w:val="24"/>
        </w:rPr>
        <w:t>The Purchaser Indemnified Parties may not make a claim for indemnification under Section 8.1(a) for Purchaser Losses unless and until the aggregate amount of Purchaser Losses for which the Purchaser Indemnified Parties are entitled to seek Indemnification under Sections 8.1(a) exceeds  the Retention then in effect under the R&amp;W Insurance Policy (the “</w:t>
      </w:r>
      <w:r>
        <w:rPr>
          <w:rFonts w:ascii="Times New Roman;Times;serif" w:hAnsi="Times New Roman;Times;serif"/>
          <w:sz w:val="24"/>
          <w:u w:val="single"/>
        </w:rPr>
        <w:t>Deductible</w:t>
      </w:r>
      <w:r>
        <w:rPr>
          <w:rFonts w:ascii="Times New Roman;Times;serif" w:hAnsi="Times New Roman;Times;serif"/>
          <w:sz w:val="24"/>
        </w:rPr>
        <w:t xml:space="preserve">”), and Sellers shall have no liability for any portion of Purchaser Losses below such Deductible.  The Purchaser Indemnified Parties shall be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360" w:right="0" w:hanging="0"/>
        <w:jc w:val="left"/>
        <w:rPr>
          <w:rFonts w:ascii="Arial;Helvetica;sans-serif" w:hAnsi="Arial;Helvetica;sans-serif"/>
        </w:rPr>
      </w:pPr>
      <w:r>
        <w:rPr>
          <w:rFonts w:ascii="Times New Roman;Times;serif" w:hAnsi="Times New Roman;Times;serif"/>
          <w:b w:val="false"/>
          <w:i w:val="false"/>
          <w:caps w:val="false"/>
          <w:smallCaps w:val="false"/>
          <w:sz w:val="24"/>
        </w:rPr>
        <w:t>entitled to indemnification for all Purchaser Losses arising under Section 8.1(a) in excess of the Deductible, subject to the other requirements of Section 8.1; provided, that in no event shall the aggregate amount of indemnification under Section 8.1(a) owed to the Purchaser Indemnified Parties exceed $[REDACTED] (the “</w:t>
      </w:r>
      <w:r>
        <w:rPr>
          <w:rFonts w:ascii="Times New Roman;Times;serif" w:hAnsi="Times New Roman;Times;serif"/>
          <w:b w:val="false"/>
          <w:i w:val="false"/>
          <w:caps w:val="false"/>
          <w:smallCaps w:val="false"/>
          <w:sz w:val="24"/>
          <w:u w:val="single"/>
        </w:rPr>
        <w:t>Indemnification Cap</w:t>
      </w:r>
      <w:r>
        <w:rPr>
          <w:rFonts w:ascii="Arial;Helvetica;sans-serif" w:hAnsi="Arial;Helvetica;sans-serif"/>
          <w:caps w:val="false"/>
          <w:smallCaps w:val="false"/>
        </w:rPr>
        <w:t>”</w:t>
      </w:r>
      <w:r>
        <w:rPr>
          <w:rFonts w:ascii="Times New Roman;Times;serif" w:hAnsi="Times New Roman;Times;serif"/>
          <w:b w:val="false"/>
          <w:i w:val="false"/>
          <w:caps w:val="false"/>
          <w:smallCaps w:val="false"/>
          <w:sz w:val="24"/>
        </w:rPr>
        <w:t xml:space="preserve">), it being the intent of the Parties that claims for Purchaser Losses arising from breaches of representations and warranties shall be made primarily against the R&amp;W Insurance policy except in tax matters, and cases of Fraud.  Notwithstanding the foregoing, in no event shall (i) the Deductible apply to any Fundamental Purchaser Claim or any </w:t>
      </w:r>
      <w:r>
        <w:rPr>
          <w:rFonts w:ascii="Times New Roman;Times;serif" w:hAnsi="Times New Roman;Times;serif"/>
          <w:b w:val="false"/>
          <w:i w:val="false"/>
          <w:caps w:val="false"/>
          <w:smallCaps w:val="false"/>
          <w:sz w:val="24"/>
          <w:u w:val="single"/>
        </w:rPr>
        <w:t xml:space="preserve">SOL Purchaser Claim </w:t>
      </w:r>
      <w:r>
        <w:rPr>
          <w:rFonts w:ascii="Times New Roman;Times;serif" w:hAnsi="Times New Roman;Times;serif"/>
          <w:b w:val="false"/>
          <w:i w:val="false"/>
          <w:caps w:val="false"/>
          <w:smallCaps w:val="false"/>
          <w:sz w:val="24"/>
        </w:rPr>
        <w:t>and (ii) the Indemnification Cap apply to any claims resulting or arising from Fraud.  </w:t>
      </w:r>
      <w:r>
        <w:rPr>
          <w:rFonts w:ascii="Arial;Helvetica;sans-serif" w:hAnsi="Arial;Helvetica;sans-serif"/>
          <w:caps w:val="false"/>
          <w:smallCaps w:val="false"/>
        </w:rPr>
        <w:t xml:space="preserve"> </w:t>
      </w:r>
    </w:p>
    <w:p>
      <w:pPr>
        <w:pStyle w:val="TextBody"/>
        <w:bidi w:val="0"/>
        <w:spacing w:lineRule="auto" w:line="285" w:before="0" w:after="210"/>
        <w:ind w:left="360" w:right="0" w:hanging="0"/>
        <w:jc w:val="both"/>
        <w:rPr>
          <w:rFonts w:ascii="Times New Roman;Times;serif" w:hAnsi="Times New Roman;Times;serif"/>
          <w:sz w:val="24"/>
        </w:rPr>
      </w:pPr>
      <w:r>
        <w:rPr>
          <w:rFonts w:ascii="Times New Roman;Times;serif" w:hAnsi="Times New Roman;Times;serif"/>
          <w:sz w:val="24"/>
        </w:rPr>
        <w:t>Section 8.6</w:t>
      </w:r>
      <w:bookmarkStart w:id="3570" w:name="_Toc333516628"/>
      <w:bookmarkStart w:id="3571" w:name="_Toc493079782"/>
      <w:bookmarkStart w:id="3572" w:name="_Toc491265045"/>
      <w:bookmarkStart w:id="3573" w:name="_Toc491263260"/>
      <w:bookmarkStart w:id="3574" w:name="_Toc491250912"/>
      <w:bookmarkStart w:id="3575" w:name="_Toc491244355"/>
      <w:bookmarkStart w:id="3576" w:name="_Toc490572306"/>
      <w:bookmarkStart w:id="3577" w:name="_Toc488826814"/>
      <w:bookmarkStart w:id="3578" w:name="_Toc488825222"/>
      <w:bookmarkStart w:id="3579" w:name="_Toc445397473"/>
      <w:bookmarkStart w:id="3580" w:name="_Toc441653001"/>
      <w:bookmarkStart w:id="3581" w:name="_Toc343001508"/>
      <w:bookmarkStart w:id="3582" w:name="_Toc341780967"/>
      <w:bookmarkStart w:id="3583" w:name="_Toc341776393"/>
      <w:bookmarkStart w:id="3584" w:name="_Toc341771364"/>
      <w:bookmarkStart w:id="3585" w:name="_Toc340837454"/>
      <w:bookmarkStart w:id="3586" w:name="_Toc340828739"/>
      <w:bookmarkStart w:id="3587" w:name="_Toc340814410"/>
      <w:bookmarkStart w:id="3588" w:name="_Toc340814310"/>
      <w:bookmarkStart w:id="3589" w:name="_Toc340760357"/>
      <w:bookmarkStart w:id="3590" w:name="_Toc340759979"/>
      <w:bookmarkStart w:id="3591" w:name="_Toc340757520"/>
      <w:bookmarkStart w:id="3592" w:name="_Toc338754134"/>
      <w:bookmarkStart w:id="3593" w:name="_Toc338753981"/>
      <w:bookmarkStart w:id="3594" w:name="_Toc338753624"/>
      <w:bookmarkStart w:id="3595" w:name="_Toc338751690"/>
      <w:bookmarkStart w:id="3596" w:name="_Toc337829226"/>
      <w:bookmarkStart w:id="3597" w:name="_Toc337828055"/>
      <w:bookmarkStart w:id="3598" w:name="_Toc337827860"/>
      <w:bookmarkStart w:id="3599" w:name="_Toc337827491"/>
      <w:bookmarkStart w:id="3600" w:name="_Toc337826840"/>
      <w:bookmarkStart w:id="3601" w:name="_Toc334637543"/>
      <w:bookmarkStart w:id="3602" w:name="_Toc333517047"/>
      <w:bookmarkStart w:id="3603" w:name="_Toc333516965"/>
      <w:bookmarkStart w:id="3604" w:name="_Toc333516883"/>
      <w:bookmarkStart w:id="3605" w:name="_Toc33351679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r>
        <w:rPr>
          <w:rFonts w:ascii="Times New Roman;Times;serif" w:hAnsi="Times New Roman;Times;serif"/>
          <w:sz w:val="24"/>
        </w:rPr>
        <w:t xml:space="preserve">  </w:t>
      </w:r>
      <w:bookmarkStart w:id="3606" w:name="_Toc228467124"/>
      <w:bookmarkEnd w:id="3606"/>
      <w:r>
        <w:rPr>
          <w:rFonts w:ascii="Times New Roman;Times;serif" w:hAnsi="Times New Roman;Times;serif"/>
          <w:sz w:val="24"/>
        </w:rPr>
        <w:t xml:space="preserve">Set-Off </w:t>
      </w:r>
      <w:bookmarkStart w:id="3607" w:name="_Toc340757521"/>
      <w:bookmarkEnd w:id="3607"/>
      <w:r>
        <w:rPr>
          <w:rFonts w:ascii="Times New Roman;Times;serif" w:hAnsi="Times New Roman;Times;serif"/>
          <w:sz w:val="24"/>
        </w:rPr>
        <w:t>Rights.  Subject to the limitations and procedures of this Article VIII, the Sellers agree that any and all Purchaser Losses that have been finally determined (whether by mutual written agreement of the Parties or by a final non-appealable judgment of a court of competent jurisdiction) to be owed by the Sellers to the Purchaser Indemnified Parties may be offset against the Earn-Out Payment to be made by Purchaser in accordance with Section 2.5 hereof; provided, however, that (i) Purchaser shall deliver a Claim Notice to the Seller Representative prior to exercising any right of set-off hereunder, and (ii) no set-off may be exercised unless and until liability with respect to the applicable Purchaser Losses has been finally determined by mutual written agreement of the Parties or by a final non-appealable judgment of a court of competent jurisdiction. If it is finally determined (whether by mutual written agreement of the Parties or a final non-appealable judgment of a court of competent jurisdiction) that the Purchaser was not entitled to indemnification with respect to all or any portion of any amount set off by Purchaser pursuant to this Section 8.6, Purchaser shall promptly, and in any event within ten (10) Business Days of such determination, repay to the Seller Representative (for distribution to the Sellers in accordance with their respective Sharing Ratios) an amount equal to such disallowed set-off amount, together with interest thereon at the rate of fifteen percent (15%) per annum, calculated from the date such amounts were first withheld from Sellers through the date of actual repayment..</w:t>
      </w:r>
    </w:p>
    <w:p>
      <w:pPr>
        <w:pStyle w:val="TextBody"/>
        <w:bidi w:val="0"/>
        <w:spacing w:lineRule="auto" w:line="285" w:before="0" w:after="210"/>
        <w:ind w:left="360" w:right="0" w:hanging="0"/>
        <w:jc w:val="both"/>
        <w:rPr>
          <w:rFonts w:ascii="Times New Roman;Times;serif" w:hAnsi="Times New Roman;Times;serif"/>
          <w:sz w:val="24"/>
        </w:rPr>
      </w:pPr>
      <w:r>
        <w:rPr>
          <w:rFonts w:ascii="Times New Roman;Times;serif" w:hAnsi="Times New Roman;Times;serif"/>
          <w:sz w:val="24"/>
        </w:rPr>
        <w:t>Section 8.7</w:t>
      </w:r>
      <w:bookmarkStart w:id="3608" w:name="_Toc333516629"/>
      <w:bookmarkStart w:id="3609" w:name="_Toc493079783"/>
      <w:bookmarkStart w:id="3610" w:name="_Toc491265046"/>
      <w:bookmarkStart w:id="3611" w:name="_Toc491263261"/>
      <w:bookmarkStart w:id="3612" w:name="_Toc491250913"/>
      <w:bookmarkStart w:id="3613" w:name="_Toc491244356"/>
      <w:bookmarkStart w:id="3614" w:name="_Toc490572307"/>
      <w:bookmarkStart w:id="3615" w:name="_Toc488826815"/>
      <w:bookmarkStart w:id="3616" w:name="_Toc488825223"/>
      <w:bookmarkStart w:id="3617" w:name="_Toc445397474"/>
      <w:bookmarkStart w:id="3618" w:name="_Toc441653002"/>
      <w:bookmarkStart w:id="3619" w:name="_Toc343001509"/>
      <w:bookmarkStart w:id="3620" w:name="_Toc341780968"/>
      <w:bookmarkStart w:id="3621" w:name="_Toc341776394"/>
      <w:bookmarkStart w:id="3622" w:name="_Toc341771365"/>
      <w:bookmarkStart w:id="3623" w:name="_Toc340837455"/>
      <w:bookmarkStart w:id="3624" w:name="_Toc340828740"/>
      <w:bookmarkStart w:id="3625" w:name="_Toc340814411"/>
      <w:bookmarkStart w:id="3626" w:name="_Toc340814311"/>
      <w:bookmarkStart w:id="3627" w:name="_Toc340760358"/>
      <w:bookmarkStart w:id="3628" w:name="_Toc340759980"/>
      <w:bookmarkStart w:id="3629" w:name="_Toc340757522"/>
      <w:bookmarkStart w:id="3630" w:name="_Toc338754135"/>
      <w:bookmarkStart w:id="3631" w:name="_Toc338753982"/>
      <w:bookmarkStart w:id="3632" w:name="_Toc338753625"/>
      <w:bookmarkStart w:id="3633" w:name="_Toc338751691"/>
      <w:bookmarkStart w:id="3634" w:name="_Toc337829227"/>
      <w:bookmarkStart w:id="3635" w:name="_Toc337828056"/>
      <w:bookmarkStart w:id="3636" w:name="_Toc337827861"/>
      <w:bookmarkStart w:id="3637" w:name="_Toc337827492"/>
      <w:bookmarkStart w:id="3638" w:name="_Toc337826841"/>
      <w:bookmarkStart w:id="3639" w:name="_Toc334637544"/>
      <w:bookmarkStart w:id="3640" w:name="_Toc333517048"/>
      <w:bookmarkStart w:id="3641" w:name="_Toc333516966"/>
      <w:bookmarkStart w:id="3642" w:name="_Toc333516884"/>
      <w:bookmarkStart w:id="3643" w:name="_Toc333516800"/>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r>
        <w:rPr>
          <w:rFonts w:ascii="Times New Roman;Times;serif" w:hAnsi="Times New Roman;Times;serif"/>
          <w:sz w:val="24"/>
        </w:rPr>
        <w:t xml:space="preserve">  </w:t>
      </w:r>
      <w:bookmarkStart w:id="3644" w:name="_Toc228467125"/>
      <w:bookmarkEnd w:id="3644"/>
      <w:r>
        <w:rPr>
          <w:rFonts w:ascii="Times New Roman;Times;serif" w:hAnsi="Times New Roman;Times;serif"/>
          <w:sz w:val="24"/>
        </w:rPr>
        <w:t xml:space="preserve">Limitation on Damages; Insurance Recovery; No Double Recovery; No Consequential or Punitive Damages.  In determining the liability of the Sellers for any Losses pursuant to Section 8.02, no Loss will be deemed to have been sustained by the Purchaser Indemnified Parties, to the extent of any proceeds actually received by the Purchaser Indemnified Parties  from any insurance recovery (net of all out-of-pocket costs directly related to such recovery).  In connection with such insurance recovery the Purchaser Indemnified Parties shall each be responsible for the R&amp;W Insurance deductible amount.  To the extent required by law, each Purchaser Indemnified Person shall use commercially reasonable efforts to mitigate all Purchaser Losses that are indemnifiable or recoverable hereunder upon becoming aware of any event, circumstance or condition that has resulted in or could reasonably be expected to give rise to an Indemnification Claim hereunder, including pursuing all available rights and remedies against third parties..  In accordance with Article VIII, with respect to any claim for indemnification under this Agreement for which coverage is available under the R&amp;W Insurance, the Purchaser Indemnified Parties  shall pursue coverage as sole and exclusive remedy, for such claim insured under such R&amp;W Insurance policy; provided, that if any claim is refused under such R&amp;W Insurance due to the Fraud (other than claims of constructive or equitable fraud) by the Sellers, the Purchaser Indemnified Parties may pursue such claim against the  Sellers in accordance with Article VIII. No Indemnified Party shall be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360" w:right="0" w:hanging="0"/>
        <w:jc w:val="left"/>
        <w:rPr>
          <w:rFonts w:ascii="Arial;Helvetica;sans-serif" w:hAnsi="Arial;Helvetica;sans-serif"/>
        </w:rPr>
      </w:pPr>
      <w:r>
        <w:rPr>
          <w:rFonts w:ascii="Times New Roman;Times;serif" w:hAnsi="Times New Roman;Times;serif"/>
          <w:b w:val="false"/>
          <w:i w:val="false"/>
          <w:caps w:val="false"/>
          <w:smallCaps w:val="false"/>
          <w:sz w:val="24"/>
        </w:rPr>
        <w:t>entitled to recover more than once for the same Damages, and the amount of any Damages recoverable by an Indemnified Party under this Article VIII shall be calculated net of (A) any amounts actually recovered by the Indemnified Party under any insurance policy (including the R&amp;W Insurance), net of all reasonable costs of recovery and any resulting increase in insurance premiums directly attributable to such claim, (B) any indemnification, contribution or other payment actually received by the Indemnified Party from any third party with respect to such Damages, and (C) any Tax benefit actually realized by the Indemnified Party as a result of or arising from the facts or circumstances giving rise to such Damages or the receipt of any indemnification payment, in each case in the year in which the Damages are incurred or the two immediately succeeding taxable years.</w:t>
      </w:r>
      <w:r>
        <w:rPr>
          <w:rFonts w:ascii="Arial;Helvetica;sans-serif" w:hAnsi="Arial;Helvetica;sans-serif"/>
          <w:caps w:val="false"/>
          <w:smallCaps w:val="false"/>
        </w:rPr>
        <w:t xml:space="preserve"> </w:t>
      </w:r>
      <w:r>
        <w:rPr>
          <w:rFonts w:ascii="Times New Roman;Times;serif" w:hAnsi="Times New Roman;Times;serif"/>
          <w:b w:val="false"/>
          <w:i w:val="false"/>
          <w:caps w:val="false"/>
          <w:smallCaps w:val="false"/>
          <w:sz w:val="24"/>
        </w:rPr>
        <w:t>No Indemnifying Party shall have any liability under this Article VIII for any special, consequential, incidental, indirect, punitive, or exemplary Damages, or Damages in the nature of lost profits, loss of business opportunity, or diminution in value (other than diminution in value of the Purchased Interests to the extent directly caused by a breach of a representation or warranty), except to the extent such Damages are actually awarded to a third party in connection with a Third Party Claim.</w:t>
      </w:r>
    </w:p>
    <w:p>
      <w:pPr>
        <w:pStyle w:val="TextBody"/>
        <w:bidi w:val="0"/>
        <w:spacing w:lineRule="auto" w:line="285" w:before="0" w:after="210"/>
        <w:ind w:left="360" w:right="0" w:hanging="0"/>
        <w:jc w:val="both"/>
        <w:rPr>
          <w:rFonts w:ascii="Times New Roman;Times;serif" w:hAnsi="Times New Roman;Times;serif"/>
          <w:sz w:val="24"/>
        </w:rPr>
      </w:pPr>
      <w:r>
        <w:rPr>
          <w:rFonts w:ascii="Times New Roman;Times;serif" w:hAnsi="Times New Roman;Times;serif"/>
          <w:sz w:val="24"/>
        </w:rPr>
        <w:t>Section 8.8</w:t>
      </w:r>
      <w:bookmarkStart w:id="3645" w:name="_Toc333516631"/>
      <w:bookmarkStart w:id="3646" w:name="_Toc493079784"/>
      <w:bookmarkStart w:id="3647" w:name="_Toc491265047"/>
      <w:bookmarkStart w:id="3648" w:name="_Toc491263262"/>
      <w:bookmarkStart w:id="3649" w:name="_Toc491250914"/>
      <w:bookmarkStart w:id="3650" w:name="_Toc491244357"/>
      <w:bookmarkStart w:id="3651" w:name="_Toc490572308"/>
      <w:bookmarkStart w:id="3652" w:name="_Toc488826816"/>
      <w:bookmarkStart w:id="3653" w:name="_Toc488825224"/>
      <w:bookmarkStart w:id="3654" w:name="_Toc445397475"/>
      <w:bookmarkStart w:id="3655" w:name="_Toc441653003"/>
      <w:bookmarkStart w:id="3656" w:name="_Toc343001510"/>
      <w:bookmarkStart w:id="3657" w:name="_Toc341780969"/>
      <w:bookmarkStart w:id="3658" w:name="_Toc341776395"/>
      <w:bookmarkStart w:id="3659" w:name="_Toc341771366"/>
      <w:bookmarkStart w:id="3660" w:name="_Toc340837456"/>
      <w:bookmarkStart w:id="3661" w:name="_Toc340828741"/>
      <w:bookmarkStart w:id="3662" w:name="_Toc340814412"/>
      <w:bookmarkStart w:id="3663" w:name="_Toc340814312"/>
      <w:bookmarkStart w:id="3664" w:name="_Toc340760359"/>
      <w:bookmarkStart w:id="3665" w:name="_Toc340759981"/>
      <w:bookmarkStart w:id="3666" w:name="_Toc340757523"/>
      <w:bookmarkStart w:id="3667" w:name="_Toc338754137"/>
      <w:bookmarkStart w:id="3668" w:name="_Toc338753984"/>
      <w:bookmarkStart w:id="3669" w:name="_Toc338753627"/>
      <w:bookmarkStart w:id="3670" w:name="_Toc338751693"/>
      <w:bookmarkStart w:id="3671" w:name="_Toc337829229"/>
      <w:bookmarkStart w:id="3672" w:name="_Toc337828058"/>
      <w:bookmarkStart w:id="3673" w:name="_Toc337827863"/>
      <w:bookmarkStart w:id="3674" w:name="_Toc337827494"/>
      <w:bookmarkStart w:id="3675" w:name="_Toc337826843"/>
      <w:bookmarkStart w:id="3676" w:name="_Toc334637546"/>
      <w:bookmarkStart w:id="3677" w:name="_Toc333517050"/>
      <w:bookmarkStart w:id="3678" w:name="_Toc333516968"/>
      <w:bookmarkStart w:id="3679" w:name="_Toc333516886"/>
      <w:bookmarkStart w:id="3680" w:name="_Toc333516802"/>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r>
        <w:rPr>
          <w:rFonts w:ascii="Times New Roman;Times;serif" w:hAnsi="Times New Roman;Times;serif"/>
          <w:sz w:val="24"/>
        </w:rPr>
        <w:t xml:space="preserve">  </w:t>
      </w:r>
      <w:bookmarkStart w:id="3681" w:name="_Toc228467126"/>
      <w:bookmarkEnd w:id="3681"/>
      <w:r>
        <w:rPr>
          <w:rFonts w:ascii="Times New Roman;Times;serif" w:hAnsi="Times New Roman;Times;serif"/>
          <w:sz w:val="24"/>
        </w:rPr>
        <w:t>Treatment of Indemnity Payments.  To the extent permitted under IRS guidelines, all payments made pursuant to Section 8.1 and Section 8.2 shall be deemed adjustments to the Purchase Price for tax purposes.  </w:t>
      </w:r>
    </w:p>
    <w:p>
      <w:pPr>
        <w:pStyle w:val="TextBody"/>
        <w:bidi w:val="0"/>
        <w:spacing w:lineRule="auto" w:line="285"/>
        <w:ind w:left="360" w:right="0" w:hanging="0"/>
        <w:jc w:val="both"/>
        <w:rPr>
          <w:rFonts w:ascii="Times New Roman;Times;serif" w:hAnsi="Times New Roman;Times;serif"/>
          <w:sz w:val="24"/>
        </w:rPr>
      </w:pPr>
      <w:r>
        <w:rPr>
          <w:rFonts w:ascii="Times New Roman;Times;serif" w:hAnsi="Times New Roman;Times;serif"/>
          <w:sz w:val="24"/>
        </w:rPr>
        <w:t>Section 8.9</w:t>
      </w:r>
      <w:bookmarkStart w:id="3682" w:name="_Toc333516632"/>
      <w:bookmarkStart w:id="3683" w:name="_Toc228467127"/>
      <w:bookmarkStart w:id="3684" w:name="_Toc493079785"/>
      <w:bookmarkStart w:id="3685" w:name="_Toc491265048"/>
      <w:bookmarkStart w:id="3686" w:name="_Toc491263263"/>
      <w:bookmarkStart w:id="3687" w:name="_Toc491250915"/>
      <w:bookmarkStart w:id="3688" w:name="_Toc491244358"/>
      <w:bookmarkStart w:id="3689" w:name="_Toc490572309"/>
      <w:bookmarkStart w:id="3690" w:name="_Toc488826817"/>
      <w:bookmarkStart w:id="3691" w:name="_Toc488825225"/>
      <w:bookmarkStart w:id="3692" w:name="_Toc445397476"/>
      <w:bookmarkStart w:id="3693" w:name="_Toc441653004"/>
      <w:bookmarkStart w:id="3694" w:name="_Toc343001511"/>
      <w:bookmarkStart w:id="3695" w:name="_Toc341780970"/>
      <w:bookmarkStart w:id="3696" w:name="_Toc341776396"/>
      <w:bookmarkStart w:id="3697" w:name="_Toc341771367"/>
      <w:bookmarkStart w:id="3698" w:name="_Toc340837457"/>
      <w:bookmarkStart w:id="3699" w:name="_Toc340828742"/>
      <w:bookmarkStart w:id="3700" w:name="_Toc340814413"/>
      <w:bookmarkStart w:id="3701" w:name="_Toc340814313"/>
      <w:bookmarkStart w:id="3702" w:name="_Toc340760360"/>
      <w:bookmarkStart w:id="3703" w:name="_Toc340759982"/>
      <w:bookmarkStart w:id="3704" w:name="_Toc340757524"/>
      <w:bookmarkStart w:id="3705" w:name="_Toc338754138"/>
      <w:bookmarkStart w:id="3706" w:name="_Toc338753985"/>
      <w:bookmarkStart w:id="3707" w:name="_Toc338753628"/>
      <w:bookmarkStart w:id="3708" w:name="_Toc338751694"/>
      <w:bookmarkStart w:id="3709" w:name="_Toc337829230"/>
      <w:bookmarkStart w:id="3710" w:name="_Toc337828059"/>
      <w:bookmarkStart w:id="3711" w:name="_Toc337827864"/>
      <w:bookmarkStart w:id="3712" w:name="_Toc337827495"/>
      <w:bookmarkStart w:id="3713" w:name="_Toc337826844"/>
      <w:bookmarkStart w:id="3714" w:name="_Toc334637547"/>
      <w:bookmarkStart w:id="3715" w:name="_Toc333517051"/>
      <w:bookmarkStart w:id="3716" w:name="_Toc333516969"/>
      <w:bookmarkStart w:id="3717" w:name="_Toc333516887"/>
      <w:bookmarkStart w:id="3718" w:name="_Toc333516803"/>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r>
        <w:rPr>
          <w:rFonts w:ascii="Times New Roman;Times;serif" w:hAnsi="Times New Roman;Times;serif"/>
          <w:sz w:val="24"/>
        </w:rPr>
        <w:t>Exclusive Remedy; Specific Performance.  Except with respect to Fraud or a willful breach, each Party acknowledges and agrees that the indemnification provisions in this Article VIII shall be the sole and exclusive remedy after Closing with respect to any and all Damages incurred, resulting or arising under Section 8.1; provided, however that this Article VIII shall not prohibit specific performance or other equitable relief as described in this Section 8.9.  Each Party hereby acknowledges that the rights of each Party to consummate the transactions contemplated hereby are special, unique and of extraordinary character and that, in the event that any Party violates or fails or refuses to perform any covenant or agreement made by it herein, the non-breaching Party may be without an adequate remedy at law.  In the event that any Party violates or fails or refuses to perform any covenant or agreement made by such Party herein, the non-breaching Party may, subject to the terms hereof, institute and prosecute an action in any court of competent jurisdiction to enforce specific performances of such covenant or agreement or seek any other equitable relief.</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285" w:before="0" w:after="210"/>
        <w:ind w:left="0" w:right="0" w:hanging="0"/>
        <w:jc w:val="center"/>
        <w:rPr>
          <w:rFonts w:ascii="Arial;Helvetica;sans-serif" w:hAnsi="Arial;Helvetica;sans-serif"/>
          <w:b/>
          <w:sz w:val="21"/>
        </w:rPr>
      </w:pPr>
      <w:r>
        <w:rPr>
          <w:rFonts w:ascii="Times New Roman;Times;serif" w:hAnsi="Times New Roman;Times;serif"/>
          <w:b/>
          <w:caps/>
          <w:sz w:val="24"/>
        </w:rPr>
        <w:t>Article IX</w:t>
      </w:r>
      <w:bookmarkStart w:id="3719" w:name="_Toc333516888"/>
      <w:bookmarkStart w:id="3720" w:name="_Toc333516804"/>
      <w:bookmarkStart w:id="3721" w:name="_Toc333516633"/>
      <w:bookmarkEnd w:id="3719"/>
      <w:bookmarkEnd w:id="3720"/>
      <w:bookmarkEnd w:id="3721"/>
      <w:r>
        <w:rPr>
          <w:rFonts w:ascii="Arial;Helvetica;sans-serif" w:hAnsi="Arial;Helvetica;sans-serif"/>
          <w:b/>
          <w:sz w:val="21"/>
        </w:rPr>
        <w:t>​</w:t>
      </w:r>
      <w:r>
        <w:rPr>
          <w:rFonts w:ascii="Times New Roman;Times;serif" w:hAnsi="Times New Roman;Times;serif"/>
          <w:b/>
          <w:sz w:val="24"/>
        </w:rPr>
        <w:br/>
      </w:r>
      <w:bookmarkStart w:id="3722" w:name="_Toc228467128"/>
      <w:bookmarkStart w:id="3723" w:name="_Toc493079786"/>
      <w:bookmarkStart w:id="3724" w:name="_Toc491265049"/>
      <w:bookmarkStart w:id="3725" w:name="_Toc491263264"/>
      <w:bookmarkStart w:id="3726" w:name="_Toc491250916"/>
      <w:bookmarkStart w:id="3727" w:name="_Toc491244359"/>
      <w:bookmarkStart w:id="3728" w:name="_Toc490572310"/>
      <w:bookmarkStart w:id="3729" w:name="_Toc488826818"/>
      <w:bookmarkStart w:id="3730" w:name="_Toc488825226"/>
      <w:bookmarkStart w:id="3731" w:name="_Toc445397477"/>
      <w:bookmarkStart w:id="3732" w:name="_Toc441653005"/>
      <w:bookmarkStart w:id="3733" w:name="_Toc343001512"/>
      <w:bookmarkStart w:id="3734" w:name="_Toc341780971"/>
      <w:bookmarkStart w:id="3735" w:name="_Toc341776397"/>
      <w:bookmarkStart w:id="3736" w:name="_Toc341771368"/>
      <w:bookmarkStart w:id="3737" w:name="_Toc340837458"/>
      <w:bookmarkStart w:id="3738" w:name="_Toc340828743"/>
      <w:bookmarkStart w:id="3739" w:name="_Toc340814414"/>
      <w:bookmarkStart w:id="3740" w:name="_Toc340814314"/>
      <w:bookmarkStart w:id="3741" w:name="_Toc340760361"/>
      <w:bookmarkStart w:id="3742" w:name="_Toc340759983"/>
      <w:bookmarkStart w:id="3743" w:name="_Toc340757525"/>
      <w:bookmarkStart w:id="3744" w:name="_Toc338754139"/>
      <w:bookmarkStart w:id="3745" w:name="_Toc338753986"/>
      <w:bookmarkStart w:id="3746" w:name="_Toc338753629"/>
      <w:bookmarkStart w:id="3747" w:name="_Toc338751695"/>
      <w:bookmarkStart w:id="3748" w:name="_Toc337829231"/>
      <w:bookmarkStart w:id="3749" w:name="_Toc337828060"/>
      <w:bookmarkStart w:id="3750" w:name="_Toc337827865"/>
      <w:bookmarkStart w:id="3751" w:name="_Toc337827496"/>
      <w:bookmarkStart w:id="3752" w:name="_Toc337826845"/>
      <w:bookmarkStart w:id="3753" w:name="_Toc334637548"/>
      <w:bookmarkStart w:id="3754" w:name="_Toc333517052"/>
      <w:bookmarkStart w:id="3755" w:name="_Toc333516970"/>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r>
        <w:rPr>
          <w:rFonts w:ascii="Times New Roman;Times;serif" w:hAnsi="Times New Roman;Times;serif"/>
          <w:b/>
          <w:sz w:val="24"/>
        </w:rPr>
        <w:t>MISCELLANEOUS PROVISIONS</w:t>
      </w:r>
    </w:p>
    <w:p>
      <w:pPr>
        <w:pStyle w:val="TextBody"/>
        <w:bidi w:val="0"/>
        <w:spacing w:lineRule="auto" w:line="285" w:before="0" w:after="210"/>
        <w:ind w:left="360" w:right="0" w:hanging="0"/>
        <w:jc w:val="both"/>
        <w:rPr>
          <w:rFonts w:ascii="Times New Roman;Times;serif" w:hAnsi="Times New Roman;Times;serif"/>
          <w:sz w:val="24"/>
        </w:rPr>
      </w:pPr>
      <w:r>
        <w:rPr>
          <w:rFonts w:ascii="Times New Roman;Times;serif" w:hAnsi="Times New Roman;Times;serif"/>
          <w:sz w:val="24"/>
        </w:rPr>
        <w:t>Section 9.1</w:t>
      </w:r>
      <w:bookmarkStart w:id="3756" w:name="_Toc333516634"/>
      <w:bookmarkStart w:id="3757" w:name="_Toc228467129"/>
      <w:bookmarkStart w:id="3758" w:name="_Toc493079787"/>
      <w:bookmarkStart w:id="3759" w:name="_Toc491265050"/>
      <w:bookmarkStart w:id="3760" w:name="_Toc491263265"/>
      <w:bookmarkStart w:id="3761" w:name="_Toc491250917"/>
      <w:bookmarkStart w:id="3762" w:name="_Toc491244360"/>
      <w:bookmarkStart w:id="3763" w:name="_Toc490572311"/>
      <w:bookmarkStart w:id="3764" w:name="_Toc488826819"/>
      <w:bookmarkStart w:id="3765" w:name="_Toc488825227"/>
      <w:bookmarkStart w:id="3766" w:name="_Toc445397478"/>
      <w:bookmarkStart w:id="3767" w:name="_Toc441653006"/>
      <w:bookmarkStart w:id="3768" w:name="_Toc343001513"/>
      <w:bookmarkStart w:id="3769" w:name="_Toc341780972"/>
      <w:bookmarkStart w:id="3770" w:name="_Toc341776398"/>
      <w:bookmarkStart w:id="3771" w:name="_Toc341771369"/>
      <w:bookmarkStart w:id="3772" w:name="_Toc340837459"/>
      <w:bookmarkStart w:id="3773" w:name="_Toc340828744"/>
      <w:bookmarkStart w:id="3774" w:name="_Toc340814415"/>
      <w:bookmarkStart w:id="3775" w:name="_Toc340814315"/>
      <w:bookmarkStart w:id="3776" w:name="_Toc340760362"/>
      <w:bookmarkStart w:id="3777" w:name="_Toc340759984"/>
      <w:bookmarkStart w:id="3778" w:name="_Toc340757526"/>
      <w:bookmarkStart w:id="3779" w:name="_Toc338754140"/>
      <w:bookmarkStart w:id="3780" w:name="_Toc338753987"/>
      <w:bookmarkStart w:id="3781" w:name="_Toc338753630"/>
      <w:bookmarkStart w:id="3782" w:name="_Toc338751696"/>
      <w:bookmarkStart w:id="3783" w:name="_Toc337829232"/>
      <w:bookmarkStart w:id="3784" w:name="_Toc337828061"/>
      <w:bookmarkStart w:id="3785" w:name="_Toc337827866"/>
      <w:bookmarkStart w:id="3786" w:name="_Toc337827497"/>
      <w:bookmarkStart w:id="3787" w:name="_Toc337826846"/>
      <w:bookmarkStart w:id="3788" w:name="_Toc334637549"/>
      <w:bookmarkStart w:id="3789" w:name="_Toc333517053"/>
      <w:bookmarkStart w:id="3790" w:name="_Toc333516971"/>
      <w:bookmarkStart w:id="3791" w:name="_Toc333516889"/>
      <w:bookmarkStart w:id="3792" w:name="_Toc33351680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r>
        <w:rPr>
          <w:rFonts w:ascii="Times New Roman;Times;serif" w:hAnsi="Times New Roman;Times;serif"/>
          <w:sz w:val="24"/>
        </w:rPr>
        <w:t xml:space="preserve">Notices.  All notices and other communications hereunder shall be in writing and shall be deemed to have been duly given when personally delivered, or if sent by United States certified mail, return receipt requested, postage prepaid, shall be deemed duly given on delivery by the United States Postal Service, or if sent by electronic mail or receipted overnight courier services shall be deemed duly given on the Business Day received if received prior to 5:00 p.m. local time or on the following Business Day if received after 5:00 p.m. local time or on a non-Business Day, addressed to the respective Parties as follows: </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To the PurchaserWilldan Energy Solutions</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and after the Closing2401 E. Katella Ave. Suite 300</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to the Company:Anaheim, CA  92806</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Attn:  Mike Bieber</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Email:  [REDACTED]</w:t>
      </w:r>
    </w:p>
    <w:p>
      <w:pPr>
        <w:pStyle w:val="TextBody"/>
        <w:bidi w:val="0"/>
        <w:spacing w:lineRule="auto" w:line="314" w:before="0" w:after="0"/>
        <w:ind w:left="4320" w:right="0" w:hanging="0"/>
        <w:jc w:val="both"/>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with a copy to (which shallWilldan Group Inc.</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not constitute notice):2401 E. Katella Ave. Suite 300</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Anaheim, CA  92806</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Attn: Micah Chen</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Email:  [REDACTED]</w:t>
      </w:r>
    </w:p>
    <w:p>
      <w:pPr>
        <w:pStyle w:val="TextBody"/>
        <w:bidi w:val="0"/>
        <w:spacing w:lineRule="auto" w:line="314" w:before="0" w:after="0"/>
        <w:ind w:left="4320" w:right="0" w:hanging="0"/>
        <w:jc w:val="both"/>
        <w:rPr/>
      </w:pPr>
      <w:r>
        <w:rPr/>
        <w:t>​</w:t>
      </w:r>
    </w:p>
    <w:p>
      <w:pPr>
        <w:pStyle w:val="TextBody"/>
        <w:bidi w:val="0"/>
        <w:spacing w:lineRule="auto" w:line="314" w:before="0" w:after="0"/>
        <w:ind w:left="720" w:right="0" w:hanging="0"/>
        <w:jc w:val="both"/>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To the Seller Representative andAs set forth on the signature pages hereto</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the Sellers:</w:t>
      </w:r>
    </w:p>
    <w:p>
      <w:pPr>
        <w:pStyle w:val="TextBody"/>
        <w:bidi w:val="0"/>
        <w:spacing w:lineRule="auto" w:line="314" w:before="0" w:after="0"/>
        <w:ind w:left="720" w:right="0" w:hanging="0"/>
        <w:jc w:val="both"/>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 xml:space="preserve">with a copy to (which shall </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not constitute notice):</w:t>
      </w:r>
    </w:p>
    <w:p>
      <w:pPr>
        <w:pStyle w:val="TextBody"/>
        <w:bidi w:val="0"/>
        <w:spacing w:lineRule="auto" w:line="314" w:before="0" w:after="0"/>
        <w:ind w:left="7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 xml:space="preserve">[REDACTED] </w:t>
      </w:r>
    </w:p>
    <w:p>
      <w:pPr>
        <w:pStyle w:val="TextBody"/>
        <w:bidi w:val="0"/>
        <w:spacing w:lineRule="auto" w:line="314" w:before="0" w:after="0"/>
        <w:ind w:left="720" w:right="0" w:hanging="0"/>
        <w:jc w:val="both"/>
        <w:rPr/>
      </w:pPr>
      <w:r>
        <w:rPr/>
        <w:t>​</w:t>
      </w:r>
    </w:p>
    <w:p>
      <w:pPr>
        <w:pStyle w:val="TextBody"/>
        <w:bidi w:val="0"/>
        <w:spacing w:lineRule="auto" w:line="314" w:before="0" w:after="0"/>
        <w:ind w:left="720" w:right="0" w:hanging="0"/>
        <w:jc w:val="both"/>
        <w:rPr/>
      </w:pPr>
      <w:r>
        <w:rPr/>
        <w:t>​</w:t>
      </w:r>
    </w:p>
    <w:p>
      <w:pPr>
        <w:pStyle w:val="TextBody"/>
        <w:bidi w:val="0"/>
        <w:spacing w:lineRule="auto" w:line="285" w:before="240" w:after="210"/>
        <w:ind w:left="0" w:right="0" w:hanging="0"/>
        <w:jc w:val="both"/>
        <w:rPr>
          <w:rFonts w:ascii="Times New Roman;Times;serif" w:hAnsi="Times New Roman;Times;serif"/>
          <w:sz w:val="24"/>
        </w:rPr>
      </w:pPr>
      <w:r>
        <w:rPr>
          <w:rFonts w:ascii="Times New Roman;Times;serif" w:hAnsi="Times New Roman;Times;serif"/>
          <w:sz w:val="24"/>
        </w:rPr>
        <w:t>or to such other representative or at such other address as such Person may furnish to the other Party in writing.</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9.2</w:t>
      </w:r>
      <w:bookmarkStart w:id="3793" w:name="_Toc333516635"/>
      <w:bookmarkStart w:id="3794" w:name="_Toc228467130"/>
      <w:bookmarkStart w:id="3795" w:name="_Toc493079788"/>
      <w:bookmarkStart w:id="3796" w:name="_Toc491265051"/>
      <w:bookmarkStart w:id="3797" w:name="_Toc491263266"/>
      <w:bookmarkStart w:id="3798" w:name="_Toc491250918"/>
      <w:bookmarkStart w:id="3799" w:name="_Toc491244361"/>
      <w:bookmarkStart w:id="3800" w:name="_Toc490572312"/>
      <w:bookmarkStart w:id="3801" w:name="_Toc488826820"/>
      <w:bookmarkStart w:id="3802" w:name="_Toc488825228"/>
      <w:bookmarkStart w:id="3803" w:name="_Toc445397479"/>
      <w:bookmarkStart w:id="3804" w:name="_Toc441653007"/>
      <w:bookmarkStart w:id="3805" w:name="_Toc343001514"/>
      <w:bookmarkStart w:id="3806" w:name="_Toc341780973"/>
      <w:bookmarkStart w:id="3807" w:name="_Toc341776399"/>
      <w:bookmarkStart w:id="3808" w:name="_Toc341771370"/>
      <w:bookmarkStart w:id="3809" w:name="_Toc340837460"/>
      <w:bookmarkStart w:id="3810" w:name="_Toc340828745"/>
      <w:bookmarkStart w:id="3811" w:name="_Toc340814416"/>
      <w:bookmarkStart w:id="3812" w:name="_Toc340814316"/>
      <w:bookmarkStart w:id="3813" w:name="_Toc340760363"/>
      <w:bookmarkStart w:id="3814" w:name="_Toc340759985"/>
      <w:bookmarkStart w:id="3815" w:name="_Toc340757527"/>
      <w:bookmarkStart w:id="3816" w:name="_Toc338754141"/>
      <w:bookmarkStart w:id="3817" w:name="_Toc338753988"/>
      <w:bookmarkStart w:id="3818" w:name="_Toc338753631"/>
      <w:bookmarkStart w:id="3819" w:name="_Toc338751697"/>
      <w:bookmarkStart w:id="3820" w:name="_Toc337829233"/>
      <w:bookmarkStart w:id="3821" w:name="_Toc337828062"/>
      <w:bookmarkStart w:id="3822" w:name="_Toc337827867"/>
      <w:bookmarkStart w:id="3823" w:name="_Toc337827498"/>
      <w:bookmarkStart w:id="3824" w:name="_Toc337826847"/>
      <w:bookmarkStart w:id="3825" w:name="_Toc334637550"/>
      <w:bookmarkStart w:id="3826" w:name="_Toc333517054"/>
      <w:bookmarkStart w:id="3827" w:name="_Toc333516972"/>
      <w:bookmarkStart w:id="3828" w:name="_Toc333516890"/>
      <w:bookmarkStart w:id="3829" w:name="_Toc333516806"/>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r>
        <w:rPr>
          <w:rFonts w:ascii="Times New Roman;Times;serif" w:hAnsi="Times New Roman;Times;serif"/>
          <w:sz w:val="24"/>
        </w:rPr>
        <w:t>Schedules and Exhibits.  The Schedules and Exhibits are hereby incorporated into this Agreement and are hereby made a part hereof as if set out in full herein.</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9.3</w:t>
      </w:r>
      <w:bookmarkStart w:id="3830" w:name="_Toc333516636"/>
      <w:bookmarkStart w:id="3831" w:name="_Toc228467131"/>
      <w:bookmarkStart w:id="3832" w:name="_Toc493079789"/>
      <w:bookmarkStart w:id="3833" w:name="_Toc491265052"/>
      <w:bookmarkStart w:id="3834" w:name="_Toc491263267"/>
      <w:bookmarkStart w:id="3835" w:name="_Toc491250919"/>
      <w:bookmarkStart w:id="3836" w:name="_Toc491244362"/>
      <w:bookmarkStart w:id="3837" w:name="_Toc490572313"/>
      <w:bookmarkStart w:id="3838" w:name="_Toc488826821"/>
      <w:bookmarkStart w:id="3839" w:name="_Toc488825229"/>
      <w:bookmarkStart w:id="3840" w:name="_Toc445397480"/>
      <w:bookmarkStart w:id="3841" w:name="_Toc441653008"/>
      <w:bookmarkStart w:id="3842" w:name="_Toc343001515"/>
      <w:bookmarkStart w:id="3843" w:name="_Toc341780974"/>
      <w:bookmarkStart w:id="3844" w:name="_Toc341776400"/>
      <w:bookmarkStart w:id="3845" w:name="_Toc341771371"/>
      <w:bookmarkStart w:id="3846" w:name="_Toc340837461"/>
      <w:bookmarkStart w:id="3847" w:name="_Toc340828746"/>
      <w:bookmarkStart w:id="3848" w:name="_Toc340814417"/>
      <w:bookmarkStart w:id="3849" w:name="_Toc340814317"/>
      <w:bookmarkStart w:id="3850" w:name="_Toc340760364"/>
      <w:bookmarkStart w:id="3851" w:name="_Toc340759986"/>
      <w:bookmarkStart w:id="3852" w:name="_Toc340757528"/>
      <w:bookmarkStart w:id="3853" w:name="_Toc338754142"/>
      <w:bookmarkStart w:id="3854" w:name="_Toc338753989"/>
      <w:bookmarkStart w:id="3855" w:name="_Toc338753632"/>
      <w:bookmarkStart w:id="3856" w:name="_Toc338751698"/>
      <w:bookmarkStart w:id="3857" w:name="_Toc337829234"/>
      <w:bookmarkStart w:id="3858" w:name="_Toc337828063"/>
      <w:bookmarkStart w:id="3859" w:name="_Toc337827868"/>
      <w:bookmarkStart w:id="3860" w:name="_Toc337827499"/>
      <w:bookmarkStart w:id="3861" w:name="_Toc337826848"/>
      <w:bookmarkStart w:id="3862" w:name="_Toc334637551"/>
      <w:bookmarkStart w:id="3863" w:name="_Toc333517055"/>
      <w:bookmarkStart w:id="3864" w:name="_Toc333516973"/>
      <w:bookmarkStart w:id="3865" w:name="_Toc333516891"/>
      <w:bookmarkStart w:id="3866" w:name="_Toc333516807"/>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r>
        <w:rPr>
          <w:rFonts w:ascii="Times New Roman;Times;serif" w:hAnsi="Times New Roman;Times;serif"/>
          <w:sz w:val="24"/>
        </w:rPr>
        <w:t>Assignment; Successors in Interest.  No assignment or transfer by any Party of his or its rights and obligations hereunder shall be made except with the prior written consent of the other Party.  This Agreement shall be binding upon and shall inure to the benefit of the Parties and their respective successors and permitted assigns, and any reference to a Party shall also be a reference to the successors and permitted assigns thereof.</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9.4</w:t>
      </w:r>
      <w:bookmarkStart w:id="3867" w:name="_Toc333516637"/>
      <w:bookmarkStart w:id="3868" w:name="_Toc228467132"/>
      <w:bookmarkStart w:id="3869" w:name="_Toc493079790"/>
      <w:bookmarkStart w:id="3870" w:name="_Toc491265053"/>
      <w:bookmarkStart w:id="3871" w:name="_Toc491263268"/>
      <w:bookmarkStart w:id="3872" w:name="_Toc491250920"/>
      <w:bookmarkStart w:id="3873" w:name="_Toc491244363"/>
      <w:bookmarkStart w:id="3874" w:name="_Toc490572314"/>
      <w:bookmarkStart w:id="3875" w:name="_Toc488826822"/>
      <w:bookmarkStart w:id="3876" w:name="_Toc488825230"/>
      <w:bookmarkStart w:id="3877" w:name="_Toc445397481"/>
      <w:bookmarkStart w:id="3878" w:name="_Toc441653009"/>
      <w:bookmarkStart w:id="3879" w:name="_Toc343001516"/>
      <w:bookmarkStart w:id="3880" w:name="_Toc341780975"/>
      <w:bookmarkStart w:id="3881" w:name="_Toc341776401"/>
      <w:bookmarkStart w:id="3882" w:name="_Toc341771372"/>
      <w:bookmarkStart w:id="3883" w:name="_Toc340837462"/>
      <w:bookmarkStart w:id="3884" w:name="_Toc340828747"/>
      <w:bookmarkStart w:id="3885" w:name="_Toc340814418"/>
      <w:bookmarkStart w:id="3886" w:name="_Toc340814318"/>
      <w:bookmarkStart w:id="3887" w:name="_Toc340760365"/>
      <w:bookmarkStart w:id="3888" w:name="_Toc340759987"/>
      <w:bookmarkStart w:id="3889" w:name="_Toc340757529"/>
      <w:bookmarkStart w:id="3890" w:name="_Toc338754143"/>
      <w:bookmarkStart w:id="3891" w:name="_Toc338753990"/>
      <w:bookmarkStart w:id="3892" w:name="_Toc338753633"/>
      <w:bookmarkStart w:id="3893" w:name="_Toc338751699"/>
      <w:bookmarkStart w:id="3894" w:name="_Toc337829235"/>
      <w:bookmarkStart w:id="3895" w:name="_Toc337828064"/>
      <w:bookmarkStart w:id="3896" w:name="_Toc337827869"/>
      <w:bookmarkStart w:id="3897" w:name="_Toc337827500"/>
      <w:bookmarkStart w:id="3898" w:name="_Toc337826849"/>
      <w:bookmarkStart w:id="3899" w:name="_Toc334637552"/>
      <w:bookmarkStart w:id="3900" w:name="_Toc333517056"/>
      <w:bookmarkStart w:id="3901" w:name="_Toc333516974"/>
      <w:bookmarkStart w:id="3902" w:name="_Toc333516892"/>
      <w:bookmarkStart w:id="3903" w:name="_Toc333516808"/>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r>
        <w:rPr>
          <w:rFonts w:ascii="Times New Roman;Times;serif" w:hAnsi="Times New Roman;Times;serif"/>
          <w:sz w:val="24"/>
        </w:rPr>
        <w:t>Captions.  The titles, captions and table of contents contained herein are inserted herein only as a matter of convenience and for reference and in no way define, limit, extend or describe the scope of this Agreement or the intent of any provision hereof.</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9.5</w:t>
      </w:r>
      <w:bookmarkStart w:id="3904" w:name="_Toc333516638"/>
      <w:bookmarkStart w:id="3905" w:name="_Toc228467133"/>
      <w:bookmarkStart w:id="3906" w:name="_Toc493079791"/>
      <w:bookmarkStart w:id="3907" w:name="_Toc491265054"/>
      <w:bookmarkStart w:id="3908" w:name="_Toc491263269"/>
      <w:bookmarkStart w:id="3909" w:name="_Toc491250921"/>
      <w:bookmarkStart w:id="3910" w:name="_Toc491244364"/>
      <w:bookmarkStart w:id="3911" w:name="_Toc490572315"/>
      <w:bookmarkStart w:id="3912" w:name="_Toc488826823"/>
      <w:bookmarkStart w:id="3913" w:name="_Toc488825231"/>
      <w:bookmarkStart w:id="3914" w:name="_Toc445397482"/>
      <w:bookmarkStart w:id="3915" w:name="_Toc441653010"/>
      <w:bookmarkStart w:id="3916" w:name="_Toc343001517"/>
      <w:bookmarkStart w:id="3917" w:name="_Toc341780976"/>
      <w:bookmarkStart w:id="3918" w:name="_Toc341776402"/>
      <w:bookmarkStart w:id="3919" w:name="_Toc341771373"/>
      <w:bookmarkStart w:id="3920" w:name="_Toc340837463"/>
      <w:bookmarkStart w:id="3921" w:name="_Toc340828748"/>
      <w:bookmarkStart w:id="3922" w:name="_Toc340814419"/>
      <w:bookmarkStart w:id="3923" w:name="_Toc340814319"/>
      <w:bookmarkStart w:id="3924" w:name="_Toc340760366"/>
      <w:bookmarkStart w:id="3925" w:name="_Toc340759988"/>
      <w:bookmarkStart w:id="3926" w:name="_Toc340757530"/>
      <w:bookmarkStart w:id="3927" w:name="_Toc338754144"/>
      <w:bookmarkStart w:id="3928" w:name="_Toc338753991"/>
      <w:bookmarkStart w:id="3929" w:name="_Toc338753634"/>
      <w:bookmarkStart w:id="3930" w:name="_Toc338751700"/>
      <w:bookmarkStart w:id="3931" w:name="_Toc337829236"/>
      <w:bookmarkStart w:id="3932" w:name="_Toc337828065"/>
      <w:bookmarkStart w:id="3933" w:name="_Toc337827870"/>
      <w:bookmarkStart w:id="3934" w:name="_Toc337827501"/>
      <w:bookmarkStart w:id="3935" w:name="_Toc337826850"/>
      <w:bookmarkStart w:id="3936" w:name="_Toc334637553"/>
      <w:bookmarkStart w:id="3937" w:name="_Toc333517057"/>
      <w:bookmarkStart w:id="3938" w:name="_Toc333516975"/>
      <w:bookmarkStart w:id="3939" w:name="_Toc333516893"/>
      <w:bookmarkStart w:id="3940" w:name="_Toc333516809"/>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r>
        <w:rPr>
          <w:rFonts w:ascii="Times New Roman;Times;serif" w:hAnsi="Times New Roman;Times;serif"/>
          <w:sz w:val="24"/>
        </w:rPr>
        <w:t>Controlling Law; Amendment.  This Agreement shall be governed by and construed and enforced in accordance with the internal Laws of the State of Delaware without reference to choice of law rules.  This Agreement may be amended or supplemented in any and all respects only by written agreement of the Parties.</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9.6</w:t>
      </w:r>
      <w:bookmarkStart w:id="3941" w:name="_Toc333516639"/>
      <w:bookmarkStart w:id="3942" w:name="_Toc228467134"/>
      <w:bookmarkStart w:id="3943" w:name="_Toc493079792"/>
      <w:bookmarkStart w:id="3944" w:name="_Toc491265055"/>
      <w:bookmarkStart w:id="3945" w:name="_Toc491263270"/>
      <w:bookmarkStart w:id="3946" w:name="_Toc491250922"/>
      <w:bookmarkStart w:id="3947" w:name="_Toc491244365"/>
      <w:bookmarkStart w:id="3948" w:name="_Toc490572316"/>
      <w:bookmarkStart w:id="3949" w:name="_Toc488826824"/>
      <w:bookmarkStart w:id="3950" w:name="_Toc488825232"/>
      <w:bookmarkStart w:id="3951" w:name="_Toc445397483"/>
      <w:bookmarkStart w:id="3952" w:name="_Toc441653011"/>
      <w:bookmarkStart w:id="3953" w:name="_Toc343001518"/>
      <w:bookmarkStart w:id="3954" w:name="_Toc341780977"/>
      <w:bookmarkStart w:id="3955" w:name="_Toc341776403"/>
      <w:bookmarkStart w:id="3956" w:name="_Toc341771374"/>
      <w:bookmarkStart w:id="3957" w:name="_Toc340837464"/>
      <w:bookmarkStart w:id="3958" w:name="_Toc340828749"/>
      <w:bookmarkStart w:id="3959" w:name="_Toc340814420"/>
      <w:bookmarkStart w:id="3960" w:name="_Toc340814320"/>
      <w:bookmarkStart w:id="3961" w:name="_Toc340760367"/>
      <w:bookmarkStart w:id="3962" w:name="_Toc340759989"/>
      <w:bookmarkStart w:id="3963" w:name="_Toc340757531"/>
      <w:bookmarkStart w:id="3964" w:name="_Toc338754145"/>
      <w:bookmarkStart w:id="3965" w:name="_Toc338753992"/>
      <w:bookmarkStart w:id="3966" w:name="_Toc338753635"/>
      <w:bookmarkStart w:id="3967" w:name="_Toc338751701"/>
      <w:bookmarkStart w:id="3968" w:name="_Toc337829237"/>
      <w:bookmarkStart w:id="3969" w:name="_Toc337828066"/>
      <w:bookmarkStart w:id="3970" w:name="_Toc337827871"/>
      <w:bookmarkStart w:id="3971" w:name="_Toc337827502"/>
      <w:bookmarkStart w:id="3972" w:name="_Toc337826851"/>
      <w:bookmarkStart w:id="3973" w:name="_Toc334637554"/>
      <w:bookmarkStart w:id="3974" w:name="_Toc333517058"/>
      <w:bookmarkStart w:id="3975" w:name="_Toc333516976"/>
      <w:bookmarkStart w:id="3976" w:name="_Toc333516894"/>
      <w:bookmarkStart w:id="3977" w:name="_Toc33351681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r>
        <w:rPr>
          <w:rFonts w:ascii="Times New Roman;Times;serif" w:hAnsi="Times New Roman;Times;serif"/>
          <w:sz w:val="24"/>
        </w:rPr>
        <w:t>Submission to Jurisdiction.</w:t>
      </w:r>
      <w:bookmarkStart w:id="3978" w:name="_Toc333516811"/>
      <w:bookmarkStart w:id="3979" w:name="_Toc333516640"/>
      <w:bookmarkEnd w:id="3978"/>
      <w:bookmarkEnd w:id="3979"/>
      <w:r>
        <w:rPr>
          <w:rFonts w:ascii="Times New Roman;Times;serif" w:hAnsi="Times New Roman;Times;serif"/>
          <w:sz w:val="24"/>
        </w:rPr>
        <w:t xml:space="preserve"> Each Party agrees that any legal action or other legal proceeding arising out of or relating to this Agreement or the enforcement of any provision of this Agreement or the transactions contemplated hereby shall be brought or otherwise commenced exclusively in any state or federal court located in the City and County of Dallas, State of Texas.  Each Party agrees to mediate any dispute arising out of or relating to this Agreement or the enforcement of any provision of this Agreement or the transactions contemplated hereby before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Arial;Helvetica;sans-serif" w:hAnsi="Arial;Helvetica;sans-serif"/>
        </w:rPr>
      </w:pPr>
      <w:r>
        <w:rPr>
          <w:rFonts w:ascii="Times New Roman;Times;serif" w:hAnsi="Times New Roman;Times;serif"/>
          <w:b w:val="false"/>
          <w:i w:val="false"/>
          <w:caps w:val="false"/>
          <w:smallCaps w:val="false"/>
          <w:sz w:val="24"/>
        </w:rPr>
        <w:t>resorting to litigation.  Unless the Parties agree otherwise in writing, the mediation will be conducted through the City and County of Dallas, Texas office of JAMS.  A demand for mediation shall be served in writing on the other Party or Parties to this Agreement within a reasonable time after the dispute has arisen.  A Party may file a legal proceeding in order to preserve the Party’s rights with respect to the running of any statutes of limitations without violating the requirement of mediation, provided that mediation is commenced promptly and before the incurrence of significant legal fees or the undertaking of any discovery in connection with the legal proceeding.  A dispute not resolved within ninety (90) days after submission to mediation shall be resolved by litigation.  Each Party:</w:t>
      </w:r>
      <w:r>
        <w:rPr>
          <w:rFonts w:ascii="Arial;Helvetica;sans-serif" w:hAnsi="Arial;Helvetica;sans-serif"/>
          <w:caps w:val="false"/>
          <w:smallCaps w:val="false"/>
        </w:rPr>
        <w:t xml:space="preserve">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expressly and irrevocably consents and submits to the jurisdiction of each state and federal court located in the City and County of Dallas, State of Texas (and each appellate court located in the City and County of Dallas, State of Texas) in connection with any such legal proceeding, including to enforce any Order or award;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consents to service of process in any such proceeding in any manner permitted by the laws of the State of Texas, and agrees that service of process by registered or certified mail, return receipt requested, at its address specified pursuant to Section 9.1 is reasonably calculated to give actual notice;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(iii)</w:t>
      </w:r>
      <w:r>
        <w:rPr>
          <w:rFonts w:ascii="Times New Roman;Times;serif" w:hAnsi="Times New Roman;Times;serif"/>
          <w:sz w:val="24"/>
        </w:rPr>
        <w:t xml:space="preserve">agrees that each state and federal court located in the City and County of Dallas, State of Texas shall be deemed to be a convenient forum; </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(iv)</w:t>
      </w:r>
      <w:r>
        <w:rPr>
          <w:rFonts w:ascii="Times New Roman;Times;serif" w:hAnsi="Times New Roman;Times;serif"/>
          <w:sz w:val="24"/>
        </w:rPr>
        <w:t>waives and agrees not to assert (by way of motion, as a defense or otherwise), in any such legal proceeding commenced in any state or federal court located in the City and County of Dallas, State of Texas,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w:t>
      </w:r>
      <w:r>
        <w:rPr>
          <w:rFonts w:ascii="Times New Roman;Times;serif" w:hAnsi="Times New Roman;Times;serif"/>
          <w:sz w:val="24"/>
        </w:rPr>
        <w:t>agrees to the entry of an Order to enforce any Order or award made pursuant to this Section 9.6 by the state and federal courts located in the City and County of Dallas, State of Texas and in connection therewith hereby waives, and agrees not to assert by way of motion, as a defense, or otherwise, any claim that such resolution, settlement, Order or award is inconsistent with or violative of the laws or public policy of the laws of the State of Texas or any other jurisdiction.</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9.7</w:t>
      </w:r>
      <w:bookmarkStart w:id="3980" w:name="_Toc333516642"/>
      <w:bookmarkStart w:id="3981" w:name="_Toc228467135"/>
      <w:bookmarkStart w:id="3982" w:name="_Toc493079793"/>
      <w:bookmarkStart w:id="3983" w:name="_Toc491265056"/>
      <w:bookmarkStart w:id="3984" w:name="_Toc491263271"/>
      <w:bookmarkStart w:id="3985" w:name="_Toc491250923"/>
      <w:bookmarkStart w:id="3986" w:name="_Toc491244366"/>
      <w:bookmarkStart w:id="3987" w:name="_Toc490572317"/>
      <w:bookmarkStart w:id="3988" w:name="_Toc488826825"/>
      <w:bookmarkStart w:id="3989" w:name="_Toc488825233"/>
      <w:bookmarkStart w:id="3990" w:name="_Toc445397484"/>
      <w:bookmarkStart w:id="3991" w:name="_Toc441653012"/>
      <w:bookmarkStart w:id="3992" w:name="_Toc343001519"/>
      <w:bookmarkStart w:id="3993" w:name="_Toc341780978"/>
      <w:bookmarkStart w:id="3994" w:name="_Toc341776404"/>
      <w:bookmarkStart w:id="3995" w:name="_Toc341771375"/>
      <w:bookmarkStart w:id="3996" w:name="_Toc340837465"/>
      <w:bookmarkStart w:id="3997" w:name="_Toc340828750"/>
      <w:bookmarkStart w:id="3998" w:name="_Toc340814421"/>
      <w:bookmarkStart w:id="3999" w:name="_Toc340814321"/>
      <w:bookmarkStart w:id="4000" w:name="_Toc340760368"/>
      <w:bookmarkStart w:id="4001" w:name="_Toc340759990"/>
      <w:bookmarkStart w:id="4002" w:name="_Toc340757532"/>
      <w:bookmarkStart w:id="4003" w:name="_Toc338754146"/>
      <w:bookmarkStart w:id="4004" w:name="_Toc338753993"/>
      <w:bookmarkStart w:id="4005" w:name="_Toc338753636"/>
      <w:bookmarkStart w:id="4006" w:name="_Toc338751702"/>
      <w:bookmarkStart w:id="4007" w:name="_Toc337829238"/>
      <w:bookmarkStart w:id="4008" w:name="_Toc337828067"/>
      <w:bookmarkStart w:id="4009" w:name="_Toc337827872"/>
      <w:bookmarkStart w:id="4010" w:name="_Toc337827503"/>
      <w:bookmarkStart w:id="4011" w:name="_Toc337826852"/>
      <w:bookmarkStart w:id="4012" w:name="_Toc334637555"/>
      <w:bookmarkStart w:id="4013" w:name="_Toc333517059"/>
      <w:bookmarkStart w:id="4014" w:name="_Toc333516977"/>
      <w:bookmarkStart w:id="4015" w:name="_Toc333516895"/>
      <w:bookmarkStart w:id="4016" w:name="_Toc333516813"/>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r>
        <w:rPr>
          <w:rFonts w:ascii="Times New Roman;Times;serif" w:hAnsi="Times New Roman;Times;serif"/>
          <w:sz w:val="24"/>
        </w:rPr>
        <w:t>Severability.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each Party hereby waives any provision of Law that renders any such provision prohibited or unenforceable in any respect.</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9.8</w:t>
      </w:r>
      <w:bookmarkStart w:id="4017" w:name="_Toc333516643"/>
      <w:bookmarkStart w:id="4018" w:name="_Toc228467136"/>
      <w:bookmarkStart w:id="4019" w:name="_Toc493079794"/>
      <w:bookmarkStart w:id="4020" w:name="_Toc491265057"/>
      <w:bookmarkStart w:id="4021" w:name="_Toc491263272"/>
      <w:bookmarkStart w:id="4022" w:name="_Toc491250924"/>
      <w:bookmarkStart w:id="4023" w:name="_Toc491244367"/>
      <w:bookmarkStart w:id="4024" w:name="_Toc490572318"/>
      <w:bookmarkStart w:id="4025" w:name="_Toc488826826"/>
      <w:bookmarkStart w:id="4026" w:name="_Toc488825234"/>
      <w:bookmarkStart w:id="4027" w:name="_Toc445397485"/>
      <w:bookmarkStart w:id="4028" w:name="_Toc441653013"/>
      <w:bookmarkStart w:id="4029" w:name="_Toc343001520"/>
      <w:bookmarkStart w:id="4030" w:name="_Toc341780979"/>
      <w:bookmarkStart w:id="4031" w:name="_Toc341776405"/>
      <w:bookmarkStart w:id="4032" w:name="_Toc341771376"/>
      <w:bookmarkStart w:id="4033" w:name="_Toc340837466"/>
      <w:bookmarkStart w:id="4034" w:name="_Toc340828751"/>
      <w:bookmarkStart w:id="4035" w:name="_Toc340814422"/>
      <w:bookmarkStart w:id="4036" w:name="_Toc340814322"/>
      <w:bookmarkStart w:id="4037" w:name="_Toc340760369"/>
      <w:bookmarkStart w:id="4038" w:name="_Toc340759991"/>
      <w:bookmarkStart w:id="4039" w:name="_Toc340757533"/>
      <w:bookmarkStart w:id="4040" w:name="_Toc338754147"/>
      <w:bookmarkStart w:id="4041" w:name="_Toc338753994"/>
      <w:bookmarkStart w:id="4042" w:name="_Toc338753637"/>
      <w:bookmarkStart w:id="4043" w:name="_Toc338751703"/>
      <w:bookmarkStart w:id="4044" w:name="_Toc337829239"/>
      <w:bookmarkStart w:id="4045" w:name="_Toc337828068"/>
      <w:bookmarkStart w:id="4046" w:name="_Toc337827873"/>
      <w:bookmarkStart w:id="4047" w:name="_Toc337827504"/>
      <w:bookmarkStart w:id="4048" w:name="_Toc337826853"/>
      <w:bookmarkStart w:id="4049" w:name="_Toc334637556"/>
      <w:bookmarkStart w:id="4050" w:name="_Toc333517060"/>
      <w:bookmarkStart w:id="4051" w:name="_Toc333516978"/>
      <w:bookmarkStart w:id="4052" w:name="_Toc333516896"/>
      <w:bookmarkStart w:id="4053" w:name="_Toc333516814"/>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r>
        <w:rPr>
          <w:rFonts w:ascii="Times New Roman;Times;serif" w:hAnsi="Times New Roman;Times;serif"/>
          <w:sz w:val="24"/>
        </w:rPr>
        <w:t xml:space="preserve">Counterparts.  This Agreement may be executed in two or more counterparts, each of which shall be deemed an original, and it shall not be necessary in making </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proof of this Agreement or the terms hereof to produce or account for more than one of such counterparts.  This Agreement may be executed and delivered by facsimile or other electronic transmission.</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9.9</w:t>
      </w:r>
      <w:bookmarkStart w:id="4054" w:name="_Toc333516644"/>
      <w:bookmarkStart w:id="4055" w:name="_Toc228467137"/>
      <w:bookmarkStart w:id="4056" w:name="_Toc493079795"/>
      <w:bookmarkStart w:id="4057" w:name="_Toc491265058"/>
      <w:bookmarkStart w:id="4058" w:name="_Toc491263273"/>
      <w:bookmarkStart w:id="4059" w:name="_Toc491250925"/>
      <w:bookmarkStart w:id="4060" w:name="_Toc491244368"/>
      <w:bookmarkStart w:id="4061" w:name="_Toc490572319"/>
      <w:bookmarkStart w:id="4062" w:name="_Toc488826827"/>
      <w:bookmarkStart w:id="4063" w:name="_Toc488825235"/>
      <w:bookmarkStart w:id="4064" w:name="_Toc445397486"/>
      <w:bookmarkStart w:id="4065" w:name="_Toc441653014"/>
      <w:bookmarkStart w:id="4066" w:name="_Toc343001521"/>
      <w:bookmarkStart w:id="4067" w:name="_Toc341780980"/>
      <w:bookmarkStart w:id="4068" w:name="_Toc341776406"/>
      <w:bookmarkStart w:id="4069" w:name="_Toc341771377"/>
      <w:bookmarkStart w:id="4070" w:name="_Toc340837467"/>
      <w:bookmarkStart w:id="4071" w:name="_Toc340828752"/>
      <w:bookmarkStart w:id="4072" w:name="_Toc340814423"/>
      <w:bookmarkStart w:id="4073" w:name="_Toc340814323"/>
      <w:bookmarkStart w:id="4074" w:name="_Toc340760370"/>
      <w:bookmarkStart w:id="4075" w:name="_Toc340759992"/>
      <w:bookmarkStart w:id="4076" w:name="_Toc340757534"/>
      <w:bookmarkStart w:id="4077" w:name="_Toc338754148"/>
      <w:bookmarkStart w:id="4078" w:name="_Toc338753995"/>
      <w:bookmarkStart w:id="4079" w:name="_Toc338753638"/>
      <w:bookmarkStart w:id="4080" w:name="_Toc338751704"/>
      <w:bookmarkStart w:id="4081" w:name="_Toc337829240"/>
      <w:bookmarkStart w:id="4082" w:name="_Toc337828069"/>
      <w:bookmarkStart w:id="4083" w:name="_Toc337827874"/>
      <w:bookmarkStart w:id="4084" w:name="_Toc337827505"/>
      <w:bookmarkStart w:id="4085" w:name="_Toc337826854"/>
      <w:bookmarkStart w:id="4086" w:name="_Toc334637557"/>
      <w:bookmarkStart w:id="4087" w:name="_Toc333517061"/>
      <w:bookmarkStart w:id="4088" w:name="_Toc333516979"/>
      <w:bookmarkStart w:id="4089" w:name="_Toc333516897"/>
      <w:bookmarkStart w:id="4090" w:name="_Toc333516815"/>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r>
        <w:rPr>
          <w:rFonts w:ascii="Times New Roman;Times;serif" w:hAnsi="Times New Roman;Times;serif"/>
          <w:sz w:val="24"/>
        </w:rPr>
        <w:t>Parties in Interest.  Nothing expressed or implied herein is intended, or shall be construed, to confer upon or give any Person other than the Parties, and their successors or permitted assigns (and with respect to the indemnification provided for in Article VIII only, the Purchaser Indemnified Parties) any right, remedy, obligation or liability under or by reason of this Agreement, or result in such Person being deemed a third-party beneficiary hereof.</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9.10</w:t>
      </w:r>
      <w:bookmarkStart w:id="4091" w:name="_Toc333516645"/>
      <w:bookmarkStart w:id="4092" w:name="_Toc228467138"/>
      <w:bookmarkStart w:id="4093" w:name="_Toc493079796"/>
      <w:bookmarkStart w:id="4094" w:name="_Toc491265059"/>
      <w:bookmarkStart w:id="4095" w:name="_Toc491263274"/>
      <w:bookmarkStart w:id="4096" w:name="_Toc491250926"/>
      <w:bookmarkStart w:id="4097" w:name="_Toc491244369"/>
      <w:bookmarkStart w:id="4098" w:name="_Toc490572320"/>
      <w:bookmarkStart w:id="4099" w:name="_Toc488826828"/>
      <w:bookmarkStart w:id="4100" w:name="_Toc488825236"/>
      <w:bookmarkStart w:id="4101" w:name="_Toc445397487"/>
      <w:bookmarkStart w:id="4102" w:name="_Toc441653015"/>
      <w:bookmarkStart w:id="4103" w:name="_Toc343001522"/>
      <w:bookmarkStart w:id="4104" w:name="_Toc341780981"/>
      <w:bookmarkStart w:id="4105" w:name="_Toc341776407"/>
      <w:bookmarkStart w:id="4106" w:name="_Toc341771378"/>
      <w:bookmarkStart w:id="4107" w:name="_Toc340837468"/>
      <w:bookmarkStart w:id="4108" w:name="_Toc340828753"/>
      <w:bookmarkStart w:id="4109" w:name="_Toc340814424"/>
      <w:bookmarkStart w:id="4110" w:name="_Toc340814324"/>
      <w:bookmarkStart w:id="4111" w:name="_Toc340760371"/>
      <w:bookmarkStart w:id="4112" w:name="_Toc340759993"/>
      <w:bookmarkStart w:id="4113" w:name="_Toc340757535"/>
      <w:bookmarkStart w:id="4114" w:name="_Toc338754149"/>
      <w:bookmarkStart w:id="4115" w:name="_Toc338753996"/>
      <w:bookmarkStart w:id="4116" w:name="_Toc338753639"/>
      <w:bookmarkStart w:id="4117" w:name="_Toc338751705"/>
      <w:bookmarkStart w:id="4118" w:name="_Toc337829241"/>
      <w:bookmarkStart w:id="4119" w:name="_Toc337828070"/>
      <w:bookmarkStart w:id="4120" w:name="_Toc337827875"/>
      <w:bookmarkStart w:id="4121" w:name="_Toc337827506"/>
      <w:bookmarkStart w:id="4122" w:name="_Toc337826855"/>
      <w:bookmarkStart w:id="4123" w:name="_Toc334637558"/>
      <w:bookmarkStart w:id="4124" w:name="_Toc333517062"/>
      <w:bookmarkStart w:id="4125" w:name="_Toc333516980"/>
      <w:bookmarkStart w:id="4126" w:name="_Toc333516898"/>
      <w:bookmarkStart w:id="4127" w:name="_Toc333516816"/>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r>
        <w:rPr>
          <w:rFonts w:ascii="Times New Roman;Times;serif" w:hAnsi="Times New Roman;Times;serif"/>
          <w:sz w:val="24"/>
        </w:rPr>
        <w:t>Waiver.  Any agreement on the part of a Party to any extension or waiver of any provision hereof shall be valid only if set forth in an instrument in writing signed on behalf of such Party.  A waiver by a Party of the performance of any covenant, agreement, obligation, condition, representation or warranty shall not be construed as a waiver of any other covenant, agreement, obligation, condition, representation or warranty.  A waiver by any Party of the performance of any act shall not constitute a waiver of the performance of any other act or an identical act required to be performed at a later time.</w:t>
      </w:r>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9.11</w:t>
      </w:r>
      <w:bookmarkStart w:id="4128" w:name="_Toc333516646"/>
      <w:bookmarkStart w:id="4129" w:name="_Toc228467139"/>
      <w:bookmarkStart w:id="4130" w:name="_Toc493079797"/>
      <w:bookmarkStart w:id="4131" w:name="_Toc491265060"/>
      <w:bookmarkStart w:id="4132" w:name="_Toc491263275"/>
      <w:bookmarkStart w:id="4133" w:name="_Toc491250927"/>
      <w:bookmarkStart w:id="4134" w:name="_Toc491244370"/>
      <w:bookmarkStart w:id="4135" w:name="_Toc490572321"/>
      <w:bookmarkStart w:id="4136" w:name="_Toc488826829"/>
      <w:bookmarkStart w:id="4137" w:name="_Toc488825237"/>
      <w:bookmarkStart w:id="4138" w:name="_Toc445397488"/>
      <w:bookmarkStart w:id="4139" w:name="_Toc441653016"/>
      <w:bookmarkStart w:id="4140" w:name="_Toc343001523"/>
      <w:bookmarkStart w:id="4141" w:name="_Toc341780982"/>
      <w:bookmarkStart w:id="4142" w:name="_Toc341776408"/>
      <w:bookmarkStart w:id="4143" w:name="_Toc341771379"/>
      <w:bookmarkStart w:id="4144" w:name="_Toc340837469"/>
      <w:bookmarkStart w:id="4145" w:name="_Toc340828754"/>
      <w:bookmarkStart w:id="4146" w:name="_Toc340814425"/>
      <w:bookmarkStart w:id="4147" w:name="_Toc340814325"/>
      <w:bookmarkStart w:id="4148" w:name="_Toc340760372"/>
      <w:bookmarkStart w:id="4149" w:name="_Toc340759994"/>
      <w:bookmarkStart w:id="4150" w:name="_Toc340757536"/>
      <w:bookmarkStart w:id="4151" w:name="_Toc338754150"/>
      <w:bookmarkStart w:id="4152" w:name="_Toc338753997"/>
      <w:bookmarkStart w:id="4153" w:name="_Toc338753640"/>
      <w:bookmarkStart w:id="4154" w:name="_Toc338751706"/>
      <w:bookmarkStart w:id="4155" w:name="_Toc337829242"/>
      <w:bookmarkStart w:id="4156" w:name="_Toc337828071"/>
      <w:bookmarkStart w:id="4157" w:name="_Toc337827876"/>
      <w:bookmarkStart w:id="4158" w:name="_Toc337827507"/>
      <w:bookmarkStart w:id="4159" w:name="_Toc337826856"/>
      <w:bookmarkStart w:id="4160" w:name="_Toc334637559"/>
      <w:bookmarkStart w:id="4161" w:name="_Toc333517063"/>
      <w:bookmarkStart w:id="4162" w:name="_Toc333516981"/>
      <w:bookmarkStart w:id="4163" w:name="_Toc333516899"/>
      <w:bookmarkStart w:id="4164" w:name="_Toc33351681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r>
        <w:rPr>
          <w:rFonts w:ascii="Times New Roman;Times;serif" w:hAnsi="Times New Roman;Times;serif"/>
          <w:sz w:val="24"/>
        </w:rPr>
        <w:t>Integration.  This Agreement, the Company Ancillary Documents, and the Purchaser Ancillary documents and the other documents executed pursuant hereto supersede all negotiations, agreements and understandings among the Parties with respect to the subject matter hereof and constitute the entire agreement among the Parties with respect thereto.</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Section 9.12</w:t>
      </w:r>
      <w:bookmarkStart w:id="4165" w:name="_Toc493079799"/>
      <w:bookmarkStart w:id="4166" w:name="_Toc491265062"/>
      <w:bookmarkStart w:id="4167" w:name="_Toc491263277"/>
      <w:bookmarkStart w:id="4168" w:name="_Toc491250929"/>
      <w:bookmarkStart w:id="4169" w:name="_Toc491244372"/>
      <w:bookmarkStart w:id="4170" w:name="_Toc490572323"/>
      <w:bookmarkStart w:id="4171" w:name="_Toc488826831"/>
      <w:bookmarkStart w:id="4172" w:name="_Toc488825239"/>
      <w:bookmarkStart w:id="4173" w:name="_Toc445397490"/>
      <w:bookmarkStart w:id="4174" w:name="_Toc441653017"/>
      <w:bookmarkStart w:id="4175" w:name="_Toc343001524"/>
      <w:bookmarkStart w:id="4176" w:name="_Toc341780983"/>
      <w:bookmarkStart w:id="4177" w:name="_Toc341776409"/>
      <w:bookmarkStart w:id="4178" w:name="_Toc341771380"/>
      <w:bookmarkStart w:id="4179" w:name="_Toc340837470"/>
      <w:bookmarkStart w:id="4180" w:name="_Toc340828755"/>
      <w:bookmarkStart w:id="4181" w:name="_Toc340814426"/>
      <w:bookmarkStart w:id="4182" w:name="_Toc340814326"/>
      <w:bookmarkStart w:id="4183" w:name="_Toc340760373"/>
      <w:bookmarkStart w:id="4184" w:name="_Toc340759995"/>
      <w:bookmarkStart w:id="4185" w:name="_Toc340757537"/>
      <w:bookmarkStart w:id="4186" w:name="_Toc228467140"/>
      <w:bookmarkStart w:id="4187" w:name="_Toc227593572"/>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p>
    <w:p>
      <w:pPr>
        <w:pStyle w:val="TextBody"/>
        <w:bidi w:val="0"/>
        <w:spacing w:lineRule="auto" w:line="285" w:before="0" w:after="210"/>
        <w:ind w:left="0" w:right="0" w:hanging="0"/>
        <w:jc w:val="both"/>
        <w:rPr>
          <w:rFonts w:ascii="Times New Roman;Times;serif" w:hAnsi="Times New Roman;Times;serif"/>
          <w:sz w:val="24"/>
        </w:rPr>
      </w:pPr>
      <w:r>
        <w:rPr>
          <w:rFonts w:ascii="Times New Roman;Times;serif" w:hAnsi="Times New Roman;Times;serif"/>
          <w:sz w:val="24"/>
        </w:rPr>
        <w:t>Section 9.13</w:t>
      </w:r>
      <w:bookmarkStart w:id="4188" w:name="_Toc228467141"/>
      <w:bookmarkEnd w:id="4188"/>
      <w:r>
        <w:rPr>
          <w:rFonts w:ascii="Times New Roman;Times;serif" w:hAnsi="Times New Roman;Times;serif"/>
          <w:sz w:val="24"/>
        </w:rPr>
        <w:t>Seller Representative</w:t>
      </w:r>
    </w:p>
    <w:p>
      <w:pPr>
        <w:pStyle w:val="TextBody"/>
        <w:bidi w:val="0"/>
        <w:spacing w:lineRule="auto" w:line="285" w:before="0" w:after="0"/>
        <w:jc w:val="both"/>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210"/>
        <w:ind w:left="0" w:right="0" w:hanging="0"/>
        <w:jc w:val="both"/>
        <w:rPr>
          <w:rFonts w:ascii="Arial;Helvetica;sans-serif" w:hAnsi="Arial;Helvetica;sans-serif"/>
          <w:sz w:val="21"/>
        </w:rPr>
      </w:pPr>
      <w:r>
        <w:rPr>
          <w:rFonts w:ascii="Times New Roman;Times;serif" w:hAnsi="Times New Roman;Times;serif"/>
          <w:color w:val="010000"/>
          <w:sz w:val="22"/>
        </w:rPr>
        <w:t>(a)</w:t>
      </w:r>
      <w:r>
        <w:rPr>
          <w:rFonts w:ascii="Times New Roman;Times;serif" w:hAnsi="Times New Roman;Times;serif"/>
          <w:sz w:val="24"/>
        </w:rPr>
        <w:t>By the execution and delivery of this Agreement, including counterparts thereof, each Seller hereby irrevocably constitutes and appoints [REDACTED]</w:t>
      </w:r>
      <w:r>
        <w:rPr>
          <w:rFonts w:ascii="Arial;Helvetica;sans-serif" w:hAnsi="Arial;Helvetica;sans-serif"/>
          <w:sz w:val="21"/>
        </w:rPr>
        <w:t xml:space="preserve"> </w:t>
      </w:r>
      <w:r>
        <w:rPr>
          <w:rFonts w:ascii="Times New Roman;Times;serif" w:hAnsi="Times New Roman;Times;serif"/>
          <w:sz w:val="24"/>
        </w:rPr>
        <w:t>(the “</w:t>
      </w:r>
      <w:r>
        <w:rPr>
          <w:rFonts w:ascii="Times New Roman;Times;serif" w:hAnsi="Times New Roman;Times;serif"/>
          <w:sz w:val="24"/>
          <w:u w:val="single"/>
        </w:rPr>
        <w:t>Seller Representative</w:t>
      </w:r>
      <w:r>
        <w:rPr>
          <w:rFonts w:ascii="Arial;Helvetica;sans-serif" w:hAnsi="Arial;Helvetica;sans-serif"/>
          <w:sz w:val="21"/>
        </w:rPr>
        <w:t>”</w:t>
      </w:r>
      <w:r>
        <w:rPr>
          <w:rFonts w:ascii="Times New Roman;Times;serif" w:hAnsi="Times New Roman;Times;serif"/>
          <w:sz w:val="24"/>
        </w:rPr>
        <w:t>), and the Seller Representative hereby accepts such appointment, as the true and lawful agent and attorney-in-fact of such Seller with full powers of substitution to act in the name, place and stead of such Seller with respect to the performance on behalf of such Seller under the terms and provisions hereof and to do or refrain from doing all such further acts and things, and to execute all such documents, as the Seller Representative shall deem necessary or appropriate in connection with any transaction contemplated hereunder, including the power to:</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w:t>
      </w:r>
      <w:r>
        <w:rPr>
          <w:rFonts w:ascii="Times New Roman;Times;serif" w:hAnsi="Times New Roman;Times;serif"/>
          <w:sz w:val="24"/>
        </w:rPr>
        <w:t>act for such Seller, if applicable, with respect to all indemnification matters referred to herein, including the right to compromise or settle any such claim on behalf of such Seller;</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w:t>
      </w:r>
      <w:r>
        <w:rPr>
          <w:rFonts w:ascii="Times New Roman;Times;serif" w:hAnsi="Times New Roman;Times;serif"/>
          <w:sz w:val="24"/>
        </w:rPr>
        <w:t>amend or waive any provision hereof in any manner;</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(iii)</w:t>
      </w:r>
      <w:r>
        <w:rPr>
          <w:rFonts w:ascii="Times New Roman;Times;serif" w:hAnsi="Times New Roman;Times;serif"/>
          <w:sz w:val="24"/>
        </w:rPr>
        <w:t>employ, obtain and rely upon the advice of legal counsel, accountants and other professional advisors as the Seller Representative, in the sole discretion thereof, deems necessary or advisable in the performance of his duties as the Seller Representative;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(iv)</w:t>
      </w:r>
      <w:r>
        <w:rPr>
          <w:rFonts w:ascii="Times New Roman;Times;serif" w:hAnsi="Times New Roman;Times;serif"/>
          <w:sz w:val="24"/>
        </w:rPr>
        <w:t>act for such Seller with respect to all Initial Purchase Price matters, including any adjustments thereto, and all earn-out matters;</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w:t>
      </w:r>
      <w:r>
        <w:rPr>
          <w:rFonts w:ascii="Times New Roman;Times;serif" w:hAnsi="Times New Roman;Times;serif"/>
          <w:sz w:val="24"/>
        </w:rPr>
        <w:t>incur any expenses, liquidate and withhold assets received on behalf of such Seller prior to their distribution to such Seller to the extent of any amount that the Seller Representative deems necessary for the payment of or as a reserve against expenses, and pay such expenses or deposit the same in an interest-bearing bank account established for such purpose;</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w:t>
      </w:r>
      <w:r>
        <w:rPr>
          <w:rFonts w:ascii="Times New Roman;Times;serif" w:hAnsi="Times New Roman;Times;serif"/>
          <w:sz w:val="24"/>
        </w:rPr>
        <w:t>receive all notices, service of process, communications and deliveries hereunder on behalf of such Seller; and</w:t>
      </w:r>
    </w:p>
    <w:p>
      <w:pPr>
        <w:pStyle w:val="TextBody"/>
        <w:bidi w:val="0"/>
        <w:spacing w:lineRule="auto" w:line="285" w:before="0" w:after="210"/>
        <w:ind w:left="1440" w:right="0" w:hanging="0"/>
        <w:jc w:val="both"/>
        <w:rPr>
          <w:rFonts w:ascii="Arial;Helvetica;sans-serif" w:hAnsi="Arial;Helvetica;sans-serif"/>
          <w:sz w:val="21"/>
        </w:rPr>
      </w:pPr>
      <w:r>
        <w:rPr>
          <w:rFonts w:ascii="Times New Roman;Times;serif" w:hAnsi="Times New Roman;Times;serif"/>
          <w:sz w:val="22"/>
        </w:rPr>
        <w:t>(vii)</w:t>
      </w:r>
      <w:r>
        <w:rPr>
          <w:rFonts w:ascii="Times New Roman;Times;serif" w:hAnsi="Times New Roman;Times;serif"/>
          <w:sz w:val="24"/>
        </w:rPr>
        <w:t>do or refrain from doing any further act or deed on behalf of such Seller that the Seller Representative deems necessary or appropriate, in the sole discretion of the Seller Representative, relating to the subject matter hereof as fully and completely as such Seller could do if personally present and acting and as though any reference to such Seller herein was a reference to the Seller Representative.</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(b)</w:t>
      </w:r>
      <w:r>
        <w:rPr>
          <w:rFonts w:ascii="Times New Roman;Times;serif" w:hAnsi="Times New Roman;Times;serif"/>
          <w:sz w:val="24"/>
        </w:rPr>
        <w:t>The appointment of the Seller Representative shall be deemed coupled with an interest and shall be irrevocable, and any other Person may conclusively and absolutely rely, without inquiry, upon any action of the Seller Representative as the act of such Seller in all matters referred to herein.</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(c)</w:t>
      </w:r>
      <w:r>
        <w:rPr>
          <w:rFonts w:ascii="Times New Roman;Times;serif" w:hAnsi="Times New Roman;Times;serif"/>
          <w:sz w:val="24"/>
        </w:rPr>
        <w:t>The Seller Representative shall not have any duties or obligations except those expressly set forth herein.  Without limiting the generality of the foregoing, (i) the Seller Representative shall not be subject to any fiduciary or other implied duties with respect to any Seller; (ii) the Seller Representative shall not have any duty to take any discretionary action or exercise any discretionary powers, and (iii) except as expressly set forth herein, the Seller Representative shall not have any duty to disclose, and shall not be liable for the failure to disclose to any Seller, any information relating to Purchaser, this Agreement or the transaction contemplated hereunder except as specifically required herein or in any other agreement, including but not limited to any information obtained by the Seller Representative in his capacity as a Seller.  The Seller Representative shall not be liable for any action taken or not taken by him in the absence of his own gross negligence or willful misconduct.</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(d)</w:t>
      </w:r>
      <w:r>
        <w:rPr>
          <w:rFonts w:ascii="Times New Roman;Times;serif" w:hAnsi="Times New Roman;Times;serif"/>
          <w:sz w:val="24"/>
        </w:rPr>
        <w:t>In the event the Seller Representative resigns or ceases to function in such capacity for any reason whatsoever, then the successor Seller Representative shall be the Person that [REDACTED] appoints.</w:t>
      </w:r>
    </w:p>
    <w:p>
      <w:pPr>
        <w:pStyle w:val="TextBody"/>
        <w:bidi w:val="0"/>
        <w:spacing w:lineRule="auto" w:line="285" w:before="0" w:after="210"/>
        <w:ind w:left="720" w:right="0" w:hanging="0"/>
        <w:jc w:val="both"/>
        <w:rPr>
          <w:rFonts w:ascii="Arial;Helvetica;sans-serif" w:hAnsi="Arial;Helvetica;sans-serif"/>
          <w:sz w:val="21"/>
        </w:rPr>
      </w:pPr>
      <w:r>
        <w:rPr>
          <w:rFonts w:ascii="Times New Roman;Times;serif" w:hAnsi="Times New Roman;Times;serif"/>
          <w:sz w:val="22"/>
        </w:rPr>
        <w:t>(e)</w:t>
      </w:r>
      <w:r>
        <w:rPr>
          <w:rFonts w:ascii="Times New Roman;Times;serif" w:hAnsi="Times New Roman;Times;serif"/>
          <w:sz w:val="24"/>
        </w:rPr>
        <w:t>The Purchaser acknowledges and agrees that except for his liability as a Seller hereunder, [REDACTED]</w:t>
      </w:r>
      <w:r>
        <w:rPr>
          <w:rFonts w:ascii="Arial;Helvetica;sans-serif" w:hAnsi="Arial;Helvetica;sans-serif"/>
          <w:sz w:val="21"/>
        </w:rPr>
        <w:t xml:space="preserve"> </w:t>
      </w:r>
      <w:r>
        <w:rPr>
          <w:rFonts w:ascii="Times New Roman;Times;serif" w:hAnsi="Times New Roman;Times;serif"/>
          <w:sz w:val="24"/>
        </w:rPr>
        <w:t>shall have no additional liability under this Agreement due to the appointment of such Seller as the Seller Representative.</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sz w:val="21"/>
        </w:rPr>
      </w:pPr>
      <w:r>
        <w:rPr>
          <w:rFonts w:ascii="Times New Roman;Times;serif" w:hAnsi="Times New Roman;Times;serif"/>
          <w:sz w:val="24"/>
        </w:rPr>
        <w:t>[</w:t>
      </w:r>
      <w:r>
        <w:rPr>
          <w:rFonts w:ascii="Times New Roman;Times;serif" w:hAnsi="Times New Roman;Times;serif"/>
          <w:i/>
          <w:sz w:val="24"/>
        </w:rPr>
        <w:t>Signature Pages Follow</w:t>
      </w:r>
      <w:r>
        <w:rPr>
          <w:rFonts w:ascii="Times New Roman;Times;serif" w:hAnsi="Times New Roman;Times;serif"/>
          <w:sz w:val="24"/>
        </w:rPr>
        <w:t>]</w:t>
      </w:r>
    </w:p>
    <w:p>
      <w:pPr>
        <w:pStyle w:val="TextBody"/>
        <w:bidi w:val="0"/>
        <w:spacing w:lineRule="auto" w:line="314" w:before="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210"/>
        <w:ind w:left="0" w:right="0" w:firstLine="720"/>
        <w:jc w:val="both"/>
        <w:rPr>
          <w:rFonts w:ascii="Arial;Helvetica;sans-serif" w:hAnsi="Arial;Helvetica;sans-serif"/>
          <w:sz w:val="21"/>
        </w:rPr>
      </w:pPr>
      <w:r>
        <w:rPr>
          <w:rFonts w:ascii="Times New Roman;Times;serif" w:hAnsi="Times New Roman;Times;serif"/>
          <w:b/>
          <w:sz w:val="24"/>
        </w:rPr>
        <w:t>IN WITNESS WHEREOF</w:t>
      </w:r>
      <w:r>
        <w:rPr>
          <w:rFonts w:ascii="Times New Roman;Times;serif" w:hAnsi="Times New Roman;Times;serif"/>
          <w:sz w:val="24"/>
        </w:rPr>
        <w:t>, the Parties have caused this Agreement to be duly executed as of the date first above written.</w:t>
      </w:r>
    </w:p>
    <w:p>
      <w:pPr>
        <w:pStyle w:val="TextBody"/>
        <w:bidi w:val="0"/>
        <w:spacing w:lineRule="auto" w:line="285" w:before="0" w:after="0"/>
        <w:ind w:left="4320" w:right="0" w:hanging="0"/>
        <w:jc w:val="left"/>
        <w:rPr>
          <w:rFonts w:ascii="Arial;Helvetica;sans-serif" w:hAnsi="Arial;Helvetica;sans-serif"/>
          <w:sz w:val="21"/>
        </w:rPr>
      </w:pPr>
      <w:r>
        <w:rPr>
          <w:rFonts w:ascii="Times New Roman;Times;serif" w:hAnsi="Times New Roman;Times;serif"/>
          <w:b/>
          <w:sz w:val="24"/>
        </w:rPr>
        <w:t>THE PURCHASER</w:t>
      </w:r>
      <w:r>
        <w:rPr>
          <w:rFonts w:ascii="Times New Roman;Times;serif" w:hAnsi="Times New Roman;Times;serif"/>
          <w:sz w:val="24"/>
        </w:rPr>
        <w:t>:</w:t>
      </w:r>
    </w:p>
    <w:p>
      <w:pPr>
        <w:pStyle w:val="TextBody"/>
        <w:bidi w:val="0"/>
        <w:spacing w:lineRule="auto" w:line="285" w:before="240" w:after="0"/>
        <w:ind w:left="4320" w:right="0" w:hanging="0"/>
        <w:jc w:val="left"/>
        <w:rPr>
          <w:rFonts w:ascii="Times New Roman;Times;serif" w:hAnsi="Times New Roman;Times;serif"/>
          <w:sz w:val="24"/>
        </w:rPr>
      </w:pPr>
      <w:r>
        <w:rPr>
          <w:rFonts w:ascii="Times New Roman;Times;serif" w:hAnsi="Times New Roman;Times;serif"/>
          <w:sz w:val="24"/>
        </w:rPr>
        <w:t>WILLDAN ENERGY SOLUTIONS</w:t>
      </w:r>
    </w:p>
    <w:p>
      <w:pPr>
        <w:pStyle w:val="TextBody"/>
        <w:bidi w:val="0"/>
        <w:spacing w:lineRule="auto" w:line="314" w:before="0" w:after="0"/>
        <w:ind w:left="4320" w:right="0" w:hanging="0"/>
        <w:jc w:val="left"/>
        <w:rPr/>
      </w:pPr>
      <w:r>
        <w:rPr/>
        <w:t>​</w:t>
      </w:r>
    </w:p>
    <w:p>
      <w:pPr>
        <w:pStyle w:val="TextBody"/>
        <w:bidi w:val="0"/>
        <w:spacing w:lineRule="auto" w:line="285" w:before="0" w:after="0"/>
        <w:ind w:left="4320" w:right="0" w:hanging="0"/>
        <w:jc w:val="both"/>
        <w:rPr>
          <w:rFonts w:ascii="Arial;Helvetica;sans-serif" w:hAnsi="Arial;Helvetica;sans-serif"/>
          <w:sz w:val="21"/>
        </w:rPr>
      </w:pPr>
      <w:r>
        <w:rPr>
          <w:rFonts w:ascii="Times New Roman;Times;serif" w:hAnsi="Times New Roman;Times;serif"/>
          <w:sz w:val="24"/>
        </w:rPr>
        <w:t xml:space="preserve">By: </w:t>
      </w:r>
      <w:r>
        <w:rPr>
          <w:rFonts w:ascii="Arial;Helvetica;sans-serif" w:hAnsi="Arial;Helvetica;sans-serif"/>
          <w:sz w:val="21"/>
          <w:u w:val="single"/>
        </w:rPr>
        <w:t>​ ​​ ​​ ​​ ​​ ​​ ​​ ​</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Name: Mike Bieber</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Title: President and CEO</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285" w:before="0" w:after="0"/>
        <w:ind w:left="3600" w:right="0" w:firstLine="720"/>
        <w:jc w:val="both"/>
        <w:rPr>
          <w:rFonts w:ascii="Times New Roman;Times;serif" w:hAnsi="Times New Roman;Times;serif"/>
          <w:b/>
          <w:sz w:val="24"/>
        </w:rPr>
      </w:pPr>
      <w:r>
        <w:rPr>
          <w:rFonts w:ascii="Times New Roman;Times;serif" w:hAnsi="Times New Roman;Times;serif"/>
          <w:b/>
          <w:sz w:val="24"/>
        </w:rPr>
        <w:t>WILLDAN</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WILLDAN GROUP, INC.</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By: ______________________________________</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Name: Mike Bieber</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Title: President and CEO</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center"/>
        <w:rPr>
          <w:rFonts w:ascii="Arial;Helvetica;sans-serif" w:hAnsi="Arial;Helvetica;sans-serif"/>
          <w:i/>
          <w:sz w:val="21"/>
        </w:rPr>
      </w:pPr>
      <w:r>
        <w:rPr>
          <w:rFonts w:ascii="Arial;Helvetica;sans-serif" w:hAnsi="Arial;Helvetica;sans-serif"/>
          <w:i/>
          <w:sz w:val="21"/>
        </w:rPr>
        <w:t>SIGNATURE PAGE TO MEMBER INTEREST PURCHASE AGREEMENT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4"/>
        </w:rPr>
      </w:pPr>
      <w:r>
        <w:rPr>
          <w:rFonts w:ascii="Times New Roman;Times;serif" w:hAnsi="Times New Roman;Times;serif"/>
          <w:b/>
          <w:sz w:val="24"/>
        </w:rPr>
        <w:t>SELLER REPRESENTATIVE:</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432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By:[REDACTED]</w:t>
      </w:r>
    </w:p>
    <w:p>
      <w:pPr>
        <w:pStyle w:val="TextBody"/>
        <w:bidi w:val="0"/>
        <w:spacing w:lineRule="auto" w:line="314" w:before="0" w:after="0"/>
        <w:ind w:left="0" w:right="0" w:hanging="0"/>
        <w:jc w:val="both"/>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285" w:before="0" w:after="0"/>
        <w:ind w:left="4320" w:right="0" w:hanging="0"/>
        <w:jc w:val="left"/>
        <w:rPr>
          <w:rFonts w:ascii="Arial;Helvetica;sans-serif" w:hAnsi="Arial;Helvetica;sans-serif"/>
          <w:sz w:val="21"/>
        </w:rPr>
      </w:pPr>
      <w:r>
        <w:rPr>
          <w:rFonts w:ascii="Times New Roman;Times;serif" w:hAnsi="Times New Roman;Times;serif"/>
          <w:b/>
          <w:sz w:val="24"/>
        </w:rPr>
        <w:t>SELLERS</w:t>
      </w:r>
      <w:r>
        <w:rPr>
          <w:rFonts w:ascii="Times New Roman;Times;serif" w:hAnsi="Times New Roman;Times;serif"/>
          <w:sz w:val="24"/>
        </w:rPr>
        <w:t>:</w:t>
      </w:r>
    </w:p>
    <w:p>
      <w:pPr>
        <w:pStyle w:val="TextBody"/>
        <w:bidi w:val="0"/>
        <w:spacing w:lineRule="auto" w:line="314" w:before="0" w:after="0"/>
        <w:ind w:left="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[REDACTED]</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By:[REDACTED], President</w:t>
      </w:r>
    </w:p>
    <w:p>
      <w:pPr>
        <w:pStyle w:val="TextBody"/>
        <w:bidi w:val="0"/>
        <w:spacing w:lineRule="auto" w:line="314" w:before="0" w:after="24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1"/>
        </w:rPr>
      </w:pPr>
      <w:r>
        <w:rPr>
          <w:rFonts w:ascii="Times New Roman;Times;serif" w:hAnsi="Times New Roman;Times;serif"/>
          <w:sz w:val="24"/>
        </w:rPr>
        <w:t>Address:</w:t>
        <w:br/>
      </w:r>
      <w:r>
        <w:rPr>
          <w:rFonts w:ascii="Arial;Helvetica;sans-serif" w:hAnsi="Arial;Helvetica;sans-serif"/>
          <w:sz w:val="21"/>
        </w:rPr>
        <w:t>​</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Email: </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[REDACTED]</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both"/>
        <w:rPr/>
      </w:pPr>
      <w:r>
        <w:rPr>
          <w:u w:val="single"/>
        </w:rPr>
        <w:t>​ ​​ ​​ ​​ ​​ ​​ ​​ ​</w:t>
      </w:r>
      <w:r>
        <w:rPr/>
        <w:t>​</w:t>
      </w:r>
    </w:p>
    <w:p>
      <w:pPr>
        <w:pStyle w:val="TextBody"/>
        <w:bidi w:val="0"/>
        <w:spacing w:lineRule="auto" w:line="285" w:before="0" w:after="0"/>
        <w:ind w:left="3600" w:right="0" w:firstLine="720"/>
        <w:jc w:val="both"/>
        <w:rPr>
          <w:rFonts w:ascii="Times New Roman;Times;serif" w:hAnsi="Times New Roman;Times;serif"/>
          <w:sz w:val="24"/>
        </w:rPr>
      </w:pPr>
      <w:r>
        <w:rPr>
          <w:rFonts w:ascii="Times New Roman;Times;serif" w:hAnsi="Times New Roman;Times;serif"/>
          <w:sz w:val="24"/>
        </w:rPr>
        <w:t>By:[REDACTED], President</w:t>
      </w:r>
    </w:p>
    <w:p>
      <w:pPr>
        <w:pStyle w:val="TextBody"/>
        <w:bidi w:val="0"/>
        <w:spacing w:lineRule="auto" w:line="314" w:before="0" w:after="0"/>
        <w:ind w:left="4320" w:right="0" w:hanging="0"/>
        <w:jc w:val="left"/>
        <w:rPr/>
      </w:pPr>
      <w:r>
        <w:rPr/>
        <w:t>​</w:t>
      </w:r>
    </w:p>
    <w:p>
      <w:pPr>
        <w:pStyle w:val="TextBody"/>
        <w:bidi w:val="0"/>
        <w:spacing w:lineRule="auto" w:line="314"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240"/>
        <w:ind w:left="0" w:right="0" w:hanging="0"/>
        <w:jc w:val="left"/>
        <w:rPr/>
      </w:pPr>
      <w:r>
        <w:rPr/>
        <w:t>​</w:t>
      </w:r>
    </w:p>
    <w:p>
      <w:pPr>
        <w:pStyle w:val="TextBody"/>
        <w:bidi w:val="0"/>
        <w:spacing w:lineRule="auto" w:line="314" w:before="0" w:after="0"/>
        <w:ind w:left="4320" w:right="0" w:hanging="0"/>
        <w:jc w:val="both"/>
        <w:rPr/>
      </w:pPr>
      <w:r>
        <w:rPr/>
        <w:t>​</w:t>
      </w:r>
    </w:p>
    <w:p>
      <w:pPr>
        <w:pStyle w:val="TextBody"/>
        <w:bidi w:val="0"/>
        <w:spacing w:lineRule="auto" w:line="314" w:before="0" w:after="240"/>
        <w:ind w:left="0" w:right="0" w:hanging="0"/>
        <w:jc w:val="left"/>
        <w:rPr/>
      </w:pPr>
      <w:r>
        <w:rPr/>
        <w:t>​</w:t>
      </w:r>
    </w:p>
    <w:p>
      <w:pPr>
        <w:pStyle w:val="TextBody"/>
        <w:bidi w:val="0"/>
        <w:spacing w:lineRule="auto" w:line="314" w:before="0" w:after="240"/>
        <w:ind w:left="0" w:right="0" w:hanging="0"/>
        <w:jc w:val="left"/>
        <w:rPr/>
      </w:pPr>
      <w:r>
        <w:rPr/>
        <w:t>​</w:t>
      </w:r>
    </w:p>
    <w:p>
      <w:pPr>
        <w:pStyle w:val="TextBody"/>
        <w:bidi w:val="0"/>
        <w:spacing w:lineRule="auto" w:line="314" w:before="0" w:after="0"/>
        <w:ind w:left="0" w:right="0" w:hanging="0"/>
        <w:jc w:val="center"/>
        <w:rPr>
          <w:rFonts w:ascii="Arial;Helvetica;sans-serif" w:hAnsi="Arial;Helvetica;sans-serif"/>
          <w:i/>
          <w:sz w:val="21"/>
        </w:rPr>
      </w:pPr>
      <w:r>
        <w:rPr>
          <w:rFonts w:ascii="Arial;Helvetica;sans-serif" w:hAnsi="Arial;Helvetica;sans-serif"/>
          <w:i/>
          <w:sz w:val="21"/>
        </w:rPr>
        <w:t>SIGNATURE PAGE TO MEMBERSHIP INTEREST PURCHASE AGREEMENT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314" w:before="0" w:after="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 [REDACTED]</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__________________________________________</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 [REDACTED]</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__________________________________________</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 [REDACTED]</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0"/>
        <w:ind w:left="0" w:right="0" w:hanging="0"/>
        <w:jc w:val="left"/>
        <w:rPr/>
      </w:pPr>
      <w:r>
        <w:rPr/>
        <w:t>​</w:t>
      </w:r>
    </w:p>
    <w:p>
      <w:pPr>
        <w:pStyle w:val="TextBody"/>
        <w:bidi w:val="0"/>
        <w:spacing w:lineRule="auto" w:line="314" w:before="0" w:after="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 [REDACTED]</w:t>
      </w:r>
    </w:p>
    <w:p>
      <w:pPr>
        <w:pStyle w:val="TextBody"/>
        <w:bidi w:val="0"/>
        <w:spacing w:lineRule="auto" w:line="314" w:before="0" w:after="240"/>
        <w:ind w:left="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lineRule="auto" w:line="314"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Email:</w:t>
      </w:r>
    </w:p>
    <w:p>
      <w:pPr>
        <w:pStyle w:val="TextBody"/>
        <w:bidi w:val="0"/>
        <w:spacing w:lineRule="auto" w:line="314" w:before="0" w:after="0"/>
        <w:ind w:left="0" w:right="0" w:hanging="0"/>
        <w:jc w:val="center"/>
        <w:rPr>
          <w:rFonts w:ascii="Arial;Helvetica;sans-serif" w:hAnsi="Arial;Helvetica;sans-serif"/>
          <w:i/>
          <w:sz w:val="21"/>
        </w:rPr>
      </w:pPr>
      <w:r>
        <w:rPr>
          <w:rFonts w:ascii="Arial;Helvetica;sans-serif" w:hAnsi="Arial;Helvetica;sans-serif"/>
          <w:i/>
          <w:sz w:val="21"/>
        </w:rPr>
        <w:t xml:space="preserve">SIGNATURE PAGE TO MEMBERSHIP INTEREST PURCHASE AGREEMENT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14" w:before="0" w:after="0"/>
        <w:ind w:left="0" w:right="0" w:hanging="0"/>
        <w:jc w:val="right"/>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[REDACTED]</w:t>
      </w:r>
    </w:p>
    <w:p>
      <w:pPr>
        <w:pStyle w:val="TextBody"/>
        <w:bidi w:val="0"/>
        <w:spacing w:lineRule="auto" w:line="314" w:before="0" w:after="0"/>
        <w:ind w:left="4320" w:right="0" w:hanging="0"/>
        <w:jc w:val="both"/>
        <w:rPr/>
      </w:pPr>
      <w:r>
        <w:rPr/>
        <w:t>​</w:t>
      </w:r>
    </w:p>
    <w:p>
      <w:pPr>
        <w:pStyle w:val="TextBody"/>
        <w:bidi w:val="0"/>
        <w:spacing w:lineRule="auto" w:line="314" w:before="0" w:after="0"/>
        <w:ind w:left="0" w:right="0" w:hanging="0"/>
        <w:jc w:val="both"/>
        <w:rPr/>
      </w:pPr>
      <w:r>
        <w:rPr/>
        <w:t>​</w:t>
      </w:r>
    </w:p>
    <w:p>
      <w:pPr>
        <w:pStyle w:val="TextBody"/>
        <w:bidi w:val="0"/>
        <w:spacing w:lineRule="auto" w:line="314" w:before="0" w:after="0"/>
        <w:ind w:left="0" w:right="0" w:hanging="0"/>
        <w:jc w:val="both"/>
        <w:rPr/>
      </w:pPr>
      <w:r>
        <w:rPr>
          <w:u w:val="single"/>
        </w:rPr>
        <w:t>​ ​​ ​​ ​​ ​​ ​​ ​​ ​</w:t>
      </w:r>
      <w:r>
        <w:rPr/>
        <w:t>​</w:t>
      </w:r>
    </w:p>
    <w:p>
      <w:pPr>
        <w:pStyle w:val="TextBody"/>
        <w:bidi w:val="0"/>
        <w:spacing w:lineRule="auto" w:line="285" w:before="0" w:after="0"/>
        <w:ind w:left="4320" w:right="0" w:hanging="0"/>
        <w:jc w:val="left"/>
        <w:rPr>
          <w:rFonts w:ascii="Times New Roman;Times;serif" w:hAnsi="Times New Roman;Times;serif"/>
          <w:sz w:val="24"/>
        </w:rPr>
      </w:pPr>
      <w:r>
        <w:rPr>
          <w:rFonts w:ascii="Times New Roman;Times;serif" w:hAnsi="Times New Roman;Times;serif"/>
          <w:sz w:val="24"/>
        </w:rPr>
        <w:t>By:________________________, Trustee</w:t>
      </w:r>
    </w:p>
    <w:p>
      <w:pPr>
        <w:pStyle w:val="TextBody"/>
        <w:bidi w:val="0"/>
        <w:spacing w:lineRule="auto" w:line="314" w:before="0" w:after="24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1"/>
        </w:rPr>
      </w:pPr>
      <w:r>
        <w:rPr>
          <w:rFonts w:ascii="Times New Roman;Times;serif" w:hAnsi="Times New Roman;Times;serif"/>
          <w:sz w:val="24"/>
        </w:rPr>
        <w:t>Address:</w:t>
        <w:br/>
      </w:r>
      <w:r>
        <w:rPr>
          <w:rFonts w:ascii="Arial;Helvetica;sans-serif" w:hAnsi="Arial;Helvetica;sans-serif"/>
          <w:sz w:val="21"/>
        </w:rPr>
        <w:t>​</w:t>
      </w:r>
    </w:p>
    <w:p>
      <w:pPr>
        <w:pStyle w:val="TextBody"/>
        <w:bidi w:val="0"/>
        <w:spacing w:lineRule="auto" w:line="314"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Email: </w:t>
      </w:r>
    </w:p>
    <w:p>
      <w:pPr>
        <w:pStyle w:val="TextBody"/>
        <w:bidi w:val="0"/>
        <w:spacing w:lineRule="auto" w:line="314" w:before="0" w:after="0"/>
        <w:ind w:left="0" w:right="0" w:hanging="0"/>
        <w:jc w:val="center"/>
        <w:rPr>
          <w:rFonts w:ascii="Arial;Helvetica;sans-serif" w:hAnsi="Arial;Helvetica;sans-serif"/>
          <w:i/>
          <w:sz w:val="21"/>
        </w:rPr>
      </w:pPr>
      <w:r>
        <w:rPr>
          <w:rFonts w:ascii="Arial;Helvetica;sans-serif" w:hAnsi="Arial;Helvetica;sans-serif"/>
          <w:i/>
          <w:sz w:val="21"/>
        </w:rPr>
        <w:t xml:space="preserve">SIGNATURE PAGE TO MEMBERSHIP INTEREST PURCHASE AGREEMENT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4189" w:name="wldn-20260403xex31d1.htm"/>
      <w:bookmarkStart w:id="4190" w:name="kswldn20260403xex31d1"/>
      <w:bookmarkEnd w:id="4189"/>
      <w:bookmarkEnd w:id="4190"/>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May 7, 2026</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58670" cy="29210"/>
                      <wp:effectExtent l="0" t="0" r="0" b="0"/>
                      <wp:wrapNone/>
                      <wp:docPr id="342" name="Frame342"/>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4191" w:name="wldn-20260403xex31d2.htm"/>
      <w:bookmarkStart w:id="4192" w:name="kswldn20260403xex31d2"/>
      <w:bookmarkEnd w:id="4191"/>
      <w:bookmarkEnd w:id="4192"/>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May 7, 2026</w:t>
      </w:r>
    </w:p>
    <w:tbl>
      <w:tblPr>
        <w:tblW w:w="5031" w:type="dxa"/>
        <w:jc w:val="left"/>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4193" w:name="wldn-20260403xex32d1.htm"/>
      <w:bookmarkStart w:id="4194" w:name="kswldn20260403xex32d1"/>
      <w:bookmarkEnd w:id="4193"/>
      <w:bookmarkEnd w:id="4194"/>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April 3, 2026,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May 7, 2026</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May 7, 2026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450/000155837025007025/wldn-20250404xex2d1.htm" TargetMode="External"/><Relationship Id="rId3" Type="http://schemas.openxmlformats.org/officeDocument/2006/relationships/hyperlink" Target="http://www.sec.gov/Archives/edgar/data/1370450/000104746906010648/a2172308zex-3_1.htm" TargetMode="External"/><Relationship Id="rId4" Type="http://schemas.openxmlformats.org/officeDocument/2006/relationships/hyperlink" Target="https://www.sec.gov/Archives/edgar/data/1370450/000155837023011834/wldn-20230707xex3d1.htm" TargetMode="External"/><Relationship Id="rId5" Type="http://schemas.openxmlformats.org/officeDocument/2006/relationships/hyperlink" Target="http://www.sec.gov/Archives/edgar/data/1370450/000104746906011904/a2173104zex-4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53971</Words>
  <Characters>298209</Characters>
  <CharactersWithSpaces>354399</CharactersWithSpaces>
  <Paragraphs>6738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