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30929x10q.htm"/>
        <w:bookmarkStart w:id="1" w:name="kswldn20230929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8" w:space="1" w:color="000000"/>
        </w:pBdr>
        <w:bidi w:val="0"/>
        <w:spacing w:before="0" w:after="0"/>
        <w:ind w:left="0" w:right="0" w:hanging="0"/>
        <w:jc w:val="left"/>
        <w:rPr>
          <w:bdr w:val="single" w:sz="24" w:space="1" w:color="000000"/>
        </w:rPr>
      </w:pPr>
      <w:bookmarkStart w:id="2" w:name="_a9b87962_84c6_4c97_94dd_af536a8c044b"/>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GnSJoLeEsUWj6V7l2MlgbA_1_1"/>
      <w:bookmarkStart w:id="4" w:name="_6ef743ce_2563_44ad_80c9_ea34ed34adb8"/>
      <w:bookmarkStart w:id="5" w:name="Tc_GnSJoLeEsUWj6V7l2MlgbA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September 29, 2023</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Lho-aIS0-Ea6l0jvYmhzWA_1_1"/>
      <w:bookmarkStart w:id="8" w:name="_43518137_0c98_49ef_a8fd_1cbf36c0488f"/>
      <w:bookmarkStart w:id="9" w:name="Tc_Lho-aIS0-Ea6l0jvYmhzWA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Re86iMbxkKJ0pURnDvVuQ_5_2"/>
      <w:bookmarkStart w:id="12" w:name="Tc_mzG9Epew90mAwaS_-Ye8AQ_5_0"/>
      <w:bookmarkStart w:id="13" w:name="Tc_WK3UI4I9lkKI-7YrqEpg6g_4_0"/>
      <w:bookmarkStart w:id="14" w:name="Tc_g6T8oX7DUUiyiDzN7YRb9w_2_2"/>
      <w:bookmarkStart w:id="15" w:name="Tc_jHiD4QpfiESwSVyzfFH6hg_2_0"/>
      <w:bookmarkStart w:id="16" w:name="_b700fcd9_ad39_4b3b_8b08_4b18e973638e"/>
      <w:bookmarkStart w:id="17" w:name="Tc_-Re86iMbxkKJ0pURnDvVuQ_5_2"/>
      <w:bookmarkStart w:id="18" w:name="Tc_mzG9Epew90mAwaS_-Ye8AQ_5_0"/>
      <w:bookmarkStart w:id="19" w:name="Tc_WK3UI4I9lkKI-7YrqEpg6g_4_0"/>
      <w:bookmarkStart w:id="20" w:name="Tc_g6T8oX7DUUiyiDzN7YRb9w_2_2"/>
      <w:bookmarkStart w:id="21" w:name="Tc_jHiD4QpfiESwSVyzfFH6hg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23" w:name="Tc_TzbdpAYAAUG6TkBuQHaK8A_1_2"/>
      <w:bookmarkStart w:id="24" w:name="Tc_VeRp0Q1ixk27vosHvbIIMw_1_1"/>
      <w:bookmarkStart w:id="25" w:name="Tc_FKe-iplUhEaAVJ7b4jKFEw_1_0"/>
      <w:bookmarkStart w:id="26" w:name="_c3674b7e_6568_4ca3_ab4b_78a52dcc636c"/>
      <w:bookmarkStart w:id="27" w:name="Tc_TzbdpAYAAUG6TkBuQHaK8A_1_2"/>
      <w:bookmarkStart w:id="28" w:name="Tc_VeRp0Q1ixk27vosHvbIIMw_1_1"/>
      <w:bookmarkStart w:id="29" w:name="Tc_FKe-iplUhEaAVJ7b4jKFEw_1_0"/>
      <w:bookmarkStart w:id="30" w:name="_c3674b7e_6568_4ca3_ab4b_78a52dcc636c"/>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firstLine="360"/>
        <w:jc w:val="center"/>
        <w:rPr/>
      </w:pPr>
      <w:r>
        <w:rPr/>
        <w:t>​</w:t>
      </w:r>
    </w:p>
    <w:tbl>
      <w:tblPr>
        <w:tblW w:w="4836" w:type="dxa"/>
        <w:jc w:val="left"/>
        <w:tblInd w:w="0" w:type="dxa"/>
        <w:tblLayout w:type="fixed"/>
        <w:tblCellMar>
          <w:top w:w="0" w:type="dxa"/>
          <w:left w:w="0" w:type="dxa"/>
          <w:bottom w:w="0" w:type="dxa"/>
          <w:right w:w="0" w:type="dxa"/>
        </w:tblCellMar>
      </w:tblPr>
      <w:tblGrid>
        <w:gridCol w:w="2146"/>
        <w:gridCol w:w="109"/>
        <w:gridCol w:w="25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November 1, 2023, there were 13,646,768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ee47478e_fe22_4cc5_bdad_d00b20fad148"/>
      <w:bookmarkEnd w:id="31"/>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981" w:type="dxa"/>
            <w:tcBorders/>
            <w:vAlign w:val="center"/>
          </w:tcPr>
          <w:p>
            <w:pPr>
              <w:pStyle w:val="TableContents"/>
              <w:bidi w:val="0"/>
              <w:spacing w:lineRule="atLeast" w:line="180" w:before="0" w:after="0"/>
              <w:ind w:left="0" w:right="0" w:hanging="0"/>
              <w:jc w:val="left"/>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991d7402_9250_445e_860e_121a10712d7d"/>
      <w:bookmarkEnd w:id="33"/>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83% of our consolidated revenue in fiscal year 2022;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55% of our consolidated contract revenue for fiscal year 2022;</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rising interest rates, and rising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fiscal year ended December 30, 2022, as such disclosures may be amended, supplemented or superseded from time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 w:name="PARTI"/>
      <w:bookmarkStart w:id="35" w:name="_aa42558b_f3e7_46c9_8ccb_fece1e994185"/>
      <w:bookmarkEnd w:id="34"/>
      <w:bookmarkEnd w:id="35"/>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6" w:name="Item1"/>
      <w:bookmarkEnd w:id="36"/>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7" w:name="BALANCESHEETS_75359"/>
      <w:bookmarkEnd w:id="3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38" w:name="Tc_DTC5c_Eu5kqMBL3Nk6oqpw_44_5"/>
      <w:bookmarkStart w:id="39" w:name="Tc_l7ZnC3ZUykmBYuncdHfC-A_44_2"/>
      <w:bookmarkStart w:id="40" w:name="Tc_YR4y9ger20CjUXEzbk2sgQ_44_0"/>
      <w:bookmarkStart w:id="41" w:name="Tc_narWueV3EkKOGMEWuBMVcw_43_0"/>
      <w:bookmarkStart w:id="42" w:name="Tc_zEvBdFlAm06pOxWnvtidsg_42_0"/>
      <w:bookmarkStart w:id="43" w:name="Tc_AbneFVYtMU2qdLnX445vVg_41_6"/>
      <w:bookmarkStart w:id="44" w:name="Tc_OMbM7ryduEyjKcxWKrs3HQ_41_3"/>
      <w:bookmarkStart w:id="45" w:name="Tc_XhUfcxUsg0OPCADsTHyDeQ_41_0"/>
      <w:bookmarkStart w:id="46" w:name="Tc_VsVuB5ilEUix562Rh3finw_40_0"/>
      <w:bookmarkStart w:id="47" w:name="Tc_X21V-LRNSkmn1i_zaO0AKQ_39_0"/>
      <w:bookmarkStart w:id="48" w:name="Tc_tKT0Z2BKB0SKbGE9IhcPUw_38_0"/>
      <w:bookmarkStart w:id="49" w:name="Tc_PfBHtZEqB0GBmQQw42LAdA_37_0"/>
      <w:bookmarkStart w:id="50" w:name="Tc_FipC-aavsUW86X1diCPWvg_35_0"/>
      <w:bookmarkStart w:id="51" w:name="Tc_lNHZMnU4Vkec-FdO9J4x8w_33_0"/>
      <w:bookmarkStart w:id="52" w:name="Tc_5D2A_DrMK02pXwSSoBPpuQ_32_0"/>
      <w:bookmarkStart w:id="53" w:name="Tc_FBVnk-IQkEySY9pSLr0L-Q_31_0"/>
      <w:bookmarkStart w:id="54" w:name="Tc_AKnBVmPS9UyDtwWt-fn4tg_30_0"/>
      <w:bookmarkStart w:id="55" w:name="Tc_ofXYsGjBP0WkOAfIhMWxxA_29_0"/>
      <w:bookmarkStart w:id="56" w:name="Tc_PHHwE8zg9EewOmLfFneKsQ_28_0"/>
      <w:bookmarkStart w:id="57" w:name="Tc_UrtHW_-gVUyZQzsaZBnCyw_27_0"/>
      <w:bookmarkStart w:id="58" w:name="Tc_2CcGNCk0u0uThWye7qkDHg_26_0"/>
      <w:bookmarkStart w:id="59" w:name="Tc_V8R6UhJWE0CnBD82ZNB4gw_25_0"/>
      <w:bookmarkStart w:id="60" w:name="Tc_t4oAOc3rb0aDwEVo_MxXcQ_24_0"/>
      <w:bookmarkStart w:id="61" w:name="Tc_DB5dQWnZH0GNBwt39jt-9g_23_3"/>
      <w:bookmarkStart w:id="62" w:name="Tc_HQZ7GHTBgkOuaeBbyix3-g_23_0"/>
      <w:bookmarkStart w:id="63" w:name="Tc_p-QPlHi8s0C3vDXOpiDmlQ_22_0"/>
      <w:bookmarkStart w:id="64" w:name="Tc_4hyW1WFXQUWq6b8n4bPZ1g_21_5"/>
      <w:bookmarkStart w:id="65" w:name="Tc_s462C0sG4kW7m69zeTf2NQ_21_2"/>
      <w:bookmarkStart w:id="66" w:name="Tc_VdC9ycnjbUSY-zOsVorVbA_21_0"/>
      <w:bookmarkStart w:id="67" w:name="Tc_Aj0uhv1qqE2Hvrk9y9FsLQ_20_0"/>
      <w:bookmarkStart w:id="68" w:name="Tc_DV7pxOijQU-Wjm2t-jcm2w_19_0"/>
      <w:bookmarkStart w:id="69" w:name="Tc_m_RPlj3yHUyUs3173ZM-Ag_18_5"/>
      <w:bookmarkStart w:id="70" w:name="Tc_UmN4wJ-_KEGtD4xvnu20hA_18_2"/>
      <w:bookmarkStart w:id="71" w:name="Tc_c8DeLIKE8U28-Rt7g2_cHg_18_0"/>
      <w:bookmarkStart w:id="72" w:name="Tc_21-W8Ps0pEWSS2kkDXhsdA_17_0"/>
      <w:bookmarkStart w:id="73" w:name="Tc_mSRFROma80KrnjOIfXEgUQ_16_0"/>
      <w:bookmarkStart w:id="74" w:name="Tc_HF9f6r1aZEindvwWIB023g_15_0"/>
      <w:bookmarkStart w:id="75" w:name="Tc_fy-USO-cVEKjyJmYklpj6A_14_0"/>
      <w:bookmarkStart w:id="76" w:name="Tc_-DGPnMH_OkSnCKffFwnLLw_13_0"/>
      <w:bookmarkStart w:id="77" w:name="Tc_mrTQbbYsr0yb5bBycmD6tw_12_0"/>
      <w:bookmarkStart w:id="78" w:name="Tc_iW_Nkh-F20GIQnV3lCZfoA_11_0"/>
      <w:bookmarkStart w:id="79" w:name="Tc_xIzsZqmePEOm5j4J5-ei5A_10_0"/>
      <w:bookmarkStart w:id="80" w:name="Tc_FuYfDMmMW0evsk7W08YkFw_9_0"/>
      <w:bookmarkStart w:id="81" w:name="Tc_DXPSLtJznECGNTM39MEUAA_8_0"/>
      <w:bookmarkStart w:id="82" w:name="Tc_NMTFIAdEzkq-mCILjaMagQ_7_0"/>
      <w:bookmarkStart w:id="83" w:name="Tc_zlKlXSuqTkqVJKQMLYokGA_6_3"/>
      <w:bookmarkStart w:id="84" w:name="Tc_D6OPzz4J50K0vjYYSiBmQg_6_0"/>
      <w:bookmarkStart w:id="85" w:name="Tc_d6zbEcWOgUG5kzDaiu-9ig_5_5"/>
      <w:bookmarkStart w:id="86" w:name="Tc_fyi0d-ggrE21l1JHCd_6VA_5_2"/>
      <w:bookmarkStart w:id="87" w:name="Tc_yDwk96ndhku577cDukbSrA_5_0"/>
      <w:bookmarkStart w:id="88" w:name="Tc_RIM_BHLQAE-p8vNsLqbPkg_4_0"/>
      <w:bookmarkStart w:id="89" w:name="Tc_rOIerGz9pU62vKrLhiC93w_3_0"/>
      <w:bookmarkStart w:id="90" w:name="Tc_0uWUE34C8kyJZzwVNJ_64g_2_5"/>
      <w:bookmarkStart w:id="91" w:name="Tc_atYpqrHn30uo1rF1wDD0Gw_2_2"/>
      <w:bookmarkStart w:id="92" w:name="Tc_ZkMIK6FqP0yHMHpH1fdlxA_1_5"/>
      <w:bookmarkStart w:id="93" w:name="Tc_7YoA2_pAWU-pgChj9KEDtw_1_2"/>
      <w:bookmarkStart w:id="94" w:name="_d9f5a5fb_3c7f_4d8b_95e1_51dfd09dc385"/>
      <w:bookmarkStart w:id="95" w:name="Tc_DTC5c_Eu5kqMBL3Nk6oqpw_44_5"/>
      <w:bookmarkStart w:id="96" w:name="Tc_l7ZnC3ZUykmBYuncdHfC-A_44_2"/>
      <w:bookmarkStart w:id="97" w:name="Tc_YR4y9ger20CjUXEzbk2sgQ_44_0"/>
      <w:bookmarkStart w:id="98" w:name="Tc_narWueV3EkKOGMEWuBMVcw_43_0"/>
      <w:bookmarkStart w:id="99" w:name="Tc_zEvBdFlAm06pOxWnvtidsg_42_0"/>
      <w:bookmarkStart w:id="100" w:name="Tc_AbneFVYtMU2qdLnX445vVg_41_6"/>
      <w:bookmarkStart w:id="101" w:name="Tc_OMbM7ryduEyjKcxWKrs3HQ_41_3"/>
      <w:bookmarkStart w:id="102" w:name="Tc_XhUfcxUsg0OPCADsTHyDeQ_41_0"/>
      <w:bookmarkStart w:id="103" w:name="Tc_VsVuB5ilEUix562Rh3finw_40_0"/>
      <w:bookmarkStart w:id="104" w:name="Tc_X21V-LRNSkmn1i_zaO0AKQ_39_0"/>
      <w:bookmarkStart w:id="105" w:name="Tc_tKT0Z2BKB0SKbGE9IhcPUw_38_0"/>
      <w:bookmarkStart w:id="106" w:name="Tc_PfBHtZEqB0GBmQQw42LAdA_37_0"/>
      <w:bookmarkStart w:id="107" w:name="Tc_FipC-aavsUW86X1diCPWvg_35_0"/>
      <w:bookmarkStart w:id="108" w:name="Tc_lNHZMnU4Vkec-FdO9J4x8w_33_0"/>
      <w:bookmarkStart w:id="109" w:name="Tc_5D2A_DrMK02pXwSSoBPpuQ_32_0"/>
      <w:bookmarkStart w:id="110" w:name="Tc_FBVnk-IQkEySY9pSLr0L-Q_31_0"/>
      <w:bookmarkStart w:id="111" w:name="Tc_AKnBVmPS9UyDtwWt-fn4tg_30_0"/>
      <w:bookmarkStart w:id="112" w:name="Tc_ofXYsGjBP0WkOAfIhMWxxA_29_0"/>
      <w:bookmarkStart w:id="113" w:name="Tc_PHHwE8zg9EewOmLfFneKsQ_28_0"/>
      <w:bookmarkStart w:id="114" w:name="Tc_UrtHW_-gVUyZQzsaZBnCyw_27_0"/>
      <w:bookmarkStart w:id="115" w:name="Tc_2CcGNCk0u0uThWye7qkDHg_26_0"/>
      <w:bookmarkStart w:id="116" w:name="Tc_V8R6UhJWE0CnBD82ZNB4gw_25_0"/>
      <w:bookmarkStart w:id="117" w:name="Tc_t4oAOc3rb0aDwEVo_MxXcQ_24_0"/>
      <w:bookmarkStart w:id="118" w:name="Tc_DB5dQWnZH0GNBwt39jt-9g_23_3"/>
      <w:bookmarkStart w:id="119" w:name="Tc_HQZ7GHTBgkOuaeBbyix3-g_23_0"/>
      <w:bookmarkStart w:id="120" w:name="Tc_p-QPlHi8s0C3vDXOpiDmlQ_22_0"/>
      <w:bookmarkStart w:id="121" w:name="Tc_4hyW1WFXQUWq6b8n4bPZ1g_21_5"/>
      <w:bookmarkStart w:id="122" w:name="Tc_s462C0sG4kW7m69zeTf2NQ_21_2"/>
      <w:bookmarkStart w:id="123" w:name="Tc_VdC9ycnjbUSY-zOsVorVbA_21_0"/>
      <w:bookmarkStart w:id="124" w:name="Tc_Aj0uhv1qqE2Hvrk9y9FsLQ_20_0"/>
      <w:bookmarkStart w:id="125" w:name="Tc_DV7pxOijQU-Wjm2t-jcm2w_19_0"/>
      <w:bookmarkStart w:id="126" w:name="Tc_m_RPlj3yHUyUs3173ZM-Ag_18_5"/>
      <w:bookmarkStart w:id="127" w:name="Tc_UmN4wJ-_KEGtD4xvnu20hA_18_2"/>
      <w:bookmarkStart w:id="128" w:name="Tc_c8DeLIKE8U28-Rt7g2_cHg_18_0"/>
      <w:bookmarkStart w:id="129" w:name="Tc_21-W8Ps0pEWSS2kkDXhsdA_17_0"/>
      <w:bookmarkStart w:id="130" w:name="Tc_mSRFROma80KrnjOIfXEgUQ_16_0"/>
      <w:bookmarkStart w:id="131" w:name="Tc_HF9f6r1aZEindvwWIB023g_15_0"/>
      <w:bookmarkStart w:id="132" w:name="Tc_fy-USO-cVEKjyJmYklpj6A_14_0"/>
      <w:bookmarkStart w:id="133" w:name="Tc_-DGPnMH_OkSnCKffFwnLLw_13_0"/>
      <w:bookmarkStart w:id="134" w:name="Tc_mrTQbbYsr0yb5bBycmD6tw_12_0"/>
      <w:bookmarkStart w:id="135" w:name="Tc_iW_Nkh-F20GIQnV3lCZfoA_11_0"/>
      <w:bookmarkStart w:id="136" w:name="Tc_xIzsZqmePEOm5j4J5-ei5A_10_0"/>
      <w:bookmarkStart w:id="137" w:name="Tc_FuYfDMmMW0evsk7W08YkFw_9_0"/>
      <w:bookmarkStart w:id="138" w:name="Tc_DXPSLtJznECGNTM39MEUAA_8_0"/>
      <w:bookmarkStart w:id="139" w:name="Tc_NMTFIAdEzkq-mCILjaMagQ_7_0"/>
      <w:bookmarkStart w:id="140" w:name="Tc_zlKlXSuqTkqVJKQMLYokGA_6_3"/>
      <w:bookmarkStart w:id="141" w:name="Tc_D6OPzz4J50K0vjYYSiBmQg_6_0"/>
      <w:bookmarkStart w:id="142" w:name="Tc_d6zbEcWOgUG5kzDaiu-9ig_5_5"/>
      <w:bookmarkStart w:id="143" w:name="Tc_fyi0d-ggrE21l1JHCd_6VA_5_2"/>
      <w:bookmarkStart w:id="144" w:name="Tc_yDwk96ndhku577cDukbSrA_5_0"/>
      <w:bookmarkStart w:id="145" w:name="Tc_RIM_BHLQAE-p8vNsLqbPkg_4_0"/>
      <w:bookmarkStart w:id="146" w:name="Tc_rOIerGz9pU62vKrLhiC93w_3_0"/>
      <w:bookmarkStart w:id="147" w:name="Tc_0uWUE34C8kyJZzwVNJ_64g_2_5"/>
      <w:bookmarkStart w:id="148" w:name="Tc_atYpqrHn30uo1rF1wDD0Gw_2_2"/>
      <w:bookmarkStart w:id="149" w:name="Tc_ZkMIK6FqP0yHMHpH1fdlxA_1_5"/>
      <w:bookmarkStart w:id="150" w:name="Tc_7YoA2_pAWU-pgChj9KEDtw_1_2"/>
      <w:bookmarkStart w:id="151" w:name="_d9f5a5fb_3c7f_4d8b_95e1_51dfd09dc385"/>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7295"/>
        <w:gridCol w:w="326"/>
        <w:gridCol w:w="225"/>
        <w:gridCol w:w="836"/>
        <w:gridCol w:w="326"/>
        <w:gridCol w:w="221"/>
        <w:gridCol w:w="819"/>
        <w:gridCol w:w="157"/>
      </w:tblGrid>
      <w:tr>
        <w:trPr/>
        <w:tc>
          <w:tcPr>
            <w:tcW w:w="7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32325" cy="175260"/>
                      <wp:effectExtent l="0" t="0" r="0" b="0"/>
                      <wp:wrapNone/>
                      <wp:docPr id="5" name="Frame5"/>
                      <a:graphic xmlns:a="http://schemas.openxmlformats.org/drawingml/2006/main">
                        <a:graphicData uri="http://schemas.microsoft.com/office/word/2010/wordprocessingShape">
                          <wps:wsp>
                            <wps:cNvSpPr txBox="1"/>
                            <wps:spPr>
                              <a:xfrm>
                                <a:off x="0" y="0"/>
                                <a:ext cx="4632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2875" cy="175260"/>
                      <wp:effectExtent l="0" t="0" r="0" b="0"/>
                      <wp:wrapNone/>
                      <wp:docPr id="7" name="Frame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30860" cy="175260"/>
                      <wp:effectExtent l="0" t="0" r="0" b="0"/>
                      <wp:wrapNone/>
                      <wp:docPr id="8" name="Frame8"/>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0335" cy="175260"/>
                      <wp:effectExtent l="0" t="0" r="0" b="0"/>
                      <wp:wrapNone/>
                      <wp:docPr id="10" name="Frame1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0065" cy="175260"/>
                      <wp:effectExtent l="0" t="0" r="0" b="0"/>
                      <wp:wrapNone/>
                      <wp:docPr id="11" name="Frame11"/>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9695" cy="175260"/>
                      <wp:effectExtent l="0" t="0" r="0" b="0"/>
                      <wp:wrapNone/>
                      <wp:docPr id="12" name="Frame12"/>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157" w:type="dxa"/>
            <w:tcBorders/>
            <w:vAlign w:val="center"/>
          </w:tcPr>
          <w:p>
            <w:pPr>
              <w:pStyle w:val="TableContents"/>
              <w:bidi w:val="0"/>
              <w:spacing w:before="0" w:after="0"/>
              <w:ind w:left="0" w:right="0" w:hanging="0"/>
              <w:jc w:val="center"/>
              <w:rPr/>
            </w:pPr>
            <w:r>
              <w:rPr/>
              <w:t>​</w:t>
            </w:r>
          </w:p>
        </w:tc>
      </w:tr>
      <w:tr>
        <w:trPr/>
        <w:tc>
          <w:tcPr>
            <w:tcW w:w="7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7" w:type="dxa"/>
            <w:tcBorders/>
            <w:vAlign w:val="center"/>
          </w:tcPr>
          <w:p>
            <w:pPr>
              <w:pStyle w:val="TableContents"/>
              <w:bidi w:val="0"/>
              <w:spacing w:before="0" w:after="0"/>
              <w:ind w:left="0" w:right="0" w:hanging="0"/>
              <w:jc w:val="center"/>
              <w:rPr/>
            </w:pPr>
            <w:r>
              <w:rPr/>
              <w:t>​</w:t>
            </w:r>
          </w:p>
        </w:tc>
      </w:tr>
      <w:tr>
        <w:trPr/>
        <w:tc>
          <w:tcPr>
            <w:tcW w:w="10048" w:type="dxa"/>
            <w:gridSpan w:val="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7" w:type="dxa"/>
            <w:tcBorders/>
            <w:vAlign w:val="center"/>
          </w:tcPr>
          <w:p>
            <w:pPr>
              <w:pStyle w:val="TableContents"/>
              <w:bidi w:val="0"/>
              <w:spacing w:before="0" w:after="0"/>
              <w:ind w:left="0" w:right="0" w:hanging="0"/>
              <w:jc w:val="lef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12,887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8,806</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10,679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$263</w:t>
            </w:r>
            <w:r>
              <w:rPr>
                <w:rFonts w:ascii="Times New Roman;Times;serif" w:hAnsi="Times New Roman;Times;serif"/>
                <w:sz w:val="18"/>
              </w:rPr>
              <w:t xml:space="preserve"> </w:t>
            </w:r>
            <w:r>
              <w:rPr>
                <w:rFonts w:ascii="Times New Roman;Times;serif" w:hAnsi="Times New Roman;Times;serif"/>
                <w:sz w:val="19"/>
              </w:rPr>
              <w:t>and $640</w:t>
            </w:r>
            <w:r>
              <w:rPr>
                <w:rFonts w:ascii="Times New Roman;Times;serif" w:hAnsi="Times New Roman;Times;serif"/>
                <w:sz w:val="18"/>
              </w:rPr>
              <w:t xml:space="preserve"> </w:t>
            </w:r>
            <w:r>
              <w:rPr>
                <w:rFonts w:ascii="Times New Roman;Times;serif" w:hAnsi="Times New Roman;Times;serif"/>
                <w:sz w:val="19"/>
              </w:rPr>
              <w:t>at September 29, 2023 and December 30, 2022, respectively</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66,343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60,202</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78,530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83,060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4,773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5,279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6,454</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164,506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173,974</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26,160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22,537</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131,144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130,124</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12,695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12,390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34,155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41,486</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15,613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10,620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17,347</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18,543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401,620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409,674</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10048" w:type="dxa"/>
            <w:gridSpan w:val="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7" w:type="dxa"/>
            <w:tcBorders/>
            <w:vAlign w:val="center"/>
          </w:tcPr>
          <w:p>
            <w:pPr>
              <w:pStyle w:val="TableContents"/>
              <w:bidi w:val="0"/>
              <w:spacing w:before="0" w:after="0"/>
              <w:ind w:left="0" w:right="0" w:hanging="0"/>
              <w:jc w:val="lef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32,755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28,833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45,773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59,110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15,406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12,585</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7,995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16,903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1,113</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4,729</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4,625</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107,824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127,169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91,386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90,544</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1,601</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9,829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8,599</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210,547</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228,172</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13,647</w:t>
            </w:r>
            <w:r>
              <w:rPr>
                <w:rFonts w:ascii="Times New Roman;Times;serif" w:hAnsi="Times New Roman;Times;serif"/>
                <w:sz w:val="18"/>
              </w:rPr>
              <w:t xml:space="preserve"> </w:t>
            </w:r>
            <w:r>
              <w:rPr>
                <w:rFonts w:ascii="Times New Roman;Times;serif" w:hAnsi="Times New Roman;Times;serif"/>
                <w:sz w:val="19"/>
              </w:rPr>
              <w:t>and 13,296</w:t>
            </w:r>
            <w:r>
              <w:rPr>
                <w:rFonts w:ascii="Times New Roman;Times;serif" w:hAnsi="Times New Roman;Times;serif"/>
                <w:sz w:val="18"/>
              </w:rPr>
              <w:t xml:space="preserve"> </w:t>
            </w:r>
            <w:r>
              <w:rPr>
                <w:rFonts w:ascii="Times New Roman;Times;serif" w:hAnsi="Times New Roman;Times;serif"/>
                <w:sz w:val="19"/>
              </w:rPr>
              <w:t>shares issued and outstanding at September 29, 2023 and December 30, 2022, respectively</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184,391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177,718</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6,546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3,651</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29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191,073</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181,502</w:t>
            </w:r>
          </w:p>
        </w:tc>
        <w:tc>
          <w:tcPr>
            <w:tcW w:w="157" w:type="dxa"/>
            <w:tcBorders/>
            <w:vAlign w:val="center"/>
          </w:tcPr>
          <w:p>
            <w:pPr>
              <w:pStyle w:val="TableContents"/>
              <w:bidi w:val="0"/>
              <w:spacing w:before="0" w:after="0"/>
              <w:ind w:left="0" w:right="0" w:hanging="0"/>
              <w:jc w:val="right"/>
              <w:rPr/>
            </w:pPr>
            <w:r>
              <w:rPr/>
              <w:t>​</w:t>
            </w:r>
          </w:p>
        </w:tc>
      </w:tr>
      <w:tr>
        <w:trPr/>
        <w:tc>
          <w:tcPr>
            <w:tcW w:w="729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401,620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409,674</w:t>
            </w:r>
          </w:p>
        </w:tc>
        <w:tc>
          <w:tcPr>
            <w:tcW w:w="157"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80" w:after="0"/>
        <w:ind w:left="0" w:right="0" w:hanging="0"/>
        <w:jc w:val="center"/>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2" w:name="_9fbe8877_8e86_45a0_9016_6dc16e223ccb"/>
      <w:bookmarkEnd w:id="15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53" w:name="OPERATIONS_940148"/>
      <w:bookmarkEnd w:id="153"/>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4" w:name="Tc_fvg_aB4WzU6OdYK4DNNlKA_39_0"/>
      <w:bookmarkStart w:id="155" w:name="Tc_VUDmb-xQ-kSc5UK_z4HjkA_38_0"/>
      <w:bookmarkStart w:id="156" w:name="Tc_GOeQHeOuQ0aximOlM0hu9A_37_0"/>
      <w:bookmarkStart w:id="157" w:name="Tc_6ybjJKZjykSvjENHN3RkcQ_35_11"/>
      <w:bookmarkStart w:id="158" w:name="Tc_jZdbRxgccEyw8Rq-n7Hvgg_35_8"/>
      <w:bookmarkStart w:id="159" w:name="Tc_sImQi1vRn0Omy5Qdo84OXg_35_5"/>
      <w:bookmarkStart w:id="160" w:name="Tc_ztzqArkNDEyu2MI-eiZgvg_35_2"/>
      <w:bookmarkStart w:id="161" w:name="Tc_MSsX8xDnekWdalQMVV8dcw_35_0"/>
      <w:bookmarkStart w:id="162" w:name="Tc_lAS3w5ECm0ScHEuinZo-Lw_34_11"/>
      <w:bookmarkStart w:id="163" w:name="Tc_qcDqBiuSQk6ZX_sVIV0FxQ_34_8"/>
      <w:bookmarkStart w:id="164" w:name="Tc_RQVv8U8_YkWqCBlX6vQoNQ_34_5"/>
      <w:bookmarkStart w:id="165" w:name="Tc_Ip4lKDtcC0KsLAakWxrBHQ_34_2"/>
      <w:bookmarkStart w:id="166" w:name="Tc_2S7ujAd_jUaq77ViXiRffw_34_0"/>
      <w:bookmarkStart w:id="167" w:name="Tc_9K8YnPfcg0eYj6nIRbUkVw_33_0"/>
      <w:bookmarkStart w:id="168" w:name="Tc_aR4Wp8KUekWUdISxkJrlTQ_31_11"/>
      <w:bookmarkStart w:id="169" w:name="Tc__LFu8_38oES0kp9QPEG_sQ_31_8"/>
      <w:bookmarkStart w:id="170" w:name="Tc_McgzoWEwhkKI3Mut01fjbw_31_5"/>
      <w:bookmarkStart w:id="171" w:name="Tc_TLcUF93a60WzNR2qxkHy8w_31_2"/>
      <w:bookmarkStart w:id="172" w:name="Tc_BeD3VvL_y0SjKzSmCRDphw_31_0"/>
      <w:bookmarkStart w:id="173" w:name="Tc_7EdByEkBIUqeY0EaFq1Y9Q_30_9"/>
      <w:bookmarkStart w:id="174" w:name="Tc_5xNZW-mzikOaBVPCO3YEbA_30_6"/>
      <w:bookmarkStart w:id="175" w:name="Tc_UumozBzLHkyNcldGzmemgg_30_3"/>
      <w:bookmarkStart w:id="176" w:name="Tc_rEc_Ic5P6ECMO2Tj3lnvsA_30_0"/>
      <w:bookmarkStart w:id="177" w:name="Tc_HvXDCtytlUevzkg2jxd-gw_29_0"/>
      <w:bookmarkStart w:id="178" w:name="Tc_WqYNkY4vy0G2FdvTQgo1_A_27_0"/>
      <w:bookmarkStart w:id="179" w:name="Tc_0Z-Qt4cmxUW5mLctUovWLw_26_0"/>
      <w:bookmarkStart w:id="180" w:name="Tc_0EzJ1NQoMk2zZ2w_eqlZhQ_24_0"/>
      <w:bookmarkStart w:id="181" w:name="Tc_wWerui3fL02REPUra9FXOA_23_0"/>
      <w:bookmarkStart w:id="182" w:name="Tc_q1ITomh_H0W6-iH3wvgwOw_22_0"/>
      <w:bookmarkStart w:id="183" w:name="Tc_jsrHfKKFfk28V97IVIhsjg_21_0"/>
      <w:bookmarkStart w:id="184" w:name="Tc_x990V5i2VkiIu3oaQBnn5Q_20_0"/>
      <w:bookmarkStart w:id="185" w:name="Tc_ZJzZDHGJq0C1Q-o0pctNSQ_18_0"/>
      <w:bookmarkStart w:id="186" w:name="Tc_C4X_E37Q-k64uWIMG3-Cpg_17_0"/>
      <w:bookmarkStart w:id="187" w:name="Tc_nxwTszcz5EuWPGbavzEQew_16_0"/>
      <w:bookmarkStart w:id="188" w:name="Tc_wYtUVJDslUqnD2NI9j4ajg_15_0"/>
      <w:bookmarkStart w:id="189" w:name="Tc_gN0KICszBE-jCVblds14fg_14_0"/>
      <w:bookmarkStart w:id="190" w:name="Tc_lMBuZlKgwUid8HbDs2lJrw_13_0"/>
      <w:bookmarkStart w:id="191" w:name="Tc_4S95pnjue0S8xLFP2tijbw_12_0"/>
      <w:bookmarkStart w:id="192" w:name="Tc_ffcIiKevAEi40C0pDkIXGg_11_0"/>
      <w:bookmarkStart w:id="193" w:name="Tc_agWPM-mR10W3SO2JbHljeQ_9_0"/>
      <w:bookmarkStart w:id="194" w:name="Tc_7ajTmwYmeEKncGqI37IYrg_8_0"/>
      <w:bookmarkStart w:id="195" w:name="Tc_mdxpuZyLR0-OZArwNtexdQ_7_0"/>
      <w:bookmarkStart w:id="196" w:name="Tc_gEJ-0hDBPUej8B7RWRi14Q_6_0"/>
      <w:bookmarkStart w:id="197" w:name="Tc_MXr2il_AQUKQR8Hex9L__A_4_11"/>
      <w:bookmarkStart w:id="198" w:name="Tc_HGV7Z2nvmE2Ydxj8yw5H-Q_4_8"/>
      <w:bookmarkStart w:id="199" w:name="Tc_7u1tWPh55UiyeliQsXnQHA_4_5"/>
      <w:bookmarkStart w:id="200" w:name="Tc_9TSfjP7450ufj5Xzd9QlRw_4_2"/>
      <w:bookmarkStart w:id="201" w:name="Tc_y78_Mrk2K0-br-iFYpsuRg_4_0"/>
      <w:bookmarkStart w:id="202" w:name="Tc_g7EOb9x2_EKKzuR08IbyKQ_3_11"/>
      <w:bookmarkStart w:id="203" w:name="Tc_Q62lvTiSLEizsX-v_ORxLg_3_8"/>
      <w:bookmarkStart w:id="204" w:name="Tc_5uQtrUXuk02hQVi1cLRhtw_3_5"/>
      <w:bookmarkStart w:id="205" w:name="Tc_pj87ATaoI02ko6-mYm4E0g_3_2"/>
      <w:bookmarkStart w:id="206" w:name="Tc_YdNOesSaMk6drXj383QrwA_2_11"/>
      <w:bookmarkStart w:id="207" w:name="Tc_4rEpMdqq7kyIxK4HUg1AHA_2_8"/>
      <w:bookmarkStart w:id="208" w:name="Tc_dKp8vzzjo0a5rOvCmKjjmw_2_5"/>
      <w:bookmarkStart w:id="209" w:name="Tc_34hGuchPTE-t2ethYXy7kA_2_2"/>
      <w:bookmarkStart w:id="210" w:name="Tc_Nlx0PT3JW0yGksjNhi5myA_1_8"/>
      <w:bookmarkStart w:id="211" w:name="Tc_LScqg4evz0u5hFZPTV-7Fg_1_2"/>
      <w:bookmarkStart w:id="212" w:name="_3aba4ab8_bba5_491c_8d83_78aa3e16931c"/>
      <w:bookmarkStart w:id="213" w:name="Tc_fvg_aB4WzU6OdYK4DNNlKA_39_0"/>
      <w:bookmarkStart w:id="214" w:name="Tc_VUDmb-xQ-kSc5UK_z4HjkA_38_0"/>
      <w:bookmarkStart w:id="215" w:name="Tc_GOeQHeOuQ0aximOlM0hu9A_37_0"/>
      <w:bookmarkStart w:id="216" w:name="Tc_6ybjJKZjykSvjENHN3RkcQ_35_11"/>
      <w:bookmarkStart w:id="217" w:name="Tc_jZdbRxgccEyw8Rq-n7Hvgg_35_8"/>
      <w:bookmarkStart w:id="218" w:name="Tc_sImQi1vRn0Omy5Qdo84OXg_35_5"/>
      <w:bookmarkStart w:id="219" w:name="Tc_ztzqArkNDEyu2MI-eiZgvg_35_2"/>
      <w:bookmarkStart w:id="220" w:name="Tc_MSsX8xDnekWdalQMVV8dcw_35_0"/>
      <w:bookmarkStart w:id="221" w:name="Tc_lAS3w5ECm0ScHEuinZo-Lw_34_11"/>
      <w:bookmarkStart w:id="222" w:name="Tc_qcDqBiuSQk6ZX_sVIV0FxQ_34_8"/>
      <w:bookmarkStart w:id="223" w:name="Tc_RQVv8U8_YkWqCBlX6vQoNQ_34_5"/>
      <w:bookmarkStart w:id="224" w:name="Tc_Ip4lKDtcC0KsLAakWxrBHQ_34_2"/>
      <w:bookmarkStart w:id="225" w:name="Tc_2S7ujAd_jUaq77ViXiRffw_34_0"/>
      <w:bookmarkStart w:id="226" w:name="Tc_9K8YnPfcg0eYj6nIRbUkVw_33_0"/>
      <w:bookmarkStart w:id="227" w:name="Tc_aR4Wp8KUekWUdISxkJrlTQ_31_11"/>
      <w:bookmarkStart w:id="228" w:name="Tc__LFu8_38oES0kp9QPEG_sQ_31_8"/>
      <w:bookmarkStart w:id="229" w:name="Tc_McgzoWEwhkKI3Mut01fjbw_31_5"/>
      <w:bookmarkStart w:id="230" w:name="Tc_TLcUF93a60WzNR2qxkHy8w_31_2"/>
      <w:bookmarkStart w:id="231" w:name="Tc_BeD3VvL_y0SjKzSmCRDphw_31_0"/>
      <w:bookmarkStart w:id="232" w:name="Tc_7EdByEkBIUqeY0EaFq1Y9Q_30_9"/>
      <w:bookmarkStart w:id="233" w:name="Tc_5xNZW-mzikOaBVPCO3YEbA_30_6"/>
      <w:bookmarkStart w:id="234" w:name="Tc_UumozBzLHkyNcldGzmemgg_30_3"/>
      <w:bookmarkStart w:id="235" w:name="Tc_rEc_Ic5P6ECMO2Tj3lnvsA_30_0"/>
      <w:bookmarkStart w:id="236" w:name="Tc_HvXDCtytlUevzkg2jxd-gw_29_0"/>
      <w:bookmarkStart w:id="237" w:name="Tc_WqYNkY4vy0G2FdvTQgo1_A_27_0"/>
      <w:bookmarkStart w:id="238" w:name="Tc_0Z-Qt4cmxUW5mLctUovWLw_26_0"/>
      <w:bookmarkStart w:id="239" w:name="Tc_0EzJ1NQoMk2zZ2w_eqlZhQ_24_0"/>
      <w:bookmarkStart w:id="240" w:name="Tc_wWerui3fL02REPUra9FXOA_23_0"/>
      <w:bookmarkStart w:id="241" w:name="Tc_q1ITomh_H0W6-iH3wvgwOw_22_0"/>
      <w:bookmarkStart w:id="242" w:name="Tc_jsrHfKKFfk28V97IVIhsjg_21_0"/>
      <w:bookmarkStart w:id="243" w:name="Tc_x990V5i2VkiIu3oaQBnn5Q_20_0"/>
      <w:bookmarkStart w:id="244" w:name="Tc_ZJzZDHGJq0C1Q-o0pctNSQ_18_0"/>
      <w:bookmarkStart w:id="245" w:name="Tc_C4X_E37Q-k64uWIMG3-Cpg_17_0"/>
      <w:bookmarkStart w:id="246" w:name="Tc_nxwTszcz5EuWPGbavzEQew_16_0"/>
      <w:bookmarkStart w:id="247" w:name="Tc_wYtUVJDslUqnD2NI9j4ajg_15_0"/>
      <w:bookmarkStart w:id="248" w:name="Tc_gN0KICszBE-jCVblds14fg_14_0"/>
      <w:bookmarkStart w:id="249" w:name="Tc_lMBuZlKgwUid8HbDs2lJrw_13_0"/>
      <w:bookmarkStart w:id="250" w:name="Tc_4S95pnjue0S8xLFP2tijbw_12_0"/>
      <w:bookmarkStart w:id="251" w:name="Tc_ffcIiKevAEi40C0pDkIXGg_11_0"/>
      <w:bookmarkStart w:id="252" w:name="Tc_agWPM-mR10W3SO2JbHljeQ_9_0"/>
      <w:bookmarkStart w:id="253" w:name="Tc_7ajTmwYmeEKncGqI37IYrg_8_0"/>
      <w:bookmarkStart w:id="254" w:name="Tc_mdxpuZyLR0-OZArwNtexdQ_7_0"/>
      <w:bookmarkStart w:id="255" w:name="Tc_gEJ-0hDBPUej8B7RWRi14Q_6_0"/>
      <w:bookmarkStart w:id="256" w:name="Tc_MXr2il_AQUKQR8Hex9L__A_4_11"/>
      <w:bookmarkStart w:id="257" w:name="Tc_HGV7Z2nvmE2Ydxj8yw5H-Q_4_8"/>
      <w:bookmarkStart w:id="258" w:name="Tc_7u1tWPh55UiyeliQsXnQHA_4_5"/>
      <w:bookmarkStart w:id="259" w:name="Tc_9TSfjP7450ufj5Xzd9QlRw_4_2"/>
      <w:bookmarkStart w:id="260" w:name="Tc_y78_Mrk2K0-br-iFYpsuRg_4_0"/>
      <w:bookmarkStart w:id="261" w:name="Tc_g7EOb9x2_EKKzuR08IbyKQ_3_11"/>
      <w:bookmarkStart w:id="262" w:name="Tc_Q62lvTiSLEizsX-v_ORxLg_3_8"/>
      <w:bookmarkStart w:id="263" w:name="Tc_5uQtrUXuk02hQVi1cLRhtw_3_5"/>
      <w:bookmarkStart w:id="264" w:name="Tc_pj87ATaoI02ko6-mYm4E0g_3_2"/>
      <w:bookmarkStart w:id="265" w:name="Tc_YdNOesSaMk6drXj383QrwA_2_11"/>
      <w:bookmarkStart w:id="266" w:name="Tc_4rEpMdqq7kyIxK4HUg1AHA_2_8"/>
      <w:bookmarkStart w:id="267" w:name="Tc_dKp8vzzjo0a5rOvCmKjjmw_2_5"/>
      <w:bookmarkStart w:id="268" w:name="Tc_34hGuchPTE-t2ethYXy7kA_2_2"/>
      <w:bookmarkStart w:id="269" w:name="Tc_Nlx0PT3JW0yGksjNhi5myA_1_8"/>
      <w:bookmarkStart w:id="270" w:name="Tc_LScqg4evz0u5hFZPTV-7Fg_1_2"/>
      <w:bookmarkStart w:id="271" w:name="_3aba4ab8_bba5_491c_8d83_78aa3e16931c"/>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tbl>
      <w:tblPr>
        <w:tblW w:w="10205" w:type="dxa"/>
        <w:jc w:val="left"/>
        <w:tblInd w:w="0" w:type="dxa"/>
        <w:tblLayout w:type="fixed"/>
        <w:tblCellMar>
          <w:top w:w="0" w:type="dxa"/>
          <w:left w:w="0" w:type="dxa"/>
          <w:bottom w:w="0" w:type="dxa"/>
          <w:right w:w="0" w:type="dxa"/>
        </w:tblCellMar>
      </w:tblPr>
      <w:tblGrid>
        <w:gridCol w:w="4593"/>
        <w:gridCol w:w="326"/>
        <w:gridCol w:w="226"/>
        <w:gridCol w:w="839"/>
        <w:gridCol w:w="326"/>
        <w:gridCol w:w="226"/>
        <w:gridCol w:w="839"/>
        <w:gridCol w:w="326"/>
        <w:gridCol w:w="226"/>
        <w:gridCol w:w="839"/>
        <w:gridCol w:w="326"/>
        <w:gridCol w:w="223"/>
        <w:gridCol w:w="890"/>
      </w:tblGrid>
      <w:tr>
        <w:trPr/>
        <w:tc>
          <w:tcPr>
            <w:tcW w:w="4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916555" cy="175260"/>
                      <wp:effectExtent l="0" t="0" r="0" b="0"/>
                      <wp:wrapNone/>
                      <wp:docPr id="13" name="Frame13"/>
                      <a:graphic xmlns:a="http://schemas.openxmlformats.org/drawingml/2006/main">
                        <a:graphicData uri="http://schemas.microsoft.com/office/word/2010/wordprocessingShape">
                          <wps:wsp>
                            <wps:cNvSpPr txBox="1"/>
                            <wps:spPr>
                              <a:xfrm>
                                <a:off x="0" y="0"/>
                                <a:ext cx="291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32765" cy="175260"/>
                      <wp:effectExtent l="0" t="0" r="0" b="0"/>
                      <wp:wrapNone/>
                      <wp:docPr id="16" name="Frame1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32765" cy="175260"/>
                      <wp:effectExtent l="0" t="0" r="0" b="0"/>
                      <wp:wrapNone/>
                      <wp:docPr id="19" name="Frame19"/>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32765" cy="175260"/>
                      <wp:effectExtent l="0" t="0" r="0" b="0"/>
                      <wp:wrapNone/>
                      <wp:docPr id="22" name="Frame2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1605" cy="175260"/>
                      <wp:effectExtent l="0" t="0" r="0" b="0"/>
                      <wp:wrapNone/>
                      <wp:docPr id="24" name="Frame2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65150" cy="175260"/>
                      <wp:effectExtent l="0" t="0" r="0" b="0"/>
                      <wp:wrapNone/>
                      <wp:docPr id="25" name="Frame25"/>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5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121,399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354,418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315,882</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lef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63,568</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61,514</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67,454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165,508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153,896</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89,310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83,877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229,076</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215,410</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90" w:type="dxa"/>
            <w:tcBorders/>
            <w:shd w:fill="CCEEFF" w:val="cle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68,606</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60,169</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6,626</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12,518</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13,240</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22,629</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25,099</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115,017</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112,133</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w:t>
            </w:r>
          </w:p>
        </w:tc>
        <w:tc>
          <w:tcPr>
            <w:tcW w:w="890" w:type="dxa"/>
            <w:tcBorders/>
            <w:vAlign w:val="center"/>
          </w:tcPr>
          <w:p>
            <w:pPr>
              <w:pStyle w:val="TableContents"/>
              <w:bidi w:val="0"/>
              <w:spacing w:before="0" w:after="0"/>
              <w:ind w:left="0" w:right="0" w:hanging="0"/>
              <w:jc w:val="lef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lef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(13,611)</w:t>
            </w:r>
          </w:p>
        </w:tc>
      </w:tr>
      <w:tr>
        <w:trPr/>
        <w:tc>
          <w:tcPr>
            <w:tcW w:w="4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w:t>
            </w:r>
          </w:p>
        </w:tc>
        <w:tc>
          <w:tcPr>
            <w:tcW w:w="890"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(8,023)</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(7,985)</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r>
      <w:tr>
        <w:trPr/>
        <w:tc>
          <w:tcPr>
            <w:tcW w:w="4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pPr>
            <w:r>
              <w:rPr/>
              <w:t>​</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pPr>
            <w:r>
              <w:rPr/>
              <w:t>​</w:t>
            </w:r>
          </w:p>
        </w:tc>
      </w:tr>
      <w:tr>
        <w:trPr/>
        <w:tc>
          <w:tcPr>
            <w:tcW w:w="4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13,357</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12,971</w:t>
            </w:r>
          </w:p>
        </w:tc>
      </w:tr>
      <w:tr>
        <w:trPr/>
        <w:tc>
          <w:tcPr>
            <w:tcW w:w="4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13,563</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90"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12,971</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2" w:name="_a29c9758_a992_4e01_91e5_dd5d88ec863b"/>
      <w:bookmarkEnd w:id="272"/>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73" w:name="STOCKHOLDERSEQUITY_372544"/>
      <w:bookmarkEnd w:id="273"/>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4" w:name="Tc_PSJppppEgEmRuhZec2FXYw_24_16"/>
      <w:bookmarkStart w:id="275" w:name="Tc_QpSc7Ltr-0WXS3iVawLKyg_24_13"/>
      <w:bookmarkStart w:id="276" w:name="Tc_jhV_b_cpCkqdBoIURTP-JQ_24_11"/>
      <w:bookmarkStart w:id="277" w:name="Tc_-V172sKMTkqVQSDJJTH4eg_24_10"/>
      <w:bookmarkStart w:id="278" w:name="Tc_ti_21jPJ4EmgLQONkbk5IQ_24_7"/>
      <w:bookmarkStart w:id="279" w:name="Tc_-Jmp6r2d7E2PfzS6LA_-Bg_24_4"/>
      <w:bookmarkStart w:id="280" w:name="Tc__7EQO1rUsUafm8hP_7XkMQ_24_0"/>
      <w:bookmarkStart w:id="281" w:name="Tc_-eCIae2LOUer7dcOVShjTg_23_11"/>
      <w:bookmarkStart w:id="282" w:name="Tc_4e6EyRZdH0KZ9vZNM08laQ_23_8"/>
      <w:bookmarkStart w:id="283" w:name="Tc_Un1bGObBXkOBDLqsaTF9Cg_23_5"/>
      <w:bookmarkStart w:id="284" w:name="Tc_aMVQjNYiUk2Sat5fv_LQhg_23_2"/>
      <w:bookmarkStart w:id="285" w:name="Tc_vzC0iyPGkU-islkvMqzzrQ_23_0"/>
      <w:bookmarkStart w:id="286" w:name="Tc__93JsNJNBU676-IJRI7W-w_22_14"/>
      <w:bookmarkStart w:id="287" w:name="Tc_-vRydxHvTE6DmacjTG5j4w_22_11"/>
      <w:bookmarkStart w:id="288" w:name="Tc_9QyasM4wZUmy7IJek8YJYQ_22_5"/>
      <w:bookmarkStart w:id="289" w:name="Tc_vP3MaxlN-0SVK1AzmiY0vA_22_2"/>
      <w:bookmarkStart w:id="290" w:name="Tc_OYwYJ06C3USQRVXQcT0MFA_22_0"/>
      <w:bookmarkStart w:id="291" w:name="Tc_EP_D7RsHMUi5KByPtlFxgw_21_17"/>
      <w:bookmarkStart w:id="292" w:name="Tc_oSK36tbym0i1Uym0mUt9yA_21_14"/>
      <w:bookmarkStart w:id="293" w:name="Tc_bnaJ1YJ4dEKx84xIMCP8vg_21_11"/>
      <w:bookmarkStart w:id="294" w:name="Tc_ErKm8MMfN0ucW3_i4-n_1Q_21_8"/>
      <w:bookmarkStart w:id="295" w:name="Tc_WO7JaH6_eECqdCTGyNhnbQ_21_5"/>
      <w:bookmarkStart w:id="296" w:name="Tc_BE7d4oGr2U-Dkhszz-Rr-Q_21_0"/>
      <w:bookmarkStart w:id="297" w:name="Tc_LNzoOSVT3kuZi1UQCJlM-w_20_14"/>
      <w:bookmarkStart w:id="298" w:name="Tc__uriDJVilkWoTDLvRmTwbA_20_11"/>
      <w:bookmarkStart w:id="299" w:name="Tc_thU5mKZ-zkmTUbZ_95neNw_20_5"/>
      <w:bookmarkStart w:id="300" w:name="Tc_kzC_D-wXhUKP_LhlfJWQDg_20_0"/>
      <w:bookmarkStart w:id="301" w:name="Tc_vBxfuBLja0qFnNZdAzXeEw_19_14"/>
      <w:bookmarkStart w:id="302" w:name="Tc_0Wbkrs8aw0ennTUBWYvIqQ_19_11"/>
      <w:bookmarkStart w:id="303" w:name="Tc_1iDs4qZkB0q9ArMY_yqs9Q_19_5"/>
      <w:bookmarkStart w:id="304" w:name="Tc_zon0uZuddkSl8UfS96Vfcw_19_0"/>
      <w:bookmarkStart w:id="305" w:name="Tc_R8AnQGDF_0e2UklB9pN3KQ_18_14"/>
      <w:bookmarkStart w:id="306" w:name="Tc_x_g8T8wFuk2WgtUUZte14A_18_11"/>
      <w:bookmarkStart w:id="307" w:name="Tc_Cp8rgIHT6UKSuoMwhkqr9Q_18_0"/>
      <w:bookmarkStart w:id="308" w:name="Tc_6_vaMFiGL0W4G1fNqQUXJw_17_16"/>
      <w:bookmarkStart w:id="309" w:name="Tc_DNa-ihZ2ykmWEDJfgYOC4g_17_13"/>
      <w:bookmarkStart w:id="310" w:name="Tc_jCjJshGS_kKuhfskVUjWjA_17_11"/>
      <w:bookmarkStart w:id="311" w:name="Tc_pSNeh6Bzb0aJGFVtky02Ww_17_10"/>
      <w:bookmarkStart w:id="312" w:name="Tc_909hfj76YkKQzOeWihlFhw_17_7"/>
      <w:bookmarkStart w:id="313" w:name="Tc_pDP81OX8YEuTHy8sPqUi9A_17_4"/>
      <w:bookmarkStart w:id="314" w:name="Tc_JzhVdQ4Wq0CMH1dJXCXp7g_17_0"/>
      <w:bookmarkStart w:id="315" w:name="Tc_UY-kkvS5aUi3Q4mcWuwuOQ_16_11"/>
      <w:bookmarkStart w:id="316" w:name="Tc_qa2_nj7y6UuhHeT34PONDg_16_8"/>
      <w:bookmarkStart w:id="317" w:name="Tc_ZgAHxb601EGSPr4xHWnNFg_16_5"/>
      <w:bookmarkStart w:id="318" w:name="Tc_7XRNSicgRUWxGJ8CG8_y8A_16_2"/>
      <w:bookmarkStart w:id="319" w:name="Tc_PXoXNtihcUKVC2ZTWfzDEQ_16_0"/>
      <w:bookmarkStart w:id="320" w:name="Tc_X5jjRCQurkKMXjdR2h9sMA_15_14"/>
      <w:bookmarkStart w:id="321" w:name="Tc_3Tu3CUvLS027vjq62G9VVA_15_11"/>
      <w:bookmarkStart w:id="322" w:name="Tc_a9zDgEA_mkisG7xkFZUE7Q_15_5"/>
      <w:bookmarkStart w:id="323" w:name="Tc_-PkZocwiz0mfCpUFbgX-Pw_15_2"/>
      <w:bookmarkStart w:id="324" w:name="Tc_SbDG0tB9K0-ATz_vMr0Tew_15_0"/>
      <w:bookmarkStart w:id="325" w:name="Tc_gk-1KzeM5EGPaiFWJzl01Q_14_17"/>
      <w:bookmarkStart w:id="326" w:name="Tc_w72iXmVyokK9fs0DNteTQg_14_14"/>
      <w:bookmarkStart w:id="327" w:name="Tc_kZl_BsEWIE-54E2nrRtzNw_14_11"/>
      <w:bookmarkStart w:id="328" w:name="Tc_2YTyJO1FPUGig0EoM4zfhw_14_8"/>
      <w:bookmarkStart w:id="329" w:name="Tc_--erMd15oEu9w1yVuLWjEA_14_5"/>
      <w:bookmarkStart w:id="330" w:name="Tc_E6AlqGWdVUO1_u10h3TqjA_14_0"/>
      <w:bookmarkStart w:id="331" w:name="Tc_urf0po8ZWkuNXl7Do0NJRw_13_14"/>
      <w:bookmarkStart w:id="332" w:name="Tc_qTcOmFFlNESr0ajbhiivpg_13_11"/>
      <w:bookmarkStart w:id="333" w:name="Tc_5xMniZWvJU-ryrZyv9gqRg_13_5"/>
      <w:bookmarkStart w:id="334" w:name="Tc_o6ccUwyeAESCENDqGIR3ww_13_0"/>
      <w:bookmarkStart w:id="335" w:name="Tc_hCKtcVE85EarBiRbW06ndQ_12_14"/>
      <w:bookmarkStart w:id="336" w:name="Tc_CVBrHN8w3EWm-BAtDDu19A_12_11"/>
      <w:bookmarkStart w:id="337" w:name="Tc_TkmsIRGCTU-eXI8uh4wYOQ_12_5"/>
      <w:bookmarkStart w:id="338" w:name="Tc_1CQUl7kxAUCAL1xdnvUjlA_12_0"/>
      <w:bookmarkStart w:id="339" w:name="Tc_siVAuIqhlkq-k8GDDK9Kcw_11_16"/>
      <w:bookmarkStart w:id="340" w:name="Tc_ecYbmnfkfkCMmQQ3lG2Rfg_11_13"/>
      <w:bookmarkStart w:id="341" w:name="Tc_Si769y4W-EGeJaAx8B1mTA_11_11"/>
      <w:bookmarkStart w:id="342" w:name="Tc_7A7WAt5A40uoRhaDjaPA1Q_11_10"/>
      <w:bookmarkStart w:id="343" w:name="Tc_M39kBBcWYkykwYiGg81ZZg_11_7"/>
      <w:bookmarkStart w:id="344" w:name="Tc_Amqib7exSEGNuCKGvVtGeA_11_4"/>
      <w:bookmarkStart w:id="345" w:name="Tc_i2va12ZN-0So-L2R08pVFQ_11_0"/>
      <w:bookmarkStart w:id="346" w:name="Tc__XNm7LkPJ0m5FGTe-Zh5mQ_10_11"/>
      <w:bookmarkStart w:id="347" w:name="Tc_2zi9xlSkgkCc22qssrAafg_10_8"/>
      <w:bookmarkStart w:id="348" w:name="Tc_W8dsd8rXxky7zVJa2Sy1sA_10_5"/>
      <w:bookmarkStart w:id="349" w:name="Tc_tjFDTxIiU0qJ7df2HFip3w_10_2"/>
      <w:bookmarkStart w:id="350" w:name="Tc_HbfVjfIw_EKZ3YQOhK_Enw_10_0"/>
      <w:bookmarkStart w:id="351" w:name="Tc_Izn0Ah4x3kGfXiT1zY1ruQ_9_14"/>
      <w:bookmarkStart w:id="352" w:name="Tc_d_6V5Vk820muE3yj7dNElw_9_11"/>
      <w:bookmarkStart w:id="353" w:name="Tc_pNlTk1p27U2o0EnNsApKZw_9_5"/>
      <w:bookmarkStart w:id="354" w:name="Tc_CIIdArhTWk6rV9-0F9Zoqw_9_2"/>
      <w:bookmarkStart w:id="355" w:name="Tc_UeQGO-7e6U-C6uhDp04EsA_9_0"/>
      <w:bookmarkStart w:id="356" w:name="Tc_Nae7YnStpkOegwCFvHhOaA_8_17"/>
      <w:bookmarkStart w:id="357" w:name="Tc_2_I0AhxtaEqNbr0O3v_99w_8_14"/>
      <w:bookmarkStart w:id="358" w:name="Tc_xoBL0C6q7EiQB6m854y4Qw_8_11"/>
      <w:bookmarkStart w:id="359" w:name="Tc_n8yTRsnmt0yZsfTOzptuCg_8_0"/>
      <w:bookmarkStart w:id="360" w:name="Tc_kLKcxFa1YEig2RAKHlCPfg_7_14"/>
      <w:bookmarkStart w:id="361" w:name="Tc_eHSH0gCy90qlXUMi6U_3aQ_7_11"/>
      <w:bookmarkStart w:id="362" w:name="Tc_PwY89vmbV0SMWy8Fe95vgQ_7_5"/>
      <w:bookmarkStart w:id="363" w:name="Tc_0mKQwK-HLE6gierJ9CGVHw_7_0"/>
      <w:bookmarkStart w:id="364" w:name="Tc_3Qd1_tZVYU2GsbqI0AAxnA_6_14"/>
      <w:bookmarkStart w:id="365" w:name="Tc_JegNmLMf8Eean9altwtO1g_6_11"/>
      <w:bookmarkStart w:id="366" w:name="Tc_XKOD158L2kOnnIZNftiOhw_6_0"/>
      <w:bookmarkStart w:id="367" w:name="Tc_bvAUMyU_OEqzwG7JeN1Erw_5_16"/>
      <w:bookmarkStart w:id="368" w:name="Tc_uTnvFL85W0mx0kbfzoWQZw_5_13"/>
      <w:bookmarkStart w:id="369" w:name="Tc_9sb33TlzRkyw9a5E0p1fJQ_5_11"/>
      <w:bookmarkStart w:id="370" w:name="Tc_dyug7y_laUCVbZTPmyh7eA_5_10"/>
      <w:bookmarkStart w:id="371" w:name="Tc_thmxDkxzrE-SYNqdg6AsiQ_5_7"/>
      <w:bookmarkStart w:id="372" w:name="Tc_G0VIPjpr8Eae12Q29yBEag_5_4"/>
      <w:bookmarkStart w:id="373" w:name="Tc_isQW34G-7ESEBEKkO6k3Qg_5_0"/>
      <w:bookmarkStart w:id="374" w:name="Tc_bnzl-TrwxECGLwngabdmIQ_4_16"/>
      <w:bookmarkStart w:id="375" w:name="Tc_uOk71uZyfEqEu_aQft9wLA_4_13"/>
      <w:bookmarkStart w:id="376" w:name="Tc__q04FYkqAE2-HUr2l7DE6A_4_10"/>
      <w:bookmarkStart w:id="377" w:name="Tc_Aaf2eOXYN0izBbZwlSPN7A_4_7"/>
      <w:bookmarkStart w:id="378" w:name="Tc_ZxtF-8HdhEGN1S5arBOw6g_4_4"/>
      <w:bookmarkStart w:id="379" w:name="Tc_Bmkz2god90i7VIs9FCOZtQ_4_2"/>
      <w:bookmarkStart w:id="380" w:name="Tc_gyBIFgjGKkGLGMyaXox0qw_3_13"/>
      <w:bookmarkStart w:id="381" w:name="Tc_del9EaKSqEaUPsAU1WSLxg_3_10"/>
      <w:bookmarkStart w:id="382" w:name="Tc_AuxqiIRrjUCsJPwfXbqhAw_3_7"/>
      <w:bookmarkStart w:id="383" w:name="Tc_v779ffQUMUek__WCvIbYFw_3_2"/>
      <w:bookmarkStart w:id="384" w:name="Tc_iboummg4vEql6ren9U1XVg_2_10"/>
      <w:bookmarkStart w:id="385" w:name="Tc_ziXEwHLhWEC_oEQQfyQkJA_2_7"/>
      <w:bookmarkStart w:id="386" w:name="Tc_dTbEbitZS0KQtxUOeNGHmw_1_10"/>
      <w:bookmarkStart w:id="387" w:name="_2e7e20a5_a451_4611_9878_0bb7a6619791"/>
      <w:bookmarkStart w:id="388" w:name="Tc_PSJppppEgEmRuhZec2FXYw_24_16"/>
      <w:bookmarkStart w:id="389" w:name="Tc_QpSc7Ltr-0WXS3iVawLKyg_24_13"/>
      <w:bookmarkStart w:id="390" w:name="Tc_jhV_b_cpCkqdBoIURTP-JQ_24_11"/>
      <w:bookmarkStart w:id="391" w:name="Tc_-V172sKMTkqVQSDJJTH4eg_24_10"/>
      <w:bookmarkStart w:id="392" w:name="Tc_ti_21jPJ4EmgLQONkbk5IQ_24_7"/>
      <w:bookmarkStart w:id="393" w:name="Tc_-Jmp6r2d7E2PfzS6LA_-Bg_24_4"/>
      <w:bookmarkStart w:id="394" w:name="Tc__7EQO1rUsUafm8hP_7XkMQ_24_0"/>
      <w:bookmarkStart w:id="395" w:name="Tc_-eCIae2LOUer7dcOVShjTg_23_11"/>
      <w:bookmarkStart w:id="396" w:name="Tc_4e6EyRZdH0KZ9vZNM08laQ_23_8"/>
      <w:bookmarkStart w:id="397" w:name="Tc_Un1bGObBXkOBDLqsaTF9Cg_23_5"/>
      <w:bookmarkStart w:id="398" w:name="Tc_aMVQjNYiUk2Sat5fv_LQhg_23_2"/>
      <w:bookmarkStart w:id="399" w:name="Tc_vzC0iyPGkU-islkvMqzzrQ_23_0"/>
      <w:bookmarkStart w:id="400" w:name="Tc__93JsNJNBU676-IJRI7W-w_22_14"/>
      <w:bookmarkStart w:id="401" w:name="Tc_-vRydxHvTE6DmacjTG5j4w_22_11"/>
      <w:bookmarkStart w:id="402" w:name="Tc_9QyasM4wZUmy7IJek8YJYQ_22_5"/>
      <w:bookmarkStart w:id="403" w:name="Tc_vP3MaxlN-0SVK1AzmiY0vA_22_2"/>
      <w:bookmarkStart w:id="404" w:name="Tc_OYwYJ06C3USQRVXQcT0MFA_22_0"/>
      <w:bookmarkStart w:id="405" w:name="Tc_EP_D7RsHMUi5KByPtlFxgw_21_17"/>
      <w:bookmarkStart w:id="406" w:name="Tc_oSK36tbym0i1Uym0mUt9yA_21_14"/>
      <w:bookmarkStart w:id="407" w:name="Tc_bnaJ1YJ4dEKx84xIMCP8vg_21_11"/>
      <w:bookmarkStart w:id="408" w:name="Tc_ErKm8MMfN0ucW3_i4-n_1Q_21_8"/>
      <w:bookmarkStart w:id="409" w:name="Tc_WO7JaH6_eECqdCTGyNhnbQ_21_5"/>
      <w:bookmarkStart w:id="410" w:name="Tc_BE7d4oGr2U-Dkhszz-Rr-Q_21_0"/>
      <w:bookmarkStart w:id="411" w:name="Tc_LNzoOSVT3kuZi1UQCJlM-w_20_14"/>
      <w:bookmarkStart w:id="412" w:name="Tc__uriDJVilkWoTDLvRmTwbA_20_11"/>
      <w:bookmarkStart w:id="413" w:name="Tc_thU5mKZ-zkmTUbZ_95neNw_20_5"/>
      <w:bookmarkStart w:id="414" w:name="Tc_kzC_D-wXhUKP_LhlfJWQDg_20_0"/>
      <w:bookmarkStart w:id="415" w:name="Tc_vBxfuBLja0qFnNZdAzXeEw_19_14"/>
      <w:bookmarkStart w:id="416" w:name="Tc_0Wbkrs8aw0ennTUBWYvIqQ_19_11"/>
      <w:bookmarkStart w:id="417" w:name="Tc_1iDs4qZkB0q9ArMY_yqs9Q_19_5"/>
      <w:bookmarkStart w:id="418" w:name="Tc_zon0uZuddkSl8UfS96Vfcw_19_0"/>
      <w:bookmarkStart w:id="419" w:name="Tc_R8AnQGDF_0e2UklB9pN3KQ_18_14"/>
      <w:bookmarkStart w:id="420" w:name="Tc_x_g8T8wFuk2WgtUUZte14A_18_11"/>
      <w:bookmarkStart w:id="421" w:name="Tc_Cp8rgIHT6UKSuoMwhkqr9Q_18_0"/>
      <w:bookmarkStart w:id="422" w:name="Tc_6_vaMFiGL0W4G1fNqQUXJw_17_16"/>
      <w:bookmarkStart w:id="423" w:name="Tc_DNa-ihZ2ykmWEDJfgYOC4g_17_13"/>
      <w:bookmarkStart w:id="424" w:name="Tc_jCjJshGS_kKuhfskVUjWjA_17_11"/>
      <w:bookmarkStart w:id="425" w:name="Tc_pSNeh6Bzb0aJGFVtky02Ww_17_10"/>
      <w:bookmarkStart w:id="426" w:name="Tc_909hfj76YkKQzOeWihlFhw_17_7"/>
      <w:bookmarkStart w:id="427" w:name="Tc_pDP81OX8YEuTHy8sPqUi9A_17_4"/>
      <w:bookmarkStart w:id="428" w:name="Tc_JzhVdQ4Wq0CMH1dJXCXp7g_17_0"/>
      <w:bookmarkStart w:id="429" w:name="Tc_UY-kkvS5aUi3Q4mcWuwuOQ_16_11"/>
      <w:bookmarkStart w:id="430" w:name="Tc_qa2_nj7y6UuhHeT34PONDg_16_8"/>
      <w:bookmarkStart w:id="431" w:name="Tc_ZgAHxb601EGSPr4xHWnNFg_16_5"/>
      <w:bookmarkStart w:id="432" w:name="Tc_7XRNSicgRUWxGJ8CG8_y8A_16_2"/>
      <w:bookmarkStart w:id="433" w:name="Tc_PXoXNtihcUKVC2ZTWfzDEQ_16_0"/>
      <w:bookmarkStart w:id="434" w:name="Tc_X5jjRCQurkKMXjdR2h9sMA_15_14"/>
      <w:bookmarkStart w:id="435" w:name="Tc_3Tu3CUvLS027vjq62G9VVA_15_11"/>
      <w:bookmarkStart w:id="436" w:name="Tc_a9zDgEA_mkisG7xkFZUE7Q_15_5"/>
      <w:bookmarkStart w:id="437" w:name="Tc_-PkZocwiz0mfCpUFbgX-Pw_15_2"/>
      <w:bookmarkStart w:id="438" w:name="Tc_SbDG0tB9K0-ATz_vMr0Tew_15_0"/>
      <w:bookmarkStart w:id="439" w:name="Tc_gk-1KzeM5EGPaiFWJzl01Q_14_17"/>
      <w:bookmarkStart w:id="440" w:name="Tc_w72iXmVyokK9fs0DNteTQg_14_14"/>
      <w:bookmarkStart w:id="441" w:name="Tc_kZl_BsEWIE-54E2nrRtzNw_14_11"/>
      <w:bookmarkStart w:id="442" w:name="Tc_2YTyJO1FPUGig0EoM4zfhw_14_8"/>
      <w:bookmarkStart w:id="443" w:name="Tc_--erMd15oEu9w1yVuLWjEA_14_5"/>
      <w:bookmarkStart w:id="444" w:name="Tc_E6AlqGWdVUO1_u10h3TqjA_14_0"/>
      <w:bookmarkStart w:id="445" w:name="Tc_urf0po8ZWkuNXl7Do0NJRw_13_14"/>
      <w:bookmarkStart w:id="446" w:name="Tc_qTcOmFFlNESr0ajbhiivpg_13_11"/>
      <w:bookmarkStart w:id="447" w:name="Tc_5xMniZWvJU-ryrZyv9gqRg_13_5"/>
      <w:bookmarkStart w:id="448" w:name="Tc_o6ccUwyeAESCENDqGIR3ww_13_0"/>
      <w:bookmarkStart w:id="449" w:name="Tc_hCKtcVE85EarBiRbW06ndQ_12_14"/>
      <w:bookmarkStart w:id="450" w:name="Tc_CVBrHN8w3EWm-BAtDDu19A_12_11"/>
      <w:bookmarkStart w:id="451" w:name="Tc_TkmsIRGCTU-eXI8uh4wYOQ_12_5"/>
      <w:bookmarkStart w:id="452" w:name="Tc_1CQUl7kxAUCAL1xdnvUjlA_12_0"/>
      <w:bookmarkStart w:id="453" w:name="Tc_siVAuIqhlkq-k8GDDK9Kcw_11_16"/>
      <w:bookmarkStart w:id="454" w:name="Tc_ecYbmnfkfkCMmQQ3lG2Rfg_11_13"/>
      <w:bookmarkStart w:id="455" w:name="Tc_Si769y4W-EGeJaAx8B1mTA_11_11"/>
      <w:bookmarkStart w:id="456" w:name="Tc_7A7WAt5A40uoRhaDjaPA1Q_11_10"/>
      <w:bookmarkStart w:id="457" w:name="Tc_M39kBBcWYkykwYiGg81ZZg_11_7"/>
      <w:bookmarkStart w:id="458" w:name="Tc_Amqib7exSEGNuCKGvVtGeA_11_4"/>
      <w:bookmarkStart w:id="459" w:name="Tc_i2va12ZN-0So-L2R08pVFQ_11_0"/>
      <w:bookmarkStart w:id="460" w:name="Tc__XNm7LkPJ0m5FGTe-Zh5mQ_10_11"/>
      <w:bookmarkStart w:id="461" w:name="Tc_2zi9xlSkgkCc22qssrAafg_10_8"/>
      <w:bookmarkStart w:id="462" w:name="Tc_W8dsd8rXxky7zVJa2Sy1sA_10_5"/>
      <w:bookmarkStart w:id="463" w:name="Tc_tjFDTxIiU0qJ7df2HFip3w_10_2"/>
      <w:bookmarkStart w:id="464" w:name="Tc_HbfVjfIw_EKZ3YQOhK_Enw_10_0"/>
      <w:bookmarkStart w:id="465" w:name="Tc_Izn0Ah4x3kGfXiT1zY1ruQ_9_14"/>
      <w:bookmarkStart w:id="466" w:name="Tc_d_6V5Vk820muE3yj7dNElw_9_11"/>
      <w:bookmarkStart w:id="467" w:name="Tc_pNlTk1p27U2o0EnNsApKZw_9_5"/>
      <w:bookmarkStart w:id="468" w:name="Tc_CIIdArhTWk6rV9-0F9Zoqw_9_2"/>
      <w:bookmarkStart w:id="469" w:name="Tc_UeQGO-7e6U-C6uhDp04EsA_9_0"/>
      <w:bookmarkStart w:id="470" w:name="Tc_Nae7YnStpkOegwCFvHhOaA_8_17"/>
      <w:bookmarkStart w:id="471" w:name="Tc_2_I0AhxtaEqNbr0O3v_99w_8_14"/>
      <w:bookmarkStart w:id="472" w:name="Tc_xoBL0C6q7EiQB6m854y4Qw_8_11"/>
      <w:bookmarkStart w:id="473" w:name="Tc_n8yTRsnmt0yZsfTOzptuCg_8_0"/>
      <w:bookmarkStart w:id="474" w:name="Tc_kLKcxFa1YEig2RAKHlCPfg_7_14"/>
      <w:bookmarkStart w:id="475" w:name="Tc_eHSH0gCy90qlXUMi6U_3aQ_7_11"/>
      <w:bookmarkStart w:id="476" w:name="Tc_PwY89vmbV0SMWy8Fe95vgQ_7_5"/>
      <w:bookmarkStart w:id="477" w:name="Tc_0mKQwK-HLE6gierJ9CGVHw_7_0"/>
      <w:bookmarkStart w:id="478" w:name="Tc_3Qd1_tZVYU2GsbqI0AAxnA_6_14"/>
      <w:bookmarkStart w:id="479" w:name="Tc_JegNmLMf8Eean9altwtO1g_6_11"/>
      <w:bookmarkStart w:id="480" w:name="Tc_XKOD158L2kOnnIZNftiOhw_6_0"/>
      <w:bookmarkStart w:id="481" w:name="Tc_bvAUMyU_OEqzwG7JeN1Erw_5_16"/>
      <w:bookmarkStart w:id="482" w:name="Tc_uTnvFL85W0mx0kbfzoWQZw_5_13"/>
      <w:bookmarkStart w:id="483" w:name="Tc_9sb33TlzRkyw9a5E0p1fJQ_5_11"/>
      <w:bookmarkStart w:id="484" w:name="Tc_dyug7y_laUCVbZTPmyh7eA_5_10"/>
      <w:bookmarkStart w:id="485" w:name="Tc_thmxDkxzrE-SYNqdg6AsiQ_5_7"/>
      <w:bookmarkStart w:id="486" w:name="Tc_G0VIPjpr8Eae12Q29yBEag_5_4"/>
      <w:bookmarkStart w:id="487" w:name="Tc_isQW34G-7ESEBEKkO6k3Qg_5_0"/>
      <w:bookmarkStart w:id="488" w:name="Tc_bnzl-TrwxECGLwngabdmIQ_4_16"/>
      <w:bookmarkStart w:id="489" w:name="Tc_uOk71uZyfEqEu_aQft9wLA_4_13"/>
      <w:bookmarkStart w:id="490" w:name="Tc__q04FYkqAE2-HUr2l7DE6A_4_10"/>
      <w:bookmarkStart w:id="491" w:name="Tc_Aaf2eOXYN0izBbZwlSPN7A_4_7"/>
      <w:bookmarkStart w:id="492" w:name="Tc_ZxtF-8HdhEGN1S5arBOw6g_4_4"/>
      <w:bookmarkStart w:id="493" w:name="Tc_Bmkz2god90i7VIs9FCOZtQ_4_2"/>
      <w:bookmarkStart w:id="494" w:name="Tc_gyBIFgjGKkGLGMyaXox0qw_3_13"/>
      <w:bookmarkStart w:id="495" w:name="Tc_del9EaKSqEaUPsAU1WSLxg_3_10"/>
      <w:bookmarkStart w:id="496" w:name="Tc_AuxqiIRrjUCsJPwfXbqhAw_3_7"/>
      <w:bookmarkStart w:id="497" w:name="Tc_v779ffQUMUek__WCvIbYFw_3_2"/>
      <w:bookmarkStart w:id="498" w:name="Tc_iboummg4vEql6ren9U1XVg_2_10"/>
      <w:bookmarkStart w:id="499" w:name="Tc_ziXEwHLhWEC_oEQQfyQkJA_2_7"/>
      <w:bookmarkStart w:id="500" w:name="Tc_dTbEbitZS0KQtxUOeNGHmw_1_10"/>
      <w:bookmarkStart w:id="501" w:name="_2e7e20a5_a451_4611_9878_0bb7a6619791"/>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tbl>
      <w:tblPr>
        <w:tblW w:w="10205" w:type="dxa"/>
        <w:jc w:val="left"/>
        <w:tblInd w:w="0" w:type="dxa"/>
        <w:tblLayout w:type="fixed"/>
        <w:tblCellMar>
          <w:top w:w="0" w:type="dxa"/>
          <w:left w:w="0" w:type="dxa"/>
          <w:bottom w:w="0" w:type="dxa"/>
          <w:right w:w="0" w:type="dxa"/>
        </w:tblCellMar>
      </w:tblPr>
      <w:tblGrid>
        <w:gridCol w:w="2721"/>
        <w:gridCol w:w="326"/>
        <w:gridCol w:w="688"/>
        <w:gridCol w:w="326"/>
        <w:gridCol w:w="230"/>
        <w:gridCol w:w="462"/>
        <w:gridCol w:w="326"/>
        <w:gridCol w:w="211"/>
        <w:gridCol w:w="793"/>
        <w:gridCol w:w="326"/>
        <w:gridCol w:w="460"/>
        <w:gridCol w:w="756"/>
        <w:gridCol w:w="326"/>
        <w:gridCol w:w="211"/>
        <w:gridCol w:w="583"/>
        <w:gridCol w:w="326"/>
        <w:gridCol w:w="223"/>
        <w:gridCol w:w="911"/>
      </w:tblGrid>
      <w:tr>
        <w:trPr/>
        <w:tc>
          <w:tcPr>
            <w:tcW w:w="2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6880" cy="175260"/>
                      <wp:effectExtent l="0" t="0" r="0" b="0"/>
                      <wp:wrapNone/>
                      <wp:docPr id="27" name="Frame2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3370" cy="175260"/>
                      <wp:effectExtent l="0" t="0" r="0" b="0"/>
                      <wp:wrapNone/>
                      <wp:docPr id="30" name="Frame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3555" cy="175260"/>
                      <wp:effectExtent l="0" t="0" r="0" b="0"/>
                      <wp:wrapNone/>
                      <wp:docPr id="33" name="Frame3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2100" cy="175260"/>
                      <wp:effectExtent l="0" t="0" r="0" b="0"/>
                      <wp:wrapNone/>
                      <wp:docPr id="35" name="Frame35"/>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80060" cy="175260"/>
                      <wp:effectExtent l="0" t="0" r="0" b="0"/>
                      <wp:wrapNone/>
                      <wp:docPr id="36" name="Frame3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70205" cy="175260"/>
                      <wp:effectExtent l="0" t="0" r="0" b="0"/>
                      <wp:wrapNone/>
                      <wp:docPr id="39" name="Frame39"/>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1605" cy="175260"/>
                      <wp:effectExtent l="0" t="0" r="0" b="0"/>
                      <wp:wrapNone/>
                      <wp:docPr id="41" name="Frame4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8485" cy="175260"/>
                      <wp:effectExtent l="0" t="0" r="0" b="0"/>
                      <wp:wrapNone/>
                      <wp:docPr id="42" name="Frame4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2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794"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center"/>
              <w:rPr/>
            </w:pPr>
            <w:r>
              <w:rPr/>
              <w:t>​</w:t>
            </w:r>
          </w:p>
        </w:tc>
      </w:tr>
      <w:tr>
        <w:trPr/>
        <w:tc>
          <w:tcPr>
            <w:tcW w:w="2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7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center"/>
              <w:rPr/>
            </w:pPr>
            <w:r>
              <w:rPr/>
              <w:t>​</w:t>
            </w:r>
          </w:p>
        </w:tc>
      </w:tr>
      <w:tr>
        <w:trPr/>
        <w:tc>
          <w:tcPr>
            <w:tcW w:w="2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13,296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177,718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3,651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181,502 </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13,489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180,517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4,583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185,235 </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13,504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181,747 </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4,980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186,862 </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2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29, 2023</w:t>
            </w:r>
          </w:p>
        </w:tc>
        <w:tc>
          <w:tcPr>
            <w:tcW w:w="326" w:type="dxa"/>
            <w:tcBorders/>
            <w:vAlign w:val="center"/>
          </w:tcPr>
          <w:p>
            <w:pPr>
              <w:pStyle w:val="TableContents"/>
              <w:bidi w:val="0"/>
              <w:spacing w:before="0" w:after="0"/>
              <w:ind w:left="0" w:right="0" w:hanging="0"/>
              <w:jc w:val="left"/>
              <w:rPr/>
            </w:pPr>
            <w:r>
              <w:rPr/>
              <w:t> </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13,647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184,391 </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6,546 </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191,073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02" w:name="Tc_z3cV3d--JUKT_BHo2wWswQ_27_16"/>
      <w:bookmarkStart w:id="503" w:name="Tc_m3jnZzJ9YkuwOJEr2akd6g_27_13"/>
      <w:bookmarkStart w:id="504" w:name="Tc_G6wVgyovkU2swZw8h54sGQ_27_11"/>
      <w:bookmarkStart w:id="505" w:name="Tc_otdGcBvT_kSWkjW0ix5hxg_27_10"/>
      <w:bookmarkStart w:id="506" w:name="Tc_pn06KJ-iY0WnHKkpi7F0Fw_27_7"/>
      <w:bookmarkStart w:id="507" w:name="Tc_cAkqPy1PF0-c3zrSiyFCpA_27_4"/>
      <w:bookmarkStart w:id="508" w:name="Tc_26ykAbjS1066lAr2W7tVNA_27_0"/>
      <w:bookmarkStart w:id="509" w:name="Tc_AFso2P-McEKJTLIOzyIvYA_26_11"/>
      <w:bookmarkStart w:id="510" w:name="Tc_m4DTYObtAUeOIDwi-z9HPQ_26_8"/>
      <w:bookmarkStart w:id="511" w:name="Tc_n7KuaRCUIUKn2QoOtDI76A_26_5"/>
      <w:bookmarkStart w:id="512" w:name="Tc_uXplS_GKhkeTFwqIahKRcw_26_2"/>
      <w:bookmarkStart w:id="513" w:name="Tc_NQlAuJw_w0-WABnjlmMwSg_26_0"/>
      <w:bookmarkStart w:id="514" w:name="Tc_nu7vH-43ekSypJSN2TSjYw_25_14"/>
      <w:bookmarkStart w:id="515" w:name="Tc_Qvk_EnI6OUyBFPcXxQD3cA_25_11"/>
      <w:bookmarkStart w:id="516" w:name="Tc_ohJb8qAuX0mO-WX8prgEcQ_25_5"/>
      <w:bookmarkStart w:id="517" w:name="Tc_pzYeRJyVwESJEDz2DpXq5Q_25_2"/>
      <w:bookmarkStart w:id="518" w:name="Tc_LA-9LQfJR0WjsowtMX9HJA_25_0"/>
      <w:bookmarkStart w:id="519" w:name="Tc_cjykvf1HU0CmVUtlC2FhJQ_24_17"/>
      <w:bookmarkStart w:id="520" w:name="Tc_HCXflroYGE6WyLLRzPoH5Q_24_14"/>
      <w:bookmarkStart w:id="521" w:name="Tc_ZE__NZkzVEK1AWg3_WYKkA_24_11"/>
      <w:bookmarkStart w:id="522" w:name="Tc_YglXhjQkdEW5UQas-D45VQ_24_8"/>
      <w:bookmarkStart w:id="523" w:name="Tc_38PbFTUejUawasJrUKXbPw_24_5"/>
      <w:bookmarkStart w:id="524" w:name="Tc_d2QQQdOQGkid173u9_EH8Q_24_0"/>
      <w:bookmarkStart w:id="525" w:name="Tc_0rlF8wWiBkeYnO_WDqaIVg_23_14"/>
      <w:bookmarkStart w:id="526" w:name="Tc_h9c9OtqdD0uR-2IjxhDrmA_23_11"/>
      <w:bookmarkStart w:id="527" w:name="Tc_L6p1czOTRUSMOQ_yoKSjTA_23_5"/>
      <w:bookmarkStart w:id="528" w:name="Tc_BmSv2Ot3E0-oCv0Y2adpxQ_23_2"/>
      <w:bookmarkStart w:id="529" w:name="Tc_F9rmOckrnUedPuhPyyLTYw_23_0"/>
      <w:bookmarkStart w:id="530" w:name="Tc_ILYOR_zVJUqB9VVHv_ezPA_22_14"/>
      <w:bookmarkStart w:id="531" w:name="Tc_90FlFyNuK06jrEJBU4XiZA_22_11"/>
      <w:bookmarkStart w:id="532" w:name="Tc_MebS1bg47kifNAc7rfy_VA_22_5"/>
      <w:bookmarkStart w:id="533" w:name="Tc_U2A2GCYiM0uG4T0YPIFotg_22_0"/>
      <w:bookmarkStart w:id="534" w:name="Tc_tPErLTANOUCiYLqPR-_Wfg_21_14"/>
      <w:bookmarkStart w:id="535" w:name="Tc_Z1BuBiuFjUCnPykep_O1_w_21_11"/>
      <w:bookmarkStart w:id="536" w:name="Tc_qqvfCHsuB0ur6C1IelNXSw_21_0"/>
      <w:bookmarkStart w:id="537" w:name="Tc_GPCKo8Vw70a_QZiytltqAA_20_16"/>
      <w:bookmarkStart w:id="538" w:name="Tc_xZfilbhabkCHJvNN4UKgMQ_20_13"/>
      <w:bookmarkStart w:id="539" w:name="Tc_Whz0XIPfO0SPpMemydD51A_20_11"/>
      <w:bookmarkStart w:id="540" w:name="Tc_iIHe-Bi98kmLwJ9tntTJGQ_20_10"/>
      <w:bookmarkStart w:id="541" w:name="Tc_vhoNhhaHNESFolkweHK1Ng_20_7"/>
      <w:bookmarkStart w:id="542" w:name="Tc_MFdUKEbx00eh0eyneOdtng_20_4"/>
      <w:bookmarkStart w:id="543" w:name="Tc_yYyKeopC1UyEW2hMrD-TTA_20_0"/>
      <w:bookmarkStart w:id="544" w:name="Tc_nTTddgXLvUKdTudLz1fCzg_19_11"/>
      <w:bookmarkStart w:id="545" w:name="Tc_Jwqw20hk1kS-WnSXDrDV_w_19_8"/>
      <w:bookmarkStart w:id="546" w:name="Tc_EYfsIV9510aYCvGVkcggvg_19_5"/>
      <w:bookmarkStart w:id="547" w:name="Tc_UkLB4ByGmEi0HI3jcNkJhQ_19_2"/>
      <w:bookmarkStart w:id="548" w:name="Tc_lSlD6umk-UqW7rDf_S52tA_19_0"/>
      <w:bookmarkStart w:id="549" w:name="Tc_Y_m_VjrW8UWMeNiRwSZN4A_18_14"/>
      <w:bookmarkStart w:id="550" w:name="Tc_YxhXMs9l0EaRWf-JQAWQ3w_18_11"/>
      <w:bookmarkStart w:id="551" w:name="Tc_K6vDBn4DIE2a6zg3rNN6qQ_18_5"/>
      <w:bookmarkStart w:id="552" w:name="Tc_b6q-dWOQhEevu0DNEPJb_g_18_2"/>
      <w:bookmarkStart w:id="553" w:name="Tc_6mx4YDJX6Em202OwNDDKfw_18_0"/>
      <w:bookmarkStart w:id="554" w:name="Tc_lSSBDLdcukG6Ri6Nwy4PHQ_17_17"/>
      <w:bookmarkStart w:id="555" w:name="Tc_MPP3DLE0lEivykI7ThOYHA_17_14"/>
      <w:bookmarkStart w:id="556" w:name="Tc_qpOnuCGjt0eIo45dQAl7oQ_17_11"/>
      <w:bookmarkStart w:id="557" w:name="Tc_F5YYMZdOO0yn1G98VK-Tjg_17_8"/>
      <w:bookmarkStart w:id="558" w:name="Tc_BCJ8K8rAiUCWC0LkCm-Czg_17_5"/>
      <w:bookmarkStart w:id="559" w:name="Tc_kT6K50ndQk2NlA0Tj_lUCg_17_0"/>
      <w:bookmarkStart w:id="560" w:name="Tc_7pdfUhXYtkyzH54RHDG2CA_16_14"/>
      <w:bookmarkStart w:id="561" w:name="Tc_Y5s12w1D2UWC61K17KQG1A_16_11"/>
      <w:bookmarkStart w:id="562" w:name="Tc_FoEuOy1KIkOqww7XNzCBUg_16_5"/>
      <w:bookmarkStart w:id="563" w:name="Tc_Z89kjLSGHUCquax1pc0DRg_16_0"/>
      <w:bookmarkStart w:id="564" w:name="Tc_nDSc-RmsOE2kzJPqOHaScg_15_17"/>
      <w:bookmarkStart w:id="565" w:name="Tc_FZGGsxyVI0yIEccvSgH_cw_15_14"/>
      <w:bookmarkStart w:id="566" w:name="Tc_zqrleeAOvkmnOC7Q1_pQQA_15_11"/>
      <w:bookmarkStart w:id="567" w:name="Tc_DLGCmYfFhkqHyCVFUwB4YA_15_8"/>
      <w:bookmarkStart w:id="568" w:name="Tc_XPrX-ur2i0OGSS8F12qQCQ_15_5"/>
      <w:bookmarkStart w:id="569" w:name="Tc_nfNak_hWk0ua82kZgCLcgg_15_2"/>
      <w:bookmarkStart w:id="570" w:name="Tc_L-LTEY0cM0uzLA-T6VGN1Q_15_0"/>
      <w:bookmarkStart w:id="571" w:name="Tc_3GMv-0qybUesPAL3X2wANA_14_17"/>
      <w:bookmarkStart w:id="572" w:name="Tc_JBy7jOWIKE2ZJKzLbBXNuA_14_14"/>
      <w:bookmarkStart w:id="573" w:name="Tc_3KPIc1ri-0--f-7ZBAf15w_14_11"/>
      <w:bookmarkStart w:id="574" w:name="Tc_hDObUCeAdU2Xg1UlSz63JQ_14_8"/>
      <w:bookmarkStart w:id="575" w:name="Tc_khxEAlpDr0mRs9SzmQXjeA_14_5"/>
      <w:bookmarkStart w:id="576" w:name="Tc_Idin8LJ8-kaRZcjCdDsmBg_14_2"/>
      <w:bookmarkStart w:id="577" w:name="Tc_bs3F1Qv-i0yDEjiuYieJRQ_14_0"/>
      <w:bookmarkStart w:id="578" w:name="Tc_2qmqrYBPIEW5DXAbmKrWsw_13_16"/>
      <w:bookmarkStart w:id="579" w:name="Tc_n5HPADSvd0-xBZ-PHPtZNA_13_13"/>
      <w:bookmarkStart w:id="580" w:name="Tc_t0SNlL-cN0m2yoIZPW9h3Q_13_11"/>
      <w:bookmarkStart w:id="581" w:name="Tc_G9W9_SxNW06oe6ZP3PmyKA_13_10"/>
      <w:bookmarkStart w:id="582" w:name="Tc_WqxgQqY-ZkWos0tVBmg8_Q_13_7"/>
      <w:bookmarkStart w:id="583" w:name="Tc_vxrxcdZbuEqWGIPDsrGn9Q_13_4"/>
      <w:bookmarkStart w:id="584" w:name="Tc_pxozqXKhOkOHwC2q7d-AMw_13_0"/>
      <w:bookmarkStart w:id="585" w:name="Tc_wHPDgF22e0yskMVhgkmLZA_12_14"/>
      <w:bookmarkStart w:id="586" w:name="Tc_4YVXjZ0cgUK346mr2R2Uag_12_8"/>
      <w:bookmarkStart w:id="587" w:name="Tc_U25YXyV0X0GiOoKaDjBnxg_12_5"/>
      <w:bookmarkStart w:id="588" w:name="Tc_95tRHHO8_0yGD4Myw8Kqnw_12_2"/>
      <w:bookmarkStart w:id="589" w:name="Tc_3Z74CayuTE6KaR1_xBCVcg_12_0"/>
      <w:bookmarkStart w:id="590" w:name="Tc_1WXMOnXinUabu1O2pfVG-A_11_11"/>
      <w:bookmarkStart w:id="591" w:name="Tc_duL9fnA3HESGq3jhjQRveQ_11_8"/>
      <w:bookmarkStart w:id="592" w:name="Tc_-upx4wvo8EWkcPw4z-WmcA_11_5"/>
      <w:bookmarkStart w:id="593" w:name="Tc_DUCX8QO1G0-cbd6VnVdysA_11_2"/>
      <w:bookmarkStart w:id="594" w:name="Tc_S29ijKhOVkKCoFSUMmoZfQ_11_0"/>
      <w:bookmarkStart w:id="595" w:name="Tc_yKaTfVEDIEajywrwjJ095A_10_14"/>
      <w:bookmarkStart w:id="596" w:name="Tc_TmGLt-86w0qZEIPDqvhSsA_10_11"/>
      <w:bookmarkStart w:id="597" w:name="Tc_458S7H7JK0-Btl6TOSWetQ_10_5"/>
      <w:bookmarkStart w:id="598" w:name="Tc_KtrIoSW6oE2pnDNjKKZ4DA_10_2"/>
      <w:bookmarkStart w:id="599" w:name="Tc_ETfU8LPowUCduMO65fB_SQ_10_0"/>
      <w:bookmarkStart w:id="600" w:name="Tc_E1ZCHtmkYEmxeTFVNXVyCQ_9_17"/>
      <w:bookmarkStart w:id="601" w:name="Tc_XNBY8HI0REafTbWZvy5yJA_9_14"/>
      <w:bookmarkStart w:id="602" w:name="Tc_1PQAfKR53EaU5v1H4Rt2NQ_9_11"/>
      <w:bookmarkStart w:id="603" w:name="Tc__8B-WXNEuEWTc58iFGMCTw_9_0"/>
      <w:bookmarkStart w:id="604" w:name="Tc_TYYUCVv7OEO3xqTVtFwmPQ_8_14"/>
      <w:bookmarkStart w:id="605" w:name="Tc_BzkLz6rdckisHd153bQvYA_8_11"/>
      <w:bookmarkStart w:id="606" w:name="Tc_0U7AWZQq4UG2dpbiKfg6Rg_8_5"/>
      <w:bookmarkStart w:id="607" w:name="Tc_Moxw76KfckmwtGDAmuscFQ_8_0"/>
      <w:bookmarkStart w:id="608" w:name="Tc_HlUUWwtVn0ybsYLrSofxDw_7_14"/>
      <w:bookmarkStart w:id="609" w:name="Tc_gsekzX8_V0OkHR-9YP0u1A_7_11"/>
      <w:bookmarkStart w:id="610" w:name="Tc_Y3wsmQWlfkmrP4ilhKHeag_7_5"/>
      <w:bookmarkStart w:id="611" w:name="Tc_Z5X6GLeApE-7WvyKxD47Kg_7_0"/>
      <w:bookmarkStart w:id="612" w:name="Tc_5jjW2sulmE2A-AyIWp3o-A_6_14"/>
      <w:bookmarkStart w:id="613" w:name="Tc_MXP2Q9Kdb0aQ6dlcVhozng_6_11"/>
      <w:bookmarkStart w:id="614" w:name="Tc_O5ezwyFu50G5xZPQdjsNKA_6_0"/>
      <w:bookmarkStart w:id="615" w:name="Tc_7XlDNcld1k2pSYfrFgL2EA_5_16"/>
      <w:bookmarkStart w:id="616" w:name="Tc_l7kiTYt8-kW201rR4BRYmA_5_13"/>
      <w:bookmarkStart w:id="617" w:name="Tc_9CGF70niK0mGqRQP-MYszw_5_10"/>
      <w:bookmarkStart w:id="618" w:name="Tc_klBYYGxUn0CXCwUzXldg_Q_5_7"/>
      <w:bookmarkStart w:id="619" w:name="Tc_xbdcKq3b5UiM0ZqZ1psGdg_5_4"/>
      <w:bookmarkStart w:id="620" w:name="Tc_tCAGS0h8V0O_1HvIdKpc4Q_5_0"/>
      <w:bookmarkStart w:id="621" w:name="Tc_rWHT0_aXhUWqVGrkNZO1oQ_4_16"/>
      <w:bookmarkStart w:id="622" w:name="Tc_WEqpO5PnAkKGIUm4_MkFDQ_4_13"/>
      <w:bookmarkStart w:id="623" w:name="Tc_PLGTtiPrvkadvwEjOKdyJQ_4_10"/>
      <w:bookmarkStart w:id="624" w:name="Tc_PobzG-u7f0ODmOAb9vbcuA_4_7"/>
      <w:bookmarkStart w:id="625" w:name="Tc_pCu2LnvdWk-gyAhtfVE6cA_4_4"/>
      <w:bookmarkStart w:id="626" w:name="Tc_Ti1Ty-r3yEO4L0TqRfbh0g_4_2"/>
      <w:bookmarkStart w:id="627" w:name="Tc_VZZx_QP4p022yRO_3NBz0Q_3_13"/>
      <w:bookmarkStart w:id="628" w:name="Tc_Jajpy_6FukadULISIUsEhA_3_10"/>
      <w:bookmarkStart w:id="629" w:name="Tc_B_n6EDFOtk2vf18pFFo0mA_3_7"/>
      <w:bookmarkStart w:id="630" w:name="Tc_14RifLNsAEmWiT-sHDs7iA_3_2"/>
      <w:bookmarkStart w:id="631" w:name="Tc_wIrp5BLk_0-BIPzaB_Kv-g_2_10"/>
      <w:bookmarkStart w:id="632" w:name="Tc_GtCac92i20aDmN2JowhnOQ_2_7"/>
      <w:bookmarkStart w:id="633" w:name="Tc_SgkutoaMfEiL-oNKXracCw_1_10"/>
      <w:bookmarkStart w:id="634" w:name="_3030306c_de9d_4eb6_bb95_3940f3be0f05"/>
      <w:bookmarkStart w:id="635" w:name="Tc_z3cV3d--JUKT_BHo2wWswQ_27_16"/>
      <w:bookmarkStart w:id="636" w:name="Tc_m3jnZzJ9YkuwOJEr2akd6g_27_13"/>
      <w:bookmarkStart w:id="637" w:name="Tc_G6wVgyovkU2swZw8h54sGQ_27_11"/>
      <w:bookmarkStart w:id="638" w:name="Tc_otdGcBvT_kSWkjW0ix5hxg_27_10"/>
      <w:bookmarkStart w:id="639" w:name="Tc_pn06KJ-iY0WnHKkpi7F0Fw_27_7"/>
      <w:bookmarkStart w:id="640" w:name="Tc_cAkqPy1PF0-c3zrSiyFCpA_27_4"/>
      <w:bookmarkStart w:id="641" w:name="Tc_26ykAbjS1066lAr2W7tVNA_27_0"/>
      <w:bookmarkStart w:id="642" w:name="Tc_AFso2P-McEKJTLIOzyIvYA_26_11"/>
      <w:bookmarkStart w:id="643" w:name="Tc_m4DTYObtAUeOIDwi-z9HPQ_26_8"/>
      <w:bookmarkStart w:id="644" w:name="Tc_n7KuaRCUIUKn2QoOtDI76A_26_5"/>
      <w:bookmarkStart w:id="645" w:name="Tc_uXplS_GKhkeTFwqIahKRcw_26_2"/>
      <w:bookmarkStart w:id="646" w:name="Tc_NQlAuJw_w0-WABnjlmMwSg_26_0"/>
      <w:bookmarkStart w:id="647" w:name="Tc_nu7vH-43ekSypJSN2TSjYw_25_14"/>
      <w:bookmarkStart w:id="648" w:name="Tc_Qvk_EnI6OUyBFPcXxQD3cA_25_11"/>
      <w:bookmarkStart w:id="649" w:name="Tc_ohJb8qAuX0mO-WX8prgEcQ_25_5"/>
      <w:bookmarkStart w:id="650" w:name="Tc_pzYeRJyVwESJEDz2DpXq5Q_25_2"/>
      <w:bookmarkStart w:id="651" w:name="Tc_LA-9LQfJR0WjsowtMX9HJA_25_0"/>
      <w:bookmarkStart w:id="652" w:name="Tc_cjykvf1HU0CmVUtlC2FhJQ_24_17"/>
      <w:bookmarkStart w:id="653" w:name="Tc_HCXflroYGE6WyLLRzPoH5Q_24_14"/>
      <w:bookmarkStart w:id="654" w:name="Tc_ZE__NZkzVEK1AWg3_WYKkA_24_11"/>
      <w:bookmarkStart w:id="655" w:name="Tc_YglXhjQkdEW5UQas-D45VQ_24_8"/>
      <w:bookmarkStart w:id="656" w:name="Tc_38PbFTUejUawasJrUKXbPw_24_5"/>
      <w:bookmarkStart w:id="657" w:name="Tc_d2QQQdOQGkid173u9_EH8Q_24_0"/>
      <w:bookmarkStart w:id="658" w:name="Tc_0rlF8wWiBkeYnO_WDqaIVg_23_14"/>
      <w:bookmarkStart w:id="659" w:name="Tc_h9c9OtqdD0uR-2IjxhDrmA_23_11"/>
      <w:bookmarkStart w:id="660" w:name="Tc_L6p1czOTRUSMOQ_yoKSjTA_23_5"/>
      <w:bookmarkStart w:id="661" w:name="Tc_BmSv2Ot3E0-oCv0Y2adpxQ_23_2"/>
      <w:bookmarkStart w:id="662" w:name="Tc_F9rmOckrnUedPuhPyyLTYw_23_0"/>
      <w:bookmarkStart w:id="663" w:name="Tc_ILYOR_zVJUqB9VVHv_ezPA_22_14"/>
      <w:bookmarkStart w:id="664" w:name="Tc_90FlFyNuK06jrEJBU4XiZA_22_11"/>
      <w:bookmarkStart w:id="665" w:name="Tc_MebS1bg47kifNAc7rfy_VA_22_5"/>
      <w:bookmarkStart w:id="666" w:name="Tc_U2A2GCYiM0uG4T0YPIFotg_22_0"/>
      <w:bookmarkStart w:id="667" w:name="Tc_tPErLTANOUCiYLqPR-_Wfg_21_14"/>
      <w:bookmarkStart w:id="668" w:name="Tc_Z1BuBiuFjUCnPykep_O1_w_21_11"/>
      <w:bookmarkStart w:id="669" w:name="Tc_qqvfCHsuB0ur6C1IelNXSw_21_0"/>
      <w:bookmarkStart w:id="670" w:name="Tc_GPCKo8Vw70a_QZiytltqAA_20_16"/>
      <w:bookmarkStart w:id="671" w:name="Tc_xZfilbhabkCHJvNN4UKgMQ_20_13"/>
      <w:bookmarkStart w:id="672" w:name="Tc_Whz0XIPfO0SPpMemydD51A_20_11"/>
      <w:bookmarkStart w:id="673" w:name="Tc_iIHe-Bi98kmLwJ9tntTJGQ_20_10"/>
      <w:bookmarkStart w:id="674" w:name="Tc_vhoNhhaHNESFolkweHK1Ng_20_7"/>
      <w:bookmarkStart w:id="675" w:name="Tc_MFdUKEbx00eh0eyneOdtng_20_4"/>
      <w:bookmarkStart w:id="676" w:name="Tc_yYyKeopC1UyEW2hMrD-TTA_20_0"/>
      <w:bookmarkStart w:id="677" w:name="Tc_nTTddgXLvUKdTudLz1fCzg_19_11"/>
      <w:bookmarkStart w:id="678" w:name="Tc_Jwqw20hk1kS-WnSXDrDV_w_19_8"/>
      <w:bookmarkStart w:id="679" w:name="Tc_EYfsIV9510aYCvGVkcggvg_19_5"/>
      <w:bookmarkStart w:id="680" w:name="Tc_UkLB4ByGmEi0HI3jcNkJhQ_19_2"/>
      <w:bookmarkStart w:id="681" w:name="Tc_lSlD6umk-UqW7rDf_S52tA_19_0"/>
      <w:bookmarkStart w:id="682" w:name="Tc_Y_m_VjrW8UWMeNiRwSZN4A_18_14"/>
      <w:bookmarkStart w:id="683" w:name="Tc_YxhXMs9l0EaRWf-JQAWQ3w_18_11"/>
      <w:bookmarkStart w:id="684" w:name="Tc_K6vDBn4DIE2a6zg3rNN6qQ_18_5"/>
      <w:bookmarkStart w:id="685" w:name="Tc_b6q-dWOQhEevu0DNEPJb_g_18_2"/>
      <w:bookmarkStart w:id="686" w:name="Tc_6mx4YDJX6Em202OwNDDKfw_18_0"/>
      <w:bookmarkStart w:id="687" w:name="Tc_lSSBDLdcukG6Ri6Nwy4PHQ_17_17"/>
      <w:bookmarkStart w:id="688" w:name="Tc_MPP3DLE0lEivykI7ThOYHA_17_14"/>
      <w:bookmarkStart w:id="689" w:name="Tc_qpOnuCGjt0eIo45dQAl7oQ_17_11"/>
      <w:bookmarkStart w:id="690" w:name="Tc_F5YYMZdOO0yn1G98VK-Tjg_17_8"/>
      <w:bookmarkStart w:id="691" w:name="Tc_BCJ8K8rAiUCWC0LkCm-Czg_17_5"/>
      <w:bookmarkStart w:id="692" w:name="Tc_kT6K50ndQk2NlA0Tj_lUCg_17_0"/>
      <w:bookmarkStart w:id="693" w:name="Tc_7pdfUhXYtkyzH54RHDG2CA_16_14"/>
      <w:bookmarkStart w:id="694" w:name="Tc_Y5s12w1D2UWC61K17KQG1A_16_11"/>
      <w:bookmarkStart w:id="695" w:name="Tc_FoEuOy1KIkOqww7XNzCBUg_16_5"/>
      <w:bookmarkStart w:id="696" w:name="Tc_Z89kjLSGHUCquax1pc0DRg_16_0"/>
      <w:bookmarkStart w:id="697" w:name="Tc_nDSc-RmsOE2kzJPqOHaScg_15_17"/>
      <w:bookmarkStart w:id="698" w:name="Tc_FZGGsxyVI0yIEccvSgH_cw_15_14"/>
      <w:bookmarkStart w:id="699" w:name="Tc_zqrleeAOvkmnOC7Q1_pQQA_15_11"/>
      <w:bookmarkStart w:id="700" w:name="Tc_DLGCmYfFhkqHyCVFUwB4YA_15_8"/>
      <w:bookmarkStart w:id="701" w:name="Tc_XPrX-ur2i0OGSS8F12qQCQ_15_5"/>
      <w:bookmarkStart w:id="702" w:name="Tc_nfNak_hWk0ua82kZgCLcgg_15_2"/>
      <w:bookmarkStart w:id="703" w:name="Tc_L-LTEY0cM0uzLA-T6VGN1Q_15_0"/>
      <w:bookmarkStart w:id="704" w:name="Tc_3GMv-0qybUesPAL3X2wANA_14_17"/>
      <w:bookmarkStart w:id="705" w:name="Tc_JBy7jOWIKE2ZJKzLbBXNuA_14_14"/>
      <w:bookmarkStart w:id="706" w:name="Tc_3KPIc1ri-0--f-7ZBAf15w_14_11"/>
      <w:bookmarkStart w:id="707" w:name="Tc_hDObUCeAdU2Xg1UlSz63JQ_14_8"/>
      <w:bookmarkStart w:id="708" w:name="Tc_khxEAlpDr0mRs9SzmQXjeA_14_5"/>
      <w:bookmarkStart w:id="709" w:name="Tc_Idin8LJ8-kaRZcjCdDsmBg_14_2"/>
      <w:bookmarkStart w:id="710" w:name="Tc_bs3F1Qv-i0yDEjiuYieJRQ_14_0"/>
      <w:bookmarkStart w:id="711" w:name="Tc_2qmqrYBPIEW5DXAbmKrWsw_13_16"/>
      <w:bookmarkStart w:id="712" w:name="Tc_n5HPADSvd0-xBZ-PHPtZNA_13_13"/>
      <w:bookmarkStart w:id="713" w:name="Tc_t0SNlL-cN0m2yoIZPW9h3Q_13_11"/>
      <w:bookmarkStart w:id="714" w:name="Tc_G9W9_SxNW06oe6ZP3PmyKA_13_10"/>
      <w:bookmarkStart w:id="715" w:name="Tc_WqxgQqY-ZkWos0tVBmg8_Q_13_7"/>
      <w:bookmarkStart w:id="716" w:name="Tc_vxrxcdZbuEqWGIPDsrGn9Q_13_4"/>
      <w:bookmarkStart w:id="717" w:name="Tc_pxozqXKhOkOHwC2q7d-AMw_13_0"/>
      <w:bookmarkStart w:id="718" w:name="Tc_wHPDgF22e0yskMVhgkmLZA_12_14"/>
      <w:bookmarkStart w:id="719" w:name="Tc_4YVXjZ0cgUK346mr2R2Uag_12_8"/>
      <w:bookmarkStart w:id="720" w:name="Tc_U25YXyV0X0GiOoKaDjBnxg_12_5"/>
      <w:bookmarkStart w:id="721" w:name="Tc_95tRHHO8_0yGD4Myw8Kqnw_12_2"/>
      <w:bookmarkStart w:id="722" w:name="Tc_3Z74CayuTE6KaR1_xBCVcg_12_0"/>
      <w:bookmarkStart w:id="723" w:name="Tc_1WXMOnXinUabu1O2pfVG-A_11_11"/>
      <w:bookmarkStart w:id="724" w:name="Tc_duL9fnA3HESGq3jhjQRveQ_11_8"/>
      <w:bookmarkStart w:id="725" w:name="Tc_-upx4wvo8EWkcPw4z-WmcA_11_5"/>
      <w:bookmarkStart w:id="726" w:name="Tc_DUCX8QO1G0-cbd6VnVdysA_11_2"/>
      <w:bookmarkStart w:id="727" w:name="Tc_S29ijKhOVkKCoFSUMmoZfQ_11_0"/>
      <w:bookmarkStart w:id="728" w:name="Tc_yKaTfVEDIEajywrwjJ095A_10_14"/>
      <w:bookmarkStart w:id="729" w:name="Tc_TmGLt-86w0qZEIPDqvhSsA_10_11"/>
      <w:bookmarkStart w:id="730" w:name="Tc_458S7H7JK0-Btl6TOSWetQ_10_5"/>
      <w:bookmarkStart w:id="731" w:name="Tc_KtrIoSW6oE2pnDNjKKZ4DA_10_2"/>
      <w:bookmarkStart w:id="732" w:name="Tc_ETfU8LPowUCduMO65fB_SQ_10_0"/>
      <w:bookmarkStart w:id="733" w:name="Tc_E1ZCHtmkYEmxeTFVNXVyCQ_9_17"/>
      <w:bookmarkStart w:id="734" w:name="Tc_XNBY8HI0REafTbWZvy5yJA_9_14"/>
      <w:bookmarkStart w:id="735" w:name="Tc_1PQAfKR53EaU5v1H4Rt2NQ_9_11"/>
      <w:bookmarkStart w:id="736" w:name="Tc__8B-WXNEuEWTc58iFGMCTw_9_0"/>
      <w:bookmarkStart w:id="737" w:name="Tc_TYYUCVv7OEO3xqTVtFwmPQ_8_14"/>
      <w:bookmarkStart w:id="738" w:name="Tc_BzkLz6rdckisHd153bQvYA_8_11"/>
      <w:bookmarkStart w:id="739" w:name="Tc_0U7AWZQq4UG2dpbiKfg6Rg_8_5"/>
      <w:bookmarkStart w:id="740" w:name="Tc_Moxw76KfckmwtGDAmuscFQ_8_0"/>
      <w:bookmarkStart w:id="741" w:name="Tc_HlUUWwtVn0ybsYLrSofxDw_7_14"/>
      <w:bookmarkStart w:id="742" w:name="Tc_gsekzX8_V0OkHR-9YP0u1A_7_11"/>
      <w:bookmarkStart w:id="743" w:name="Tc_Y3wsmQWlfkmrP4ilhKHeag_7_5"/>
      <w:bookmarkStart w:id="744" w:name="Tc_Z5X6GLeApE-7WvyKxD47Kg_7_0"/>
      <w:bookmarkStart w:id="745" w:name="Tc_5jjW2sulmE2A-AyIWp3o-A_6_14"/>
      <w:bookmarkStart w:id="746" w:name="Tc_MXP2Q9Kdb0aQ6dlcVhozng_6_11"/>
      <w:bookmarkStart w:id="747" w:name="Tc_O5ezwyFu50G5xZPQdjsNKA_6_0"/>
      <w:bookmarkStart w:id="748" w:name="Tc_7XlDNcld1k2pSYfrFgL2EA_5_16"/>
      <w:bookmarkStart w:id="749" w:name="Tc_l7kiTYt8-kW201rR4BRYmA_5_13"/>
      <w:bookmarkStart w:id="750" w:name="Tc_9CGF70niK0mGqRQP-MYszw_5_10"/>
      <w:bookmarkStart w:id="751" w:name="Tc_klBYYGxUn0CXCwUzXldg_Q_5_7"/>
      <w:bookmarkStart w:id="752" w:name="Tc_xbdcKq3b5UiM0ZqZ1psGdg_5_4"/>
      <w:bookmarkStart w:id="753" w:name="Tc_tCAGS0h8V0O_1HvIdKpc4Q_5_0"/>
      <w:bookmarkStart w:id="754" w:name="Tc_rWHT0_aXhUWqVGrkNZO1oQ_4_16"/>
      <w:bookmarkStart w:id="755" w:name="Tc_WEqpO5PnAkKGIUm4_MkFDQ_4_13"/>
      <w:bookmarkStart w:id="756" w:name="Tc_PLGTtiPrvkadvwEjOKdyJQ_4_10"/>
      <w:bookmarkStart w:id="757" w:name="Tc_PobzG-u7f0ODmOAb9vbcuA_4_7"/>
      <w:bookmarkStart w:id="758" w:name="Tc_pCu2LnvdWk-gyAhtfVE6cA_4_4"/>
      <w:bookmarkStart w:id="759" w:name="Tc_Ti1Ty-r3yEO4L0TqRfbh0g_4_2"/>
      <w:bookmarkStart w:id="760" w:name="Tc_VZZx_QP4p022yRO_3NBz0Q_3_13"/>
      <w:bookmarkStart w:id="761" w:name="Tc_Jajpy_6FukadULISIUsEhA_3_10"/>
      <w:bookmarkStart w:id="762" w:name="Tc_B_n6EDFOtk2vf18pFFo0mA_3_7"/>
      <w:bookmarkStart w:id="763" w:name="Tc_14RifLNsAEmWiT-sHDs7iA_3_2"/>
      <w:bookmarkStart w:id="764" w:name="Tc_wIrp5BLk_0-BIPzaB_Kv-g_2_10"/>
      <w:bookmarkStart w:id="765" w:name="Tc_GtCac92i20aDmN2JowhnOQ_2_7"/>
      <w:bookmarkStart w:id="766" w:name="Tc_SgkutoaMfEiL-oNKXracCw_1_10"/>
      <w:bookmarkStart w:id="767" w:name="_3030306c_de9d_4eb6_bb95_3940f3be0f05"/>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tbl>
      <w:tblPr>
        <w:tblW w:w="10205" w:type="dxa"/>
        <w:jc w:val="left"/>
        <w:tblInd w:w="0" w:type="dxa"/>
        <w:tblLayout w:type="fixed"/>
        <w:tblCellMar>
          <w:top w:w="0" w:type="dxa"/>
          <w:left w:w="0" w:type="dxa"/>
          <w:bottom w:w="0" w:type="dxa"/>
          <w:right w:w="0" w:type="dxa"/>
        </w:tblCellMar>
      </w:tblPr>
      <w:tblGrid>
        <w:gridCol w:w="2632"/>
        <w:gridCol w:w="326"/>
        <w:gridCol w:w="687"/>
        <w:gridCol w:w="326"/>
        <w:gridCol w:w="230"/>
        <w:gridCol w:w="462"/>
        <w:gridCol w:w="326"/>
        <w:gridCol w:w="211"/>
        <w:gridCol w:w="792"/>
        <w:gridCol w:w="326"/>
        <w:gridCol w:w="436"/>
        <w:gridCol w:w="780"/>
        <w:gridCol w:w="326"/>
        <w:gridCol w:w="211"/>
        <w:gridCol w:w="687"/>
        <w:gridCol w:w="326"/>
        <w:gridCol w:w="222"/>
        <w:gridCol w:w="899"/>
      </w:tblGrid>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6245" cy="175260"/>
                      <wp:effectExtent l="0" t="0" r="0" b="0"/>
                      <wp:wrapNone/>
                      <wp:docPr id="44" name="Frame4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3370" cy="175260"/>
                      <wp:effectExtent l="0" t="0" r="0" b="0"/>
                      <wp:wrapNone/>
                      <wp:docPr id="47" name="Frame4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2920" cy="175260"/>
                      <wp:effectExtent l="0" t="0" r="0" b="0"/>
                      <wp:wrapNone/>
                      <wp:docPr id="50" name="Frame5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76860" cy="175260"/>
                      <wp:effectExtent l="0" t="0" r="0" b="0"/>
                      <wp:wrapNone/>
                      <wp:docPr id="52" name="Frame5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300" cy="175260"/>
                      <wp:effectExtent l="0" t="0" r="0" b="0"/>
                      <wp:wrapNone/>
                      <wp:docPr id="53" name="Frame53"/>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6245" cy="175260"/>
                      <wp:effectExtent l="0" t="0" r="0" b="0"/>
                      <wp:wrapNone/>
                      <wp:docPr id="56" name="Frame5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0970" cy="175260"/>
                      <wp:effectExtent l="0" t="0" r="0" b="0"/>
                      <wp:wrapNone/>
                      <wp:docPr id="58" name="Frame5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0865" cy="175260"/>
                      <wp:effectExtent l="0" t="0" r="0" b="0"/>
                      <wp:wrapNone/>
                      <wp:docPr id="59" name="Frame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0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8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12,804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167,032 </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12,099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179,221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on derivative contracts</w:t>
            </w:r>
          </w:p>
        </w:tc>
        <w:tc>
          <w:tcPr>
            <w:tcW w:w="326" w:type="dxa"/>
            <w:tcBorders/>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1, 2022</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13,206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171,080 </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8,326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179,538 </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(4,326)</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1, 2022</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13,215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172,678 </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4,000 </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176,810 </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2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r>
      <w:tr>
        <w:trPr/>
        <w:tc>
          <w:tcPr>
            <w:tcW w:w="2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6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13,297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176,002 </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4,076 </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180,211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768" w:name="_577e32e4_e8cc_486e_9370_5f35cb14856c"/>
      <w:bookmarkEnd w:id="768"/>
      <w:r>
        <w:rPr>
          <w:rFonts w:ascii="Times New Roman;Times;serif" w:hAnsi="Times New Roman;Times;serif"/>
          <w:b/>
          <w:sz w:val="20"/>
        </w:rPr>
        <w:t>WILLDAN GROUP, INC.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769" w:name="CONSOLIDATEDSTATEMENTSOFCASHFLOWS_554577"/>
      <w:bookmarkEnd w:id="769"/>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70" w:name="Tc_nOTpuZoOFEyjusR1M_MkOA_49_0"/>
      <w:bookmarkStart w:id="771" w:name="Tc_LRoo-EQK20CKr3tjch4iiw_48_0"/>
      <w:bookmarkStart w:id="772" w:name="Tc_GgRb0S6X2Ee0ie3u4486NA_47_0"/>
      <w:bookmarkStart w:id="773" w:name="Tc_CYnSI9vjZESR1FRJVkSegw_46_5"/>
      <w:bookmarkStart w:id="774" w:name="Tc_7p7RH1Cgd0qVJrBK580Yvw_46_2"/>
      <w:bookmarkStart w:id="775" w:name="Tc_mCS66nK2YEGsB1fyW2LbQQ_46_0"/>
      <w:bookmarkStart w:id="776" w:name="Tc_ZLXcsS8O0k-RliuhYDWJxg_45_0"/>
      <w:bookmarkStart w:id="777" w:name="Tc_QAns-tsFKUeC414godL33g_44_0"/>
      <w:bookmarkStart w:id="778" w:name="Tc_DgGLuvfaPEyhr8_MJnbpVw_43_5"/>
      <w:bookmarkStart w:id="779" w:name="Tc_WVwGmoPMrUaMFDA5qqAzBw_43_2"/>
      <w:bookmarkStart w:id="780" w:name="Tc_aPNIZ-tOgU2FNEPipLicRQ_43_0"/>
      <w:bookmarkStart w:id="781" w:name="Tc_zjc_vU2KP02UEnYH-y_-8g_42_0"/>
      <w:bookmarkStart w:id="782" w:name="Tc_ZhqskonaqUiFd-ESyFGrvw_41_0"/>
      <w:bookmarkStart w:id="783" w:name="Tc_0tVq-6NuV0qv2BhsV6FmNA_40_0"/>
      <w:bookmarkStart w:id="784" w:name="Tc_i02xumaJ-0yJJ9aLI8DMlg_39_0"/>
      <w:bookmarkStart w:id="785" w:name="Tc_J1KSyRTV10KtKnPxVi5yZA_38_0"/>
      <w:bookmarkStart w:id="786" w:name="Tc_578qBWEvo0Wsv6QF7ookdw_37_0"/>
      <w:bookmarkStart w:id="787" w:name="Tc_jY7Uga-POkecNQ0e2bdDFA_36_0"/>
      <w:bookmarkStart w:id="788" w:name="Tc_IBYqKBMg6kq2wkZOZ4TS8w_35_0"/>
      <w:bookmarkStart w:id="789" w:name="Tc_AvwRy06lOEeLLapOVeYDQg_34_0"/>
      <w:bookmarkStart w:id="790" w:name="Tc_BuMXo5XpDkeAUZi1ECHTeg_33_6"/>
      <w:bookmarkStart w:id="791" w:name="Tc_eticD39h4UuYPfMAdEtzzg_33_0"/>
      <w:bookmarkStart w:id="792" w:name="Tc_qZnmd7l-yUimwR4EfUqymQ_32_0"/>
      <w:bookmarkStart w:id="793" w:name="Tc_94J5MPWH7kilxEFdm8rQug_31_6"/>
      <w:bookmarkStart w:id="794" w:name="Tc_21x0jkARREqR6QgAd1XQ9g_31_0"/>
      <w:bookmarkStart w:id="795" w:name="Tc_ViM3gLG5Z02CRqBklgv4BQ_30_0"/>
      <w:bookmarkStart w:id="796" w:name="Tc_r4zaFxRqq0CvnhLqXSc1rA_29_0"/>
      <w:bookmarkStart w:id="797" w:name="Tc_nxHzMWQcFU6gWgcN59acvw_28_0"/>
      <w:bookmarkStart w:id="798" w:name="Tc_ZF9qkZFXYkK77h4nlrcjWw_27_6"/>
      <w:bookmarkStart w:id="799" w:name="Tc_t2wLOe0DuUuy4NXF9lMMrA_27_0"/>
      <w:bookmarkStart w:id="800" w:name="Tc_iC6NhasnNUSsFrcTMsm34w_26_0"/>
      <w:bookmarkStart w:id="801" w:name="Tc_9cSXHUn7Zk2xRAwGSnJrHA_25_0"/>
      <w:bookmarkStart w:id="802" w:name="Tc_t6pzIyI60UyDYRsD5G29ww_24_0"/>
      <w:bookmarkStart w:id="803" w:name="Tc_JUgbkECFxUOG_xTpuLqcFA_23_0"/>
      <w:bookmarkStart w:id="804" w:name="Tc_Q073N-QOxUqEFWE88pCVGQ_22_0"/>
      <w:bookmarkStart w:id="805" w:name="Tc_mODwlfEFPkCpnM2yoE_F8A_21_0"/>
      <w:bookmarkStart w:id="806" w:name="Tc_iNMpHlgB3Ui-t-ExBNIizA_20_0"/>
      <w:bookmarkStart w:id="807" w:name="Tc_SXH0dXNrgEWObJcCpA7PWA_19_0"/>
      <w:bookmarkStart w:id="808" w:name="Tc_9JoCWE4cQU2eIO4wAiniYw_18_0"/>
      <w:bookmarkStart w:id="809" w:name="Tc_0W3KHDs5u0umtLRn_XbGJQ_17_0"/>
      <w:bookmarkStart w:id="810" w:name="Tc_AbrbkALx-0SD_twnUSEHtA_16_0"/>
      <w:bookmarkStart w:id="811" w:name="Tc_R1h5PPuh8EOalOVnLgKBpw_15_0"/>
      <w:bookmarkStart w:id="812" w:name="Tc_juvsInRXVEWnhxuXnCUzpA_14_0"/>
      <w:bookmarkStart w:id="813" w:name="Tc_eW-pD3ENKk-L41K26ztIQw_13_0"/>
      <w:bookmarkStart w:id="814" w:name="Tc_ZT9BqN89vkC_mqFppUwjUA_12_3"/>
      <w:bookmarkStart w:id="815" w:name="Tc_XtF3dX2xC02aT7IkSGpeZA_12_0"/>
      <w:bookmarkStart w:id="816" w:name="Tc_makrZkys_0eELZKN-nAAKw_11_0"/>
      <w:bookmarkStart w:id="817" w:name="Tc_XcSjMWdzH0KpKqBeMm7Erg_10_0"/>
      <w:bookmarkStart w:id="818" w:name="Tc_5tYy42Raw0ykeXNi5mYMEA_9_0"/>
      <w:bookmarkStart w:id="819" w:name="Tc_m2Wy-iY8R0Kl1DizHMTXPA_8_0"/>
      <w:bookmarkStart w:id="820" w:name="Tc_NXZfq9St90qSv976p1PSXg_7_0"/>
      <w:bookmarkStart w:id="821" w:name="Tc_oeKGgDHGI0Wzl8yV6Is1Og_6_0"/>
      <w:bookmarkStart w:id="822" w:name="Tc_st21uic6jkOBrGGNUP_jww_5_5"/>
      <w:bookmarkStart w:id="823" w:name="Tc_mUv-2AxZu0qxtnT3d5i0Uw_5_2"/>
      <w:bookmarkStart w:id="824" w:name="Tc_qnx50KmwH0GAmeXFYBuNsg_5_0"/>
      <w:bookmarkStart w:id="825" w:name="Tc_9xumf_f4cEW0_ZKO8HOpcg_4_0"/>
      <w:bookmarkStart w:id="826" w:name="Tc_9q2eVwSZokGxjK_v0y4Itg_3_5"/>
      <w:bookmarkStart w:id="827" w:name="Tc_ETl1UtYtVECEma__tJHoQw_3_2"/>
      <w:bookmarkStart w:id="828" w:name="Tc_nLZZ5yqRVkaIeKLPHzJ9lw_2_5"/>
      <w:bookmarkStart w:id="829" w:name="Tc_tzk7nq6VPU22SgzUYj0QVA_2_2"/>
      <w:bookmarkStart w:id="830" w:name="Tc_zA6CH1UpTESiYILLX9-wNg_1_2"/>
      <w:bookmarkStart w:id="831" w:name="_31a030d4_5118_4071_9295_08e350874241"/>
      <w:bookmarkStart w:id="832" w:name="Tc_nOTpuZoOFEyjusR1M_MkOA_49_0"/>
      <w:bookmarkStart w:id="833" w:name="Tc_LRoo-EQK20CKr3tjch4iiw_48_0"/>
      <w:bookmarkStart w:id="834" w:name="Tc_GgRb0S6X2Ee0ie3u4486NA_47_0"/>
      <w:bookmarkStart w:id="835" w:name="Tc_CYnSI9vjZESR1FRJVkSegw_46_5"/>
      <w:bookmarkStart w:id="836" w:name="Tc_7p7RH1Cgd0qVJrBK580Yvw_46_2"/>
      <w:bookmarkStart w:id="837" w:name="Tc_mCS66nK2YEGsB1fyW2LbQQ_46_0"/>
      <w:bookmarkStart w:id="838" w:name="Tc_ZLXcsS8O0k-RliuhYDWJxg_45_0"/>
      <w:bookmarkStart w:id="839" w:name="Tc_QAns-tsFKUeC414godL33g_44_0"/>
      <w:bookmarkStart w:id="840" w:name="Tc_DgGLuvfaPEyhr8_MJnbpVw_43_5"/>
      <w:bookmarkStart w:id="841" w:name="Tc_WVwGmoPMrUaMFDA5qqAzBw_43_2"/>
      <w:bookmarkStart w:id="842" w:name="Tc_aPNIZ-tOgU2FNEPipLicRQ_43_0"/>
      <w:bookmarkStart w:id="843" w:name="Tc_zjc_vU2KP02UEnYH-y_-8g_42_0"/>
      <w:bookmarkStart w:id="844" w:name="Tc_ZhqskonaqUiFd-ESyFGrvw_41_0"/>
      <w:bookmarkStart w:id="845" w:name="Tc_0tVq-6NuV0qv2BhsV6FmNA_40_0"/>
      <w:bookmarkStart w:id="846" w:name="Tc_i02xumaJ-0yJJ9aLI8DMlg_39_0"/>
      <w:bookmarkStart w:id="847" w:name="Tc_J1KSyRTV10KtKnPxVi5yZA_38_0"/>
      <w:bookmarkStart w:id="848" w:name="Tc_578qBWEvo0Wsv6QF7ookdw_37_0"/>
      <w:bookmarkStart w:id="849" w:name="Tc_jY7Uga-POkecNQ0e2bdDFA_36_0"/>
      <w:bookmarkStart w:id="850" w:name="Tc_IBYqKBMg6kq2wkZOZ4TS8w_35_0"/>
      <w:bookmarkStart w:id="851" w:name="Tc_AvwRy06lOEeLLapOVeYDQg_34_0"/>
      <w:bookmarkStart w:id="852" w:name="Tc_BuMXo5XpDkeAUZi1ECHTeg_33_6"/>
      <w:bookmarkStart w:id="853" w:name="Tc_eticD39h4UuYPfMAdEtzzg_33_0"/>
      <w:bookmarkStart w:id="854" w:name="Tc_qZnmd7l-yUimwR4EfUqymQ_32_0"/>
      <w:bookmarkStart w:id="855" w:name="Tc_94J5MPWH7kilxEFdm8rQug_31_6"/>
      <w:bookmarkStart w:id="856" w:name="Tc_21x0jkARREqR6QgAd1XQ9g_31_0"/>
      <w:bookmarkStart w:id="857" w:name="Tc_ViM3gLG5Z02CRqBklgv4BQ_30_0"/>
      <w:bookmarkStart w:id="858" w:name="Tc_r4zaFxRqq0CvnhLqXSc1rA_29_0"/>
      <w:bookmarkStart w:id="859" w:name="Tc_nxHzMWQcFU6gWgcN59acvw_28_0"/>
      <w:bookmarkStart w:id="860" w:name="Tc_ZF9qkZFXYkK77h4nlrcjWw_27_6"/>
      <w:bookmarkStart w:id="861" w:name="Tc_t2wLOe0DuUuy4NXF9lMMrA_27_0"/>
      <w:bookmarkStart w:id="862" w:name="Tc_iC6NhasnNUSsFrcTMsm34w_26_0"/>
      <w:bookmarkStart w:id="863" w:name="Tc_9cSXHUn7Zk2xRAwGSnJrHA_25_0"/>
      <w:bookmarkStart w:id="864" w:name="Tc_t6pzIyI60UyDYRsD5G29ww_24_0"/>
      <w:bookmarkStart w:id="865" w:name="Tc_JUgbkECFxUOG_xTpuLqcFA_23_0"/>
      <w:bookmarkStart w:id="866" w:name="Tc_Q073N-QOxUqEFWE88pCVGQ_22_0"/>
      <w:bookmarkStart w:id="867" w:name="Tc_mODwlfEFPkCpnM2yoE_F8A_21_0"/>
      <w:bookmarkStart w:id="868" w:name="Tc_iNMpHlgB3Ui-t-ExBNIizA_20_0"/>
      <w:bookmarkStart w:id="869" w:name="Tc_SXH0dXNrgEWObJcCpA7PWA_19_0"/>
      <w:bookmarkStart w:id="870" w:name="Tc_9JoCWE4cQU2eIO4wAiniYw_18_0"/>
      <w:bookmarkStart w:id="871" w:name="Tc_0W3KHDs5u0umtLRn_XbGJQ_17_0"/>
      <w:bookmarkStart w:id="872" w:name="Tc_AbrbkALx-0SD_twnUSEHtA_16_0"/>
      <w:bookmarkStart w:id="873" w:name="Tc_R1h5PPuh8EOalOVnLgKBpw_15_0"/>
      <w:bookmarkStart w:id="874" w:name="Tc_juvsInRXVEWnhxuXnCUzpA_14_0"/>
      <w:bookmarkStart w:id="875" w:name="Tc_eW-pD3ENKk-L41K26ztIQw_13_0"/>
      <w:bookmarkStart w:id="876" w:name="Tc_ZT9BqN89vkC_mqFppUwjUA_12_3"/>
      <w:bookmarkStart w:id="877" w:name="Tc_XtF3dX2xC02aT7IkSGpeZA_12_0"/>
      <w:bookmarkStart w:id="878" w:name="Tc_makrZkys_0eELZKN-nAAKw_11_0"/>
      <w:bookmarkStart w:id="879" w:name="Tc_XcSjMWdzH0KpKqBeMm7Erg_10_0"/>
      <w:bookmarkStart w:id="880" w:name="Tc_5tYy42Raw0ykeXNi5mYMEA_9_0"/>
      <w:bookmarkStart w:id="881" w:name="Tc_m2Wy-iY8R0Kl1DizHMTXPA_8_0"/>
      <w:bookmarkStart w:id="882" w:name="Tc_NXZfq9St90qSv976p1PSXg_7_0"/>
      <w:bookmarkStart w:id="883" w:name="Tc_oeKGgDHGI0Wzl8yV6Is1Og_6_0"/>
      <w:bookmarkStart w:id="884" w:name="Tc_st21uic6jkOBrGGNUP_jww_5_5"/>
      <w:bookmarkStart w:id="885" w:name="Tc_mUv-2AxZu0qxtnT3d5i0Uw_5_2"/>
      <w:bookmarkStart w:id="886" w:name="Tc_qnx50KmwH0GAmeXFYBuNsg_5_0"/>
      <w:bookmarkStart w:id="887" w:name="Tc_9xumf_f4cEW0_ZKO8HOpcg_4_0"/>
      <w:bookmarkStart w:id="888" w:name="Tc_9q2eVwSZokGxjK_v0y4Itg_3_5"/>
      <w:bookmarkStart w:id="889" w:name="Tc_ETl1UtYtVECEma__tJHoQw_3_2"/>
      <w:bookmarkStart w:id="890" w:name="Tc_nLZZ5yqRVkaIeKLPHzJ9lw_2_5"/>
      <w:bookmarkStart w:id="891" w:name="Tc_tzk7nq6VPU22SgzUYj0QVA_2_2"/>
      <w:bookmarkStart w:id="892" w:name="Tc_zA6CH1UpTESiYILLX9-wNg_1_2"/>
      <w:bookmarkStart w:id="893" w:name="_31a030d4_5118_4071_9295_08e35087424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tbl>
      <w:tblPr>
        <w:tblW w:w="8693" w:type="dxa"/>
        <w:jc w:val="left"/>
        <w:tblInd w:w="0" w:type="dxa"/>
        <w:tblLayout w:type="fixed"/>
        <w:tblCellMar>
          <w:top w:w="0" w:type="dxa"/>
          <w:left w:w="0" w:type="dxa"/>
          <w:bottom w:w="0" w:type="dxa"/>
          <w:right w:w="0" w:type="dxa"/>
        </w:tblCellMar>
      </w:tblPr>
      <w:tblGrid>
        <w:gridCol w:w="5956"/>
        <w:gridCol w:w="326"/>
        <w:gridCol w:w="211"/>
        <w:gridCol w:w="809"/>
        <w:gridCol w:w="326"/>
        <w:gridCol w:w="229"/>
        <w:gridCol w:w="836"/>
      </w:tblGrid>
      <w:tr>
        <w:trPr/>
        <w:tc>
          <w:tcPr>
            <w:tcW w:w="5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782060" cy="175260"/>
                      <wp:effectExtent l="0" t="0" r="0" b="0"/>
                      <wp:wrapNone/>
                      <wp:docPr id="60" name="Frame60"/>
                      <a:graphic xmlns:a="http://schemas.openxmlformats.org/drawingml/2006/main">
                        <a:graphicData uri="http://schemas.microsoft.com/office/word/2010/wordprocessingShape">
                          <wps:wsp>
                            <wps:cNvSpPr txBox="1"/>
                            <wps:spPr>
                              <a:xfrm>
                                <a:off x="0" y="0"/>
                                <a:ext cx="3782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13715" cy="175260"/>
                      <wp:effectExtent l="0" t="0" r="0" b="0"/>
                      <wp:wrapNone/>
                      <wp:docPr id="63" name="Frame6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5415" cy="175260"/>
                      <wp:effectExtent l="0" t="0" r="0" b="0"/>
                      <wp:wrapNone/>
                      <wp:docPr id="65" name="Frame6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30860" cy="175260"/>
                      <wp:effectExtent l="0" t="0" r="0" b="0"/>
                      <wp:wrapNone/>
                      <wp:docPr id="66" name="Frame66"/>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Nine Months Ended</w:t>
            </w:r>
          </w:p>
        </w:tc>
      </w:tr>
      <w:tr>
        <w:trPr/>
        <w:tc>
          <w:tcPr>
            <w:tcW w:w="5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September 29,</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September 30,</w:t>
            </w:r>
          </w:p>
        </w:tc>
      </w:tr>
      <w:tr>
        <w:trPr/>
        <w:tc>
          <w:tcPr>
            <w:tcW w:w="5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2,895</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(8,023)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12,518</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13,240</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1,196</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(4,111)</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(Gain) loss on sale/disposal of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Provision for doubtful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194</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230</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4,064</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6,626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Accretion and fair value adjustments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1,659</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 net of effects from business 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(6,335)</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6,605</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Contract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4,530</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(15,636)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3,306</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1,155</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1,686</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(4,993)</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1,981</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(13,185)</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(2,658)</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15,354</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Contract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1,029</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provided by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24,112</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4,503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 of equipment, software, and 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(7,583)</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(6,969)</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for acquisitions, net of cash acquired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(1,600)</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(9,115)</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(6,894)</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(10,206)</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on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(10,679)</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(1,463)</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(1,577)</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(1,114)</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Borrowings under term loan facility and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105,000</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20,000</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Repayments under term loan facility and line of credit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(111,000)</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(9,750)</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Principal 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(951)</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(827)</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stock option exercise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270</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sales of common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2,779</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3,036</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used to pay taxes on stock grants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(958)</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(21,595)</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(6,598)</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19,485</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11,221</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12,887</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8,818</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(received) during the period for: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8,025</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2,790</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(3,154)</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disclosures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Equipment acquired under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48" w:hanging="0"/>
              <w:jc w:val="right"/>
              <w:rPr>
                <w:rFonts w:ascii="Times New Roman;Times;serif" w:hAnsi="Times New Roman;Times;serif"/>
                <w:sz w:val="15"/>
              </w:rPr>
            </w:pPr>
            <w:r>
              <w:rPr>
                <w:rFonts w:ascii="Times New Roman;Times;serif" w:hAnsi="Times New Roman;Times;serif"/>
                <w:sz w:val="15"/>
              </w:rPr>
              <w:t>2,137</w:t>
            </w:r>
          </w:p>
        </w:tc>
      </w:tr>
    </w:tbl>
    <w:p>
      <w:pPr>
        <w:pStyle w:val="TextBody"/>
        <w:bidi w:val="0"/>
        <w:spacing w:before="60" w:after="0"/>
        <w:ind w:left="0" w:right="0" w:hanging="0"/>
        <w:jc w:val="center"/>
        <w:rPr>
          <w:rFonts w:ascii="Times New Roman;Times;serif" w:hAnsi="Times New Roman;Times;serif"/>
          <w:sz w:val="17"/>
        </w:rPr>
      </w:pPr>
      <w:r>
        <w:rPr>
          <w:rFonts w:ascii="Times New Roman;Times;serif" w:hAnsi="Times New Roman;Times;serif"/>
          <w:sz w:val="17"/>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894" w:name="ORGANIZATIONANDOPERATIONSOFTHECOMPANY_11"/>
      <w:bookmarkEnd w:id="894"/>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 and infrastructure needs undergo continuous change, the Company helps organizations and their communities evolve and thrive by providing a wide range of technical services for energy solutions, greenhouse gas reduction,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 for our clients.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December 30, 2022.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December 30, 2022.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2023, which ends on December 29, 2023, will be comprised of 52 weeks, with all quarters consisting of 13 weeks each. Fiscal year 2022, which ended on December 30, 2022, was comprised of 52 weeks, with all quarters consisting of 13 weeks each. All references to years in the notes to consolidated financial statements represent fiscal years.</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 </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29, 2023, there were no accounting pronouncements recently issued, or with future effective dates, that are either applicable nor are expected to have an impact to the Company’s Condensed Consolidated Financial Statements.</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43685" cy="29210"/>
                      <wp:effectExtent l="0" t="0" r="0" b="0"/>
                      <wp:wrapNone/>
                      <wp:docPr id="67" name="Frame67"/>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67435" cy="29210"/>
                      <wp:effectExtent l="0" t="0" r="0" b="0"/>
                      <wp:wrapNone/>
                      <wp:docPr id="68" name="Frame68"/>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8435" cy="29210"/>
                      <wp:effectExtent l="0" t="0" r="0" b="0"/>
                      <wp:wrapNone/>
                      <wp:docPr id="69" name="Frame69"/>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pStyle w:val="TextBody"/>
        <w:bidi w:val="0"/>
        <w:spacing w:before="200" w:after="240"/>
        <w:ind w:left="0" w:right="0" w:firstLine="720"/>
        <w:jc w:val="left"/>
        <w:rPr>
          <w:rFonts w:ascii="Times New Roman;Times;serif" w:hAnsi="Times New Roman;Times;serif"/>
          <w:sz w:val="20"/>
        </w:rPr>
      </w:pPr>
      <w:r>
        <w:rPr>
          <w:rFonts w:ascii="Times New Roman;Times;serif" w:hAnsi="Times New Roman;Times;serif"/>
          <w:sz w:val="20"/>
        </w:rPr>
        <w:t>Many of the Company’s fixed price contracts involve a high degree of subcontracted fixed price effort and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usually which is the life of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September 29, 2023 and December 30, 2022, contract assets included retainage of approximately $14.3 million and $8.5 million, respectively.</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895" w:name="Tc_4NN1UA-O9UONKd7d9IwvnQ_11_5"/>
      <w:bookmarkStart w:id="896" w:name="Tc_iW_LG1pTw0SLAG9EvDtgdQ_11_2"/>
      <w:bookmarkStart w:id="897" w:name="Tc_5MbaXMw5sU-_HUgfGnWR_g_11_0"/>
      <w:bookmarkStart w:id="898" w:name="Tc_mU0Q39DED0CuENMTSn-4Bg_10_0"/>
      <w:bookmarkStart w:id="899" w:name="Tc_q47j7WW-PUWrP00uZ9sEzw_9_0"/>
      <w:bookmarkStart w:id="900" w:name="Tc_ozLfFcNdaUuNSW01wQDmaQ_8_0"/>
      <w:bookmarkStart w:id="901" w:name="Tc_nCmdXMiTwUCMlepmERhgRg_7_0"/>
      <w:bookmarkStart w:id="902" w:name="Tc_3dKBsepulUa4qbYM7trrDA_6_0"/>
      <w:bookmarkStart w:id="903" w:name="Tc_guNQV6jZ6ES2Z4iX3faGBw_5_0"/>
      <w:bookmarkStart w:id="904" w:name="Tc_Wx60M10PbESsBKOVymz4dQ_4_5"/>
      <w:bookmarkStart w:id="905" w:name="Tc_OvOWPR-8hkSpLhR14DkMlw_4_2"/>
      <w:bookmarkStart w:id="906" w:name="Tc_1IjBguqZREKcLAt7SJsIhQ_4_0"/>
      <w:bookmarkStart w:id="907" w:name="Tc_nom0c8hX-kWDoGhExIo4cg_3_2"/>
      <w:bookmarkStart w:id="908" w:name="Tc_NFZXYNIuy0Wtscz-ei6Bzw_2_5"/>
      <w:bookmarkStart w:id="909" w:name="Tc_eMkWmDCwyUuKp6Lb9I6rAA_2_2"/>
      <w:bookmarkStart w:id="910" w:name="Tc_yUzXF2HUuEa6kWIgKIlmUw_1_5"/>
      <w:bookmarkStart w:id="911" w:name="Tc_9m7cKiqTkE6CrEGtzLAonA_1_2"/>
      <w:bookmarkStart w:id="912" w:name="_153c3283_4be2_41ef_b17e_d5f6aa64dd38"/>
      <w:bookmarkStart w:id="913" w:name="Tc_erzN1XugYE27Qe20TeR2TA_6_5"/>
      <w:bookmarkStart w:id="914" w:name="Tc_pXsIFRM45kOS5PK_FYSC4A_6_2"/>
      <w:bookmarkStart w:id="915" w:name="Tc_IEtdRz3-mkqae5Op3TOmCA_6_0"/>
      <w:bookmarkStart w:id="916" w:name="Tc_fxRzcK5qKkyMpP52bHLXeQ_5_3"/>
      <w:bookmarkStart w:id="917" w:name="Tc_vSBnK6qccUuNtPbYTUScJQ_4_5"/>
      <w:bookmarkStart w:id="918" w:name="Tc_QuA83M_ZTEOd6RQgtS-JpQ_4_2"/>
      <w:bookmarkStart w:id="919" w:name="Tc_rJr3Qw7bF0WCoU9bLZM0QQ_4_0"/>
      <w:bookmarkStart w:id="920" w:name="Tc_3t6o07y8o0-ldKMQZa2ohQ_3_2"/>
      <w:bookmarkStart w:id="921" w:name="Tc_1zA8djyiOkGnmQd3jUxr5g_2_5"/>
      <w:bookmarkStart w:id="922" w:name="Tc_coNy9DUxmEm2KcpiZiX_-Q_2_2"/>
      <w:bookmarkStart w:id="923" w:name="Tc_LNsorrLFSUSeXbRSW8AENw_1_5"/>
      <w:bookmarkStart w:id="924" w:name="Tc_TTPlLh9cE0GIICAZy78-wQ_1_2"/>
      <w:bookmarkStart w:id="925" w:name="_9e88d94d_0338_43f5_b11e_179a5b332278"/>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ascii="Times New Roman;Times;serif" w:hAnsi="Times New Roman;Times;serif"/>
          <w:b/>
          <w:sz w:val="20"/>
        </w:rPr>
        <w:t xml:space="preserve">4. SUPPLEMENTAL FINANCIAL STATEMENT DATA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Restricted Cash</w:t>
      </w:r>
    </w:p>
    <w:p>
      <w:pPr>
        <w:pStyle w:val="TextBody"/>
        <w:shd w:fill="FFFFFF" w:val="clear"/>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17"/>
        <w:gridCol w:w="326"/>
        <w:gridCol w:w="264"/>
        <w:gridCol w:w="847"/>
        <w:gridCol w:w="326"/>
        <w:gridCol w:w="238"/>
        <w:gridCol w:w="887"/>
      </w:tblGrid>
      <w:tr>
        <w:trPr/>
        <w:tc>
          <w:tcPr>
            <w:tcW w:w="7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646295" cy="175260"/>
                      <wp:effectExtent l="0" t="0" r="0" b="0"/>
                      <wp:wrapNone/>
                      <wp:docPr id="70" name="Frame70"/>
                      <a:graphic xmlns:a="http://schemas.openxmlformats.org/drawingml/2006/main">
                        <a:graphicData uri="http://schemas.microsoft.com/office/word/2010/wordprocessingShape">
                          <wps:wsp>
                            <wps:cNvSpPr txBox="1"/>
                            <wps:spPr>
                              <a:xfrm>
                                <a:off x="0" y="0"/>
                                <a:ext cx="4646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7640" cy="175260"/>
                      <wp:effectExtent l="0" t="0" r="0" b="0"/>
                      <wp:wrapNone/>
                      <wp:docPr id="72" name="Frame7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7845" cy="175260"/>
                      <wp:effectExtent l="0" t="0" r="0" b="0"/>
                      <wp:wrapNone/>
                      <wp:docPr id="73" name="Frame7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1130" cy="175260"/>
                      <wp:effectExtent l="0" t="0" r="0" b="0"/>
                      <wp:wrapNone/>
                      <wp:docPr id="75" name="Frame7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3245" cy="175260"/>
                      <wp:effectExtent l="0" t="0" r="0" b="0"/>
                      <wp:wrapNone/>
                      <wp:docPr id="76" name="Frame7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7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62"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8,806</w:t>
            </w:r>
          </w:p>
        </w:tc>
      </w:tr>
      <w:tr>
        <w:trPr/>
        <w:tc>
          <w:tcPr>
            <w:tcW w:w="73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10,679</w:t>
            </w:r>
          </w:p>
        </w:tc>
      </w:tr>
      <w:tr>
        <w:trPr/>
        <w:tc>
          <w:tcPr>
            <w:tcW w:w="7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19,485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rPr/>
      </w:pPr>
      <w:r>
        <w:rPr/>
        <w:t>​</w:t>
      </w:r>
    </w:p>
    <w:tbl>
      <w:tblPr>
        <w:tblW w:w="6668" w:type="dxa"/>
        <w:jc w:val="left"/>
        <w:tblInd w:w="0" w:type="dxa"/>
        <w:tblLayout w:type="fixed"/>
        <w:tblCellMar>
          <w:top w:w="0" w:type="dxa"/>
          <w:left w:w="0" w:type="dxa"/>
          <w:bottom w:w="0" w:type="dxa"/>
          <w:right w:w="0" w:type="dxa"/>
        </w:tblCellMar>
      </w:tblPr>
      <w:tblGrid>
        <w:gridCol w:w="3736"/>
        <w:gridCol w:w="326"/>
        <w:gridCol w:w="239"/>
        <w:gridCol w:w="901"/>
        <w:gridCol w:w="326"/>
        <w:gridCol w:w="228"/>
        <w:gridCol w:w="912"/>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2360" cy="175260"/>
                      <wp:effectExtent l="0" t="0" r="0" b="0"/>
                      <wp:wrapNone/>
                      <wp:docPr id="77" name="Frame7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1765" cy="175260"/>
                      <wp:effectExtent l="0" t="0" r="0" b="0"/>
                      <wp:wrapNone/>
                      <wp:docPr id="79" name="Frame7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2135" cy="175260"/>
                      <wp:effectExtent l="0" t="0" r="0" b="0"/>
                      <wp:wrapNone/>
                      <wp:docPr id="80" name="Frame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4780" cy="175260"/>
                      <wp:effectExtent l="0" t="0" r="0" b="0"/>
                      <wp:wrapNone/>
                      <wp:docPr id="82" name="Frame8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9120" cy="175260"/>
                      <wp:effectExtent l="0" t="0" r="0" b="0"/>
                      <wp:wrapNone/>
                      <wp:docPr id="83" name="Frame8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59,275</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51,431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26,160</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22,537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$1.0 million and $1.1 million of amortization expense related to equipment held under finance leases for the nine months ended September 29, 2023 and for fiscal year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926" w:name="Tc_AmHHqPYSC0OsSPuSTjQqSQ_11_11"/>
      <w:bookmarkStart w:id="927" w:name="Tc_pUgNUVMyPku6b0Ea09sVvw_11_8"/>
      <w:bookmarkStart w:id="928" w:name="Tc_ZHCvLfP54UuWSnL2W0KvFA_11_5"/>
      <w:bookmarkStart w:id="929" w:name="Tc_2jRemrlT30Kpd8NjZtZvdg_11_2"/>
      <w:bookmarkStart w:id="930" w:name="Tc_ZV9vUZcq1U6XMWjDj1jXsw_11_0"/>
      <w:bookmarkStart w:id="931" w:name="Tc_aTeC_A0GWEKGE6_w2kAzzg_10_16"/>
      <w:bookmarkStart w:id="932" w:name="Tc_cj-D0OQmhE6Y69M-BYDz3g_10_0"/>
      <w:bookmarkStart w:id="933" w:name="Tc_ZXRjfEWXtUa5KmH_IuEpcg_9_0"/>
      <w:bookmarkStart w:id="934" w:name="Tc_VZ87ekFlZEGgrFQT5OY3Rg_8_16"/>
      <w:bookmarkStart w:id="935" w:name="Tc_r_h2E1Hzi0Ob9ydUh-_SpA_8_0"/>
      <w:bookmarkStart w:id="936" w:name="Tc_iI_jP4ngmUeXlFS34PuPOA_7_16"/>
      <w:bookmarkStart w:id="937" w:name="Tc_-tnA8AIIsEy7QfhvMFsq3w_7_0"/>
      <w:bookmarkStart w:id="938" w:name="Tc_EBRlm_leZk2I2h0mdUSW_w_6_11"/>
      <w:bookmarkStart w:id="939" w:name="Tc_CyTw_Rw80U6TnPmjjujQSQ_6_8"/>
      <w:bookmarkStart w:id="940" w:name="Tc_pWgKBI2Ui0OdOPt5VwyCag_6_5"/>
      <w:bookmarkStart w:id="941" w:name="Tc_sR5bN3L8yU-5huZJMZQ6-w_6_2"/>
      <w:bookmarkStart w:id="942" w:name="Tc_DXqB9y6QlUWy6xO_ubU77A_6_0"/>
      <w:bookmarkStart w:id="943" w:name="Tc_PpC1jDG2zU-SfWKxHe1l3w_5_0"/>
      <w:bookmarkStart w:id="944" w:name="Tc_sx1Sp3f6ykqVJoGmqg0_vg_4_14"/>
      <w:bookmarkStart w:id="945" w:name="Tc_VGgwLoaLlEWo6kH3kiKqcg_4_2"/>
      <w:bookmarkStart w:id="946" w:name="Tc_hpporeCqsEmwFxQdGgimWA_3_14"/>
      <w:bookmarkStart w:id="947" w:name="Tc_p54Uueprn0uVJ_3-_Zo9_g_3_11"/>
      <w:bookmarkStart w:id="948" w:name="Tc__fLEjOqIukyBT9zj5BCTLA_3_8"/>
      <w:bookmarkStart w:id="949" w:name="Tc_6TIDqHMRgkCPaFoT65iYSg_3_5"/>
      <w:bookmarkStart w:id="950" w:name="Tc_-yura2AQ7UqqGnmBRPkqmg_3_2"/>
      <w:bookmarkStart w:id="951" w:name="Tc_Tc0f1MXRvkSiUuBpqeVDkw_2_14"/>
      <w:bookmarkStart w:id="952" w:name="Tc_d4XKB802B0yuya3I0x0ApA_2_11"/>
      <w:bookmarkStart w:id="953" w:name="Tc_-e0JHszidUScLvi6PUUwGA_2_8"/>
      <w:bookmarkStart w:id="954" w:name="Tc_IB3HsF23Hk-H6LTnn0TtPg_2_5"/>
      <w:bookmarkStart w:id="955" w:name="Tc_zjQ53HWrAEWcal1KdpD9Sw_2_2"/>
      <w:bookmarkStart w:id="956" w:name="Tc_SKv6UF2Xn0asBO4JJEDneQ_1_8"/>
      <w:bookmarkStart w:id="957" w:name="Tc_NyzCEt8rOkKL-NLuVEdBQQ_1_2"/>
      <w:bookmarkStart w:id="958" w:name="_1cd3588f_16f6_4fdc_a8cc_9eb9826051be"/>
      <w:bookmarkStart w:id="959" w:name="Tc_7-ju_quEQ0mgg-1ftHmlaQ_7_11"/>
      <w:bookmarkStart w:id="960" w:name="Tc_gxNIlb4JIEmKzdLwSrycog_7_9"/>
      <w:bookmarkStart w:id="961" w:name="Tc_zfohHIwI4k-6w7mkg79EbQ_7_8"/>
      <w:bookmarkStart w:id="962" w:name="Tc_bF1Nvl0hrU6yojkJjmB45g_7_5"/>
      <w:bookmarkStart w:id="963" w:name="Tc_LEnrM-ZZKkePxY2MAD_wuA_7_2"/>
      <w:bookmarkStart w:id="964" w:name="Tc_bta3wU4sUEGerNJnMmfTag_6_9"/>
      <w:bookmarkStart w:id="965" w:name="Tc_5WctBXu3RUmBfydg4feNUw_6_0"/>
      <w:bookmarkStart w:id="966" w:name="Tc_P3su-bJ4vkiuzqV3wakmEg_5_11"/>
      <w:bookmarkStart w:id="967" w:name="Tc_Gifpz1NWUUGY9oV-8Z5yvw_5_9"/>
      <w:bookmarkStart w:id="968" w:name="Tc_wEbpwhYxT0qwTiee0ZO2gQ_5_8"/>
      <w:bookmarkStart w:id="969" w:name="Tc_tr-ZTBwMcEuUS50-0lqB9w_5_6"/>
      <w:bookmarkStart w:id="970" w:name="Tc_mBrzfq08x0ajqaVY56xEiQ_5_5"/>
      <w:bookmarkStart w:id="971" w:name="Tc_d2TwwP6gOUqGbrJhzTl93A_5_2"/>
      <w:bookmarkStart w:id="972" w:name="Tc_7o_8emB2W0u1QmfdcKaQ-Q_5_0"/>
      <w:bookmarkStart w:id="973" w:name="Tc_aWifOzeq-0eyCKPdIC45vQ_4_0"/>
      <w:bookmarkStart w:id="974" w:name="Tc_hyFAnOon_UOP0AHtTtAG0g_3_2"/>
      <w:bookmarkStart w:id="975" w:name="Tc_OJBdJzFA50KbUqTD4MG_KQ_2_11"/>
      <w:bookmarkStart w:id="976" w:name="Tc_AS8g3YOR4ESFc6ZRX5zq1g_2_8"/>
      <w:bookmarkStart w:id="977" w:name="Tc_L_piuEHmQE-YLVf3SQLhtw_2_5"/>
      <w:bookmarkStart w:id="978" w:name="Tc_Zz46zETFfEOL5-MgKXXpYg_2_2"/>
      <w:bookmarkStart w:id="979" w:name="Tc_TBD8dlfVCUGCeEjfirOEWw_1_11"/>
      <w:bookmarkStart w:id="980" w:name="Tc_HGgBDFFzME-D0-kUg11Ypw_1_8"/>
      <w:bookmarkStart w:id="981" w:name="Tc_oscGvNDpIUaqD30QocKQKQ_1_5"/>
      <w:bookmarkStart w:id="982" w:name="Tc_HiBO82NOKUmJZMhLnLSZuw_1_2"/>
      <w:bookmarkStart w:id="983" w:name="_c85b4554_c045_4ea0_bbf4_63b84da8ef05"/>
      <w:bookmarkStart w:id="984" w:name="Tc_lkoMe_yI80O-nri5jMc-Tg_10_5"/>
      <w:bookmarkStart w:id="985" w:name="Tc_QBR9inS6Qk-5ehslKtWFhg_10_2"/>
      <w:bookmarkStart w:id="986" w:name="Tc_JFtqt3zhhEy60u0EY5NKOQ_10_0"/>
      <w:bookmarkStart w:id="987" w:name="Tc_bR-MKiLeHU6VBxJfEToY9Q_9_0"/>
      <w:bookmarkStart w:id="988" w:name="Tc_aGnXU8k8i0emTdXycxbJbQ_8_0"/>
      <w:bookmarkStart w:id="989" w:name="Tc_ITJu0mRSn0q1nEkX1BXQkw_7_0"/>
      <w:bookmarkStart w:id="990" w:name="Tc_BzcP1U7E3UuK9Xr2XPDo4Q_6_0"/>
      <w:bookmarkStart w:id="991" w:name="Tc_bZnJoHV5Y0eweXRhPKS5Dw_5_0"/>
      <w:bookmarkStart w:id="992" w:name="Tc_A1dgFZpdqkeEECWKx1auqw_4_5"/>
      <w:bookmarkStart w:id="993" w:name="Tc_yCN-mqLEKUui2iSlUdTZCg_4_2"/>
      <w:bookmarkStart w:id="994" w:name="Tc_YfgTdhaXWEWcN2chlaM4hA_4_0"/>
      <w:bookmarkStart w:id="995" w:name="Tc_Oup9DobfL0e7ifDBt2MGrA_3_2"/>
      <w:bookmarkStart w:id="996" w:name="Tc_m3CpZGUaSUCrykffkgctHA_2_5"/>
      <w:bookmarkStart w:id="997" w:name="Tc_wvUNtglVhE6Mi2Ca1FlRZA_2_2"/>
      <w:bookmarkStart w:id="998" w:name="Tc_W1aJTWUrG02Dl6YUawg3AA_1_5"/>
      <w:bookmarkStart w:id="999" w:name="Tc_gWoHMpmE10ilJ0w7ESB6hQ_1_2"/>
      <w:bookmarkStart w:id="1000" w:name="_bd42a2c9_737b_415e_b15d_0fc85bb90588"/>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i/>
          <w:sz w:val="20"/>
        </w:rPr>
        <w:t>Accrued Liabilities</w:t>
      </w:r>
    </w:p>
    <w:p>
      <w:pPr>
        <w:pStyle w:val="TextBody"/>
        <w:bidi w:val="0"/>
        <w:spacing w:before="0" w:after="0"/>
        <w:ind w:left="0" w:right="0" w:hanging="0"/>
        <w:jc w:val="left"/>
        <w:rPr/>
      </w:pPr>
      <w:r>
        <w:rPr/>
        <w:t>​</w:t>
      </w:r>
    </w:p>
    <w:tbl>
      <w:tblPr>
        <w:tblW w:w="5678" w:type="dxa"/>
        <w:jc w:val="left"/>
        <w:tblInd w:w="0" w:type="dxa"/>
        <w:tblLayout w:type="fixed"/>
        <w:tblCellMar>
          <w:top w:w="0" w:type="dxa"/>
          <w:left w:w="0" w:type="dxa"/>
          <w:bottom w:w="0" w:type="dxa"/>
          <w:right w:w="0" w:type="dxa"/>
        </w:tblCellMar>
      </w:tblPr>
      <w:tblGrid>
        <w:gridCol w:w="2746"/>
        <w:gridCol w:w="326"/>
        <w:gridCol w:w="271"/>
        <w:gridCol w:w="869"/>
        <w:gridCol w:w="326"/>
        <w:gridCol w:w="239"/>
        <w:gridCol w:w="90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43710" cy="175260"/>
                      <wp:effectExtent l="0" t="0" r="0" b="0"/>
                      <wp:wrapNone/>
                      <wp:docPr id="84" name="Frame8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72085" cy="175260"/>
                      <wp:effectExtent l="0" t="0" r="0" b="0"/>
                      <wp:wrapNone/>
                      <wp:docPr id="86" name="Frame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51815" cy="175260"/>
                      <wp:effectExtent l="0" t="0" r="0" b="0"/>
                      <wp:wrapNone/>
                      <wp:docPr id="87" name="Frame8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1765" cy="175260"/>
                      <wp:effectExtent l="0" t="0" r="0" b="0"/>
                      <wp:wrapNone/>
                      <wp:docPr id="89" name="Frame8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2135" cy="175260"/>
                      <wp:effectExtent l="0" t="0" r="0" b="0"/>
                      <wp:wrapNone/>
                      <wp:docPr id="90" name="Frame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10,534</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8,470</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and taxes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45,773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59,110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tbl>
      <w:tblPr>
        <w:tblW w:w="8161" w:type="dxa"/>
        <w:jc w:val="left"/>
        <w:tblInd w:w="0" w:type="dxa"/>
        <w:tblLayout w:type="fixed"/>
        <w:tblCellMar>
          <w:top w:w="0" w:type="dxa"/>
          <w:left w:w="0" w:type="dxa"/>
          <w:bottom w:w="0" w:type="dxa"/>
          <w:right w:w="0" w:type="dxa"/>
        </w:tblCellMar>
      </w:tblPr>
      <w:tblGrid>
        <w:gridCol w:w="2431"/>
        <w:gridCol w:w="326"/>
        <w:gridCol w:w="233"/>
        <w:gridCol w:w="862"/>
        <w:gridCol w:w="326"/>
        <w:gridCol w:w="307"/>
        <w:gridCol w:w="833"/>
        <w:gridCol w:w="326"/>
        <w:gridCol w:w="380"/>
        <w:gridCol w:w="626"/>
        <w:gridCol w:w="326"/>
        <w:gridCol w:w="228"/>
        <w:gridCol w:w="957"/>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685" cy="175260"/>
                      <wp:effectExtent l="0" t="0" r="0" b="0"/>
                      <wp:wrapNone/>
                      <wp:docPr id="91" name="Frame9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7955" cy="175260"/>
                      <wp:effectExtent l="0" t="0" r="0" b="0"/>
                      <wp:wrapNone/>
                      <wp:docPr id="93" name="Frame9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7370" cy="175260"/>
                      <wp:effectExtent l="0" t="0" r="0" b="0"/>
                      <wp:wrapNone/>
                      <wp:docPr id="94" name="Frame9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94945" cy="175260"/>
                      <wp:effectExtent l="0" t="0" r="0" b="0"/>
                      <wp:wrapNone/>
                      <wp:docPr id="96" name="Frame9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28955" cy="175260"/>
                      <wp:effectExtent l="0" t="0" r="0" b="0"/>
                      <wp:wrapNone/>
                      <wp:docPr id="97" name="Frame9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1300" cy="175260"/>
                      <wp:effectExtent l="0" t="0" r="0" b="0"/>
                      <wp:wrapNone/>
                      <wp:docPr id="99" name="Frame9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7510" cy="175260"/>
                      <wp:effectExtent l="0" t="0" r="0" b="0"/>
                      <wp:wrapNone/>
                      <wp:docPr id="100" name="Frame10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4780" cy="175260"/>
                      <wp:effectExtent l="0" t="0" r="0" b="0"/>
                      <wp:wrapNone/>
                      <wp:docPr id="102" name="Frame10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07695" cy="175260"/>
                      <wp:effectExtent l="0" t="0" r="0" b="0"/>
                      <wp:wrapNone/>
                      <wp:docPr id="103" name="Frame103"/>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0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130,124</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During the quarter ended September 29, 2023, although the Company experienced declines in the market price of its stock, such decreases did not result in the Company’s market capitalization decreasing below book value. The Company evaluated the current economic environment and noted that it does not believe it is more likely than not that goodwill was impaired as of September 29, 2023.</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rPr/>
      </w:pPr>
      <w:r>
        <w:rPr/>
        <w:t>​</w:t>
      </w:r>
    </w:p>
    <w:tbl>
      <w:tblPr>
        <w:tblW w:w="8893" w:type="dxa"/>
        <w:jc w:val="left"/>
        <w:tblInd w:w="0" w:type="dxa"/>
        <w:tblLayout w:type="fixed"/>
        <w:tblCellMar>
          <w:top w:w="0" w:type="dxa"/>
          <w:left w:w="0" w:type="dxa"/>
          <w:bottom w:w="0" w:type="dxa"/>
          <w:right w:w="0" w:type="dxa"/>
        </w:tblCellMar>
      </w:tblPr>
      <w:tblGrid>
        <w:gridCol w:w="2176"/>
        <w:gridCol w:w="326"/>
        <w:gridCol w:w="211"/>
        <w:gridCol w:w="676"/>
        <w:gridCol w:w="326"/>
        <w:gridCol w:w="257"/>
        <w:gridCol w:w="824"/>
        <w:gridCol w:w="326"/>
        <w:gridCol w:w="211"/>
        <w:gridCol w:w="676"/>
        <w:gridCol w:w="326"/>
        <w:gridCol w:w="257"/>
        <w:gridCol w:w="824"/>
        <w:gridCol w:w="326"/>
        <w:gridCol w:w="361"/>
        <w:gridCol w:w="109"/>
        <w:gridCol w:w="166"/>
        <w:gridCol w:w="109"/>
        <w:gridCol w:w="40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81760" cy="175260"/>
                      <wp:effectExtent l="0" t="0" r="0" b="0"/>
                      <wp:wrapNone/>
                      <wp:docPr id="104" name="Frame104"/>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 2023</w:t>
            </w:r>
          </w:p>
        </w:tc>
        <w:tc>
          <w:tcPr>
            <w:tcW w:w="326" w:type="dxa"/>
            <w:tcBorders/>
            <w:vAlign w:val="center"/>
          </w:tcPr>
          <w:p>
            <w:pPr>
              <w:pStyle w:val="TableContents"/>
              <w:bidi w:val="0"/>
              <w:spacing w:before="0" w:after="0"/>
              <w:ind w:left="0" w:right="0" w:hanging="0"/>
              <w:jc w:val="center"/>
              <w:rPr/>
            </w:pPr>
            <w:r>
              <w:rPr/>
              <w:t>​</w:t>
            </w:r>
          </w:p>
        </w:tc>
        <w:tc>
          <w:tcPr>
            <w:tcW w:w="22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2022</w:t>
            </w:r>
          </w:p>
        </w:tc>
        <w:tc>
          <w:tcPr>
            <w:tcW w:w="32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1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7,944</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7,944</w:t>
            </w:r>
          </w:p>
        </w:tc>
        <w:tc>
          <w:tcPr>
            <w:tcW w:w="326" w:type="dxa"/>
            <w:tcBorders/>
            <w:vAlign w:val="center"/>
          </w:tcPr>
          <w:p>
            <w:pPr>
              <w:pStyle w:val="TableContents"/>
              <w:bidi w:val="0"/>
              <w:spacing w:before="0" w:after="0"/>
              <w:ind w:left="0" w:right="0" w:hanging="0"/>
              <w:jc w:val="left"/>
              <w:rPr/>
            </w:pPr>
            <w:r>
              <w:rPr/>
              <w:t>​</w:t>
            </w:r>
          </w:p>
        </w:tc>
        <w:tc>
          <w:tcPr>
            <w:tcW w:w="115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15,936</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15,911</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10,990</w:t>
            </w:r>
          </w:p>
        </w:tc>
        <w:tc>
          <w:tcPr>
            <w:tcW w:w="32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11,871</w:t>
            </w:r>
          </w:p>
        </w:tc>
        <w:tc>
          <w:tcPr>
            <w:tcW w:w="326" w:type="dxa"/>
            <w:tcBorders/>
            <w:shd w:fill="CCEEFF" w:val="clear"/>
            <w:vAlign w:val="center"/>
          </w:tcPr>
          <w:p>
            <w:pPr>
              <w:pStyle w:val="TableContents"/>
              <w:bidi w:val="0"/>
              <w:spacing w:before="0" w:after="0"/>
              <w:ind w:left="0" w:right="0" w:hanging="0"/>
              <w:jc w:val="left"/>
              <w:rPr/>
            </w:pPr>
            <w:r>
              <w:rPr/>
              <w:t>​</w:t>
            </w:r>
          </w:p>
        </w:tc>
        <w:tc>
          <w:tcPr>
            <w:tcW w:w="1151" w:type="dxa"/>
            <w:gridSpan w:val="5"/>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58,149</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25,523</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99,234</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57,748</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01" w:name="Tc_fJCafG07o0OPy6-T7Wg_wQ_16_5"/>
      <w:bookmarkStart w:id="1002" w:name="Tc_Ych-c82AFECZB6gDGKMz8A_16_2"/>
      <w:bookmarkStart w:id="1003" w:name="Tc_jKpwQSvXN0OXWGF--QQPIg_16_0"/>
      <w:bookmarkStart w:id="1004" w:name="Tc_sSsCGeg8H0OZufV1uVsFxg_15_0"/>
      <w:bookmarkStart w:id="1005" w:name="Tc__llu0HMW1kK2Un3QYwL8Vg_14_0"/>
      <w:bookmarkStart w:id="1006" w:name="Tc_kLkh4XWi5UaABy3-mx9R6A_13_0"/>
      <w:bookmarkStart w:id="1007" w:name="Tc_Xw-wPxGszUmaJ8yQuayBbA_12_0"/>
      <w:bookmarkStart w:id="1008" w:name="Tc_3ab7KLL6IkqwgMGoBAjLrw_11_0"/>
      <w:bookmarkStart w:id="1009" w:name="Tc_YsPmhFmbs0ekUIyavIRQiw_10_3"/>
      <w:bookmarkStart w:id="1010" w:name="Tc_BVRKzBkncUWmJQYNHMXJew_10_0"/>
      <w:bookmarkStart w:id="1011" w:name="Tc_ujn7Hcf4JUqtBz05ZxpacA_9_6"/>
      <w:bookmarkStart w:id="1012" w:name="Tc_6xbYLETteUSxMdEzHOlXLg_9_3"/>
      <w:bookmarkStart w:id="1013" w:name="Tc_UGy2RgaOKEmHQPgAoZ1kzg_9_0"/>
      <w:bookmarkStart w:id="1014" w:name="Tc_EKgPGbJ_TU6DuuK6ATRt0g_8_3"/>
      <w:bookmarkStart w:id="1015" w:name="Tc_sDKUynwA-kaOUSF4ww6weA_8_0"/>
      <w:bookmarkStart w:id="1016" w:name="Tc_twCbfRnY5UeYSfS5_CvHTw_7_0"/>
      <w:bookmarkStart w:id="1017" w:name="Tc_PUI73U1vkUC5pIzghwpKdA_6_6"/>
      <w:bookmarkStart w:id="1018" w:name="Tc_SnJGosINQk21hpvMdVKabA_6_3"/>
      <w:bookmarkStart w:id="1019" w:name="Tc_HtffbZZPv0-EnVwLzVddYg_6_0"/>
      <w:bookmarkStart w:id="1020" w:name="Tc_pFFUbsWNukipJESxJaHQsA_5_6"/>
      <w:bookmarkStart w:id="1021" w:name="Tc_kj39W0oO402ygnddi5A_Dw_5_5"/>
      <w:bookmarkStart w:id="1022" w:name="Tc_CsazQkPD2ke3jA3EwY7cqw_5_2"/>
      <w:bookmarkStart w:id="1023" w:name="Tc_8F5zML22O0SBW4DszYErNw_5_0"/>
      <w:bookmarkStart w:id="1024" w:name="Tc_W9aIp5B49ESXvFEy37lGyQ_4_0"/>
      <w:bookmarkStart w:id="1025" w:name="Tc_TjNr_7oee0WGi_gPgsmn1A_3_2"/>
      <w:bookmarkStart w:id="1026" w:name="Tc_UJVxUWmFSEO3OcyxzMtmAw_2_5"/>
      <w:bookmarkStart w:id="1027" w:name="Tc_4iBLOWg2GUKOZFRyJZGUoQ_2_2"/>
      <w:bookmarkStart w:id="1028" w:name="Tc_regz7WIQiUWZXT8xySisIw_1_5"/>
      <w:bookmarkStart w:id="1029" w:name="Tc_NoIP-7a9CEqjGKv94zKHBA_1_2"/>
      <w:bookmarkStart w:id="1030" w:name="_312434a6_89dd_444a_a51f_21c2cb80edd3"/>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Fonts w:ascii="Times New Roman;Times;serif" w:hAnsi="Times New Roman;Times;serif"/>
          <w:b/>
          <w:sz w:val="20"/>
        </w:rPr>
        <w:t>5.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Debt obligations, excluding obligations under finance leases (see Note 6,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418" w:type="dxa"/>
        <w:jc w:val="left"/>
        <w:tblInd w:w="0" w:type="dxa"/>
        <w:tblLayout w:type="fixed"/>
        <w:tblCellMar>
          <w:top w:w="0" w:type="dxa"/>
          <w:left w:w="0" w:type="dxa"/>
          <w:bottom w:w="0" w:type="dxa"/>
          <w:right w:w="0" w:type="dxa"/>
        </w:tblCellMar>
      </w:tblPr>
      <w:tblGrid>
        <w:gridCol w:w="4486"/>
        <w:gridCol w:w="326"/>
        <w:gridCol w:w="242"/>
        <w:gridCol w:w="898"/>
        <w:gridCol w:w="326"/>
        <w:gridCol w:w="232"/>
        <w:gridCol w:w="908"/>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848610" cy="175260"/>
                      <wp:effectExtent l="0" t="0" r="0" b="0"/>
                      <wp:wrapNone/>
                      <wp:docPr id="107" name="Frame10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3670" cy="175260"/>
                      <wp:effectExtent l="0" t="0" r="0" b="0"/>
                      <wp:wrapNone/>
                      <wp:docPr id="109" name="Frame10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0230" cy="175260"/>
                      <wp:effectExtent l="0" t="0" r="0" b="0"/>
                      <wp:wrapNone/>
                      <wp:docPr id="110" name="Frame11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7320" cy="175260"/>
                      <wp:effectExtent l="0" t="0" r="0" b="0"/>
                      <wp:wrapNone/>
                      <wp:docPr id="112" name="Frame11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6580" cy="175260"/>
                      <wp:effectExtent l="0" t="0" r="0" b="0"/>
                      <wp:wrapNone/>
                      <wp:docPr id="113" name="Frame113"/>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New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Prior Credit Facilities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A Loan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 agreements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100,495</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99,381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107,447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91,386</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90,544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New Credit Facilities</w:t>
      </w:r>
    </w:p>
    <w:p>
      <w:pPr>
        <w:pStyle w:val="TextBody"/>
        <w:shd w:fill="FFFFFF" w:val="clear"/>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29, 2023 (the “Closing Date”), the Company and certain of its subsidiaries entered into a credit agreement (the “Credit Agreement”) with a syndicate of financial institutions as lenders and BMO Bank, N.A. (“BMO”), as administrative agent. The Credit Agreement replaced the Company’s Amended and Restated Credit Agreement, dated as of June 26, 2019, (as amended, the “Prior Credit Agreement”), by and among the Company, the guarantors party thereto, BMO as administrative agent and lender and the lenders party thereto.</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Credit Agreement provides for (i) a $100.0 million term loan (the “Term Loan”) and (ii) a $50.0 million revolving credit facility (the “Revolving Credit Facility”, and collectively with the Term Loan, the “Credit Facilities”), each maturing on September 29, 2026. The Company may also request lenders to add incremental term loans or increase the aggregate commitment under the Revolving Credit Facility by an aggregate amount of up to $75.0 million, subject to meeting certain conditions, and only if the lenders agree to provide such additional term loans or revolving commitments.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Borrowings under the Credit Facilities bear interest at either a Base Rate (as defined in the Credit Agreement) or the adjusted Secured Overnight Financing Rate (“SOFR”), at the Company’s option, and in each case, plus an applicable margin, which applicable margin ranges from 0.75%</w:t>
      </w:r>
      <w:r>
        <w:rPr>
          <w:rFonts w:ascii="Times New Roman;Times;serif" w:hAnsi="Times New Roman;Times;serif"/>
          <w:sz w:val="24"/>
        </w:rPr>
        <w:t xml:space="preserve"> </w:t>
      </w:r>
      <w:r>
        <w:rPr>
          <w:rFonts w:ascii="Times New Roman;Times;serif" w:hAnsi="Times New Roman;Times;serif"/>
          <w:sz w:val="20"/>
        </w:rPr>
        <w:t>to 2.00%</w:t>
      </w:r>
      <w:r>
        <w:rPr>
          <w:rFonts w:ascii="Times New Roman;Times;serif" w:hAnsi="Times New Roman;Times;serif"/>
          <w:sz w:val="24"/>
        </w:rPr>
        <w:t xml:space="preserve"> </w:t>
      </w:r>
      <w:r>
        <w:rPr>
          <w:rFonts w:ascii="Times New Roman;Times;serif" w:hAnsi="Times New Roman;Times;serif"/>
          <w:sz w:val="20"/>
        </w:rPr>
        <w:t>with respect to Base Rate borrowings and 1.75%</w:t>
      </w:r>
      <w:r>
        <w:rPr>
          <w:rFonts w:ascii="Times New Roman;Times;serif" w:hAnsi="Times New Roman;Times;serif"/>
          <w:sz w:val="24"/>
        </w:rPr>
        <w:t xml:space="preserve"> </w:t>
      </w:r>
      <w:r>
        <w:rPr>
          <w:rFonts w:ascii="Times New Roman;Times;serif" w:hAnsi="Times New Roman;Times;serif"/>
          <w:sz w:val="20"/>
        </w:rPr>
        <w:t>to 3.00%</w:t>
      </w:r>
      <w:r>
        <w:rPr>
          <w:rFonts w:ascii="Times New Roman;Times;serif" w:hAnsi="Times New Roman;Times;serif"/>
          <w:sz w:val="24"/>
        </w:rPr>
        <w:t xml:space="preserve"> </w:t>
      </w:r>
      <w:r>
        <w:rPr>
          <w:rFonts w:ascii="Times New Roman;Times;serif" w:hAnsi="Times New Roman;Times;serif"/>
          <w:sz w:val="20"/>
        </w:rPr>
        <w:t xml:space="preserve">with respect to SOFR borrowings, depending on the Company’s Total Net Leverage Ratio (as defined in the Credit Agreement); provided, that SOFR and the Base Rate cannot be less </w:t>
      </w:r>
      <w:r>
        <w:rPr>
          <w:rFonts w:ascii="Times New Roman;Times;serif" w:hAnsi="Times New Roman;Times;serif"/>
          <w:b w:val="false"/>
          <w:i w:val="false"/>
          <w:caps w:val="false"/>
          <w:smallCaps w:val="false"/>
          <w:sz w:val="20"/>
        </w:rPr>
        <w:t>than</w:t>
      </w:r>
      <w:r>
        <w:rPr>
          <w:rFonts w:ascii="Times New Roman;Times;serif" w:hAnsi="Times New Roman;Times;serif"/>
          <w:sz w:val="24"/>
        </w:rPr>
        <w:t xml:space="preserve"> </w:t>
      </w:r>
      <w:r>
        <w:rPr>
          <w:rFonts w:ascii="Times New Roman;Times;serif" w:hAnsi="Times New Roman;Times;serif"/>
          <w:sz w:val="20"/>
        </w:rPr>
        <w:t>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w:t>
      </w:r>
      <w:r>
        <w:rPr>
          <w:rFonts w:ascii="Times New Roman;Times;serif" w:hAnsi="Times New Roman;Times;serif"/>
          <w:sz w:val="24"/>
        </w:rPr>
        <w:t xml:space="preserve"> </w:t>
      </w:r>
      <w:r>
        <w:rPr>
          <w:rFonts w:ascii="Times New Roman;Times;serif" w:hAnsi="Times New Roman;Times;serif"/>
          <w:sz w:val="20"/>
        </w:rPr>
        <w:t>to 0.40%</w:t>
      </w:r>
      <w:r>
        <w:rPr>
          <w:rFonts w:ascii="Times New Roman;Times;serif" w:hAnsi="Times New Roman;Times;serif"/>
          <w:sz w:val="24"/>
        </w:rPr>
        <w:t xml:space="preserve"> </w:t>
      </w:r>
      <w:r>
        <w:rPr>
          <w:rFonts w:ascii="Times New Roman;Times;serif" w:hAnsi="Times New Roman;Times;serif"/>
          <w:sz w:val="20"/>
        </w:rPr>
        <w:t>per annum depending on the Company’s Total Net Leverage Ratio, and fees on the face amount of any letters of credit outstanding under the Revolving Credit Facility, which range from 1.3125%</w:t>
      </w:r>
      <w:r>
        <w:rPr>
          <w:rFonts w:ascii="Times New Roman;Times;serif" w:hAnsi="Times New Roman;Times;serif"/>
          <w:sz w:val="24"/>
        </w:rPr>
        <w:t xml:space="preserve"> </w:t>
      </w:r>
      <w:r>
        <w:rPr>
          <w:rFonts w:ascii="Times New Roman;Times;serif" w:hAnsi="Times New Roman;Times;serif"/>
          <w:sz w:val="20"/>
        </w:rPr>
        <w:t>to 2.25%</w:t>
      </w:r>
      <w:r>
        <w:rPr>
          <w:rFonts w:ascii="Times New Roman;Times;serif" w:hAnsi="Times New Roman;Times;serif"/>
          <w:sz w:val="24"/>
        </w:rPr>
        <w:t xml:space="preserve"> </w:t>
      </w:r>
      <w:r>
        <w:rPr>
          <w:rFonts w:ascii="Times New Roman;Times;serif" w:hAnsi="Times New Roman;Times;serif"/>
          <w:sz w:val="20"/>
        </w:rPr>
        <w:t xml:space="preserve">per annum, in each case, depending on the Company’s Total Net Leverage Ratio, as well as customary fronting fees payable to BMO as letter of credit issuer. In connection with the closing of the Credit Facilities, the Company paid certain other fees and expenses. </w:t>
      </w:r>
    </w:p>
    <w:p>
      <w:pPr>
        <w:pStyle w:val="TextBody"/>
        <w:bidi w:val="0"/>
        <w:spacing w:before="100" w:after="1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 issuance costs are amortized to interest expense over the term of the loan, and as of September 29, 2023, issuance costs of $1.1 million remained unamortized. The Revolving Credit Facility issuance costs of $0.5 million are included in assets in the accompanying Condensed Consolidated Balance Sheets.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Group, Inc. is the borrower under the Credit Agreement and its obligations under the Credit Agreement are guaranteed by its present and future domestic subsidiaries (other than inactive subsidiaries). In addition, subject to certain exceptions, all such obligations are secured by substantially all of the assets of Willdan Group, Inc. and the subsidiary guarantors (other than inactive subsidiaries).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Credit Agreement requires compliance with financial covenants, including a maximum Net Leverage Ratio and a minimum Fixed Charge Coverage Ratio (as defined in the Credit Agreement). The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Credit Agreement limits the Company’s payment of future dividends and distributions and share repurchases by the Company. Subject to certain exceptions, the borrowings under the Credit Agreement are also subject to mandatory prepayment from (a) any issuances of debt or equity securities, (b) any sale or disposition of assets, (c) insurance and condemnation proceeds, and (d) a percentage of excess cash flow. The Credit Agreement includes customary events of default.</w:t>
      </w:r>
    </w:p>
    <w:p>
      <w:pPr>
        <w:pStyle w:val="TextBody"/>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29, 2023, the Company was in compliance with all covenants contained in the Credit Agreement. In addition, as of September 29, 2023, the Company’s composite interest rate, exclusive of the effects of upfront fees, undrawn fees and issuance cost amortization, was 8.4%. </w:t>
      </w:r>
    </w:p>
    <w:p>
      <w:pPr>
        <w:pStyle w:val="TextBody"/>
        <w:bidi w:val="0"/>
        <w:spacing w:before="100" w:after="10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Prior Credit Facilities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26, 2019, the Company and certain of its subsidiaries entered into the Prior Credit Agreement with a syndicate of financial institutions as lenders and BMO Harris Bank, N.A., as administrative agent (the “Administrative Agent”). The Prior Credit Agreement provided for (i) a $100.0 million secured term loan (the “Term A Loan”), (ii) up to $50.0 million in delayed draw secured term loans (the “Delayed Draw Term Loan”), and (iii) a $50.0 million secured revolving credit facility (the “Revolving Credit Facility” and, collectively with the Term A Loan and the Delayed Draw Term Loan, the “Prior Credit Facilities”), each maturing on June 26, 2024. The Company’s obligations under the Prior Credit Agreement were guaranteed by its present and future domestic subsidiaries, with limited exceptions.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terms of the Seventh Amendment to the Prior Credit Agreement (the “Seventh Amendment”), among other things, (A) aggregate borrowings under the Revolving Credit Facility were restricted to no more than $10.0 million at any time during the period from November 1, 2022 through the date on which financial statements and compliance documents were received by the Administrative Agent for the fiscal quarter ending March 31, 2023, and (B) access to the accordion feature of the Prior Credit Agreement was limited to periods when the Company’s Total Leverage Ratio (as defined in the Prior Credit Agreement) was less than 3.0.</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April 28, 2023, the Company delivered to the Administrative Agent the required financial statements and compliance documents for the fiscal quarter ending March 31, 2023, reflecting full compliance with the restrictive covenants under the Prior Credit Agreement, and thus effectively terminating the limitations on borrowing capacity and other restrictions imposed under the terms set by the Seventh Amendment.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Effective April 28, 2023, borrowings under the Prior Credit Agreement bore interest at either a Base Rate (as defined in the Prior Credit Agreement) or the SOFR, at the Company’s option, and in each case, plus an applicable margin, which applicable margin ranged from 0.125% to 1.25% with respect to Base Rate borrowings and 1.125% to 2.25% with respect to SOFR borrowings, depending on the Total Leverage Ratio; provided, that SOFR could not be less than 0.00%, with the specific pricing reset on each date on which the Administrative Agent received the required financial statements under the Prior Credit Agreement for the fiscal quarter then ended. The Company was obligated to also pay a commitment fee for the unused portion of the Revolving Credit Facility and the Delayed Draw Term Loan under the Prior Credit Agreement, which ranged from 0.15% to 0.40% per annum depending on the Total Leverage Ratio, and fees on the face amount of any letters of credit outstanding under the Revolving Credit Facility, which ranged from 0.84% to 1.688% per annum, in each case, depending on whether such letter of credit is a performance or financial letter of credit and the Total Leverage Ratio.</w:t>
      </w:r>
    </w:p>
    <w:p>
      <w:pPr>
        <w:pStyle w:val="TextBody"/>
        <w:shd w:fill="FFFFFF" w:val="clear"/>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Prior Credit Agreement required the Company to comply with certain financial covenants, including requiring that the Company maintain a (i) Total Leverage Ratio of at least 3.25 to 1.00, and (ii) Fixed Charge Coverage Ratio (as defined in the Prior Credit Agreement) of not less than 1.20 to 1.00, in each case tested quarterly. The Prior Credit Agreement also contained customary events of default and contains other customary restrictive covenants.</w:t>
      </w:r>
    </w:p>
    <w:p>
      <w:pPr>
        <w:pStyle w:val="TextBody"/>
        <w:bidi w:val="0"/>
        <w:spacing w:before="100" w:after="100"/>
        <w:ind w:left="0" w:right="0" w:firstLine="72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Other Debt Agreements</w:t>
      </w:r>
    </w:p>
    <w:p>
      <w:pPr>
        <w:pStyle w:val="TextBody"/>
        <w:bidi w:val="0"/>
        <w:spacing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Company’s other debt agreements are related to financed insurance premiums, a financed software agreement, and a utility customer agreement, and are immaterial to the Company’s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31" w:name="xxx"/>
      <w:bookmarkEnd w:id="1031"/>
      <w:r>
        <w:rPr>
          <w:rFonts w:ascii="Times New Roman;Times;serif" w:hAnsi="Times New Roman;Times;serif"/>
          <w:b/>
          <w:sz w:val="20"/>
        </w:rPr>
        <w:t>6.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the year 2028. In addition, the Company is obligated under finance leases for certain furniture and office equipment that expire at various dates through the year 2028.</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September 29, 2023,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0"/>
        <w:ind w:left="0" w:right="0" w:firstLine="720"/>
        <w:jc w:val="left"/>
        <w:rPr/>
      </w:pPr>
      <w:r>
        <w:rP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it will exercise that option. Lease expense for minimum lease payments is recognized on a straight-line basis over the lease term.</w:t>
      </w:r>
    </w:p>
    <w:p>
      <w:pPr>
        <w:pStyle w:val="TextBody"/>
        <w:bidi w:val="0"/>
        <w:spacing w:before="100" w:after="1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032" w:name="Tc_Sm6M57K_dUqnZKzBiurQuw_26_7"/>
      <w:bookmarkStart w:id="1033" w:name="Tc_w34Aj2haLUWuRA8o9ZigWw_26_4"/>
      <w:bookmarkStart w:id="1034" w:name="Tc_sgZL8WhteUykud2aQ3FRmQ_26_0"/>
      <w:bookmarkStart w:id="1035" w:name="Tc_YXceumJ0cU2SjPriRRUaCg_25_7"/>
      <w:bookmarkStart w:id="1036" w:name="Tc_bKm99oH_dku6jeL6HGDL0w_25_4"/>
      <w:bookmarkStart w:id="1037" w:name="Tc_SZ8A0nVSe0SfaQp69ZbEfg_25_0"/>
      <w:bookmarkStart w:id="1038" w:name="Tc_1TcQuzPto0aST0CL619lsQ_24_0"/>
      <w:bookmarkStart w:id="1039" w:name="Tc_NFBZjUBcTEq72IpkeBrftQ_22_0"/>
      <w:bookmarkStart w:id="1040" w:name="Tc_2hOWEFwYTEiS4GTlPpbItA_21_0"/>
      <w:bookmarkStart w:id="1041" w:name="Tc_9DesfgUQpEWR0hUAPVvAUw_20_0"/>
      <w:bookmarkStart w:id="1042" w:name="Tc_XZNtI08MuUe2G_V3Q3hb5Q_18_5"/>
      <w:bookmarkStart w:id="1043" w:name="Tc_WPkEIAanE0-g_717vHR44g_18_2"/>
      <w:bookmarkStart w:id="1044" w:name="Tc_eYUWEoy0dEyKMCL__Uh4jg_18_0"/>
      <w:bookmarkStart w:id="1045" w:name="Tc_VwisYH3_K0iqL03vUZVf-Q_17_0"/>
      <w:bookmarkStart w:id="1046" w:name="Tc_CXRu94JR4UCdCsai-f5s2Q_16_5"/>
      <w:bookmarkStart w:id="1047" w:name="Tc_b5j6OafSFkWJxEXzj8Rh8A_16_2"/>
      <w:bookmarkStart w:id="1048" w:name="Tc_OHkn5NIEWUmsN29PxgVUiQ_16_0"/>
      <w:bookmarkStart w:id="1049" w:name="Tc_nfGwE2mGF0KCgx58PsT7RQ_14_5"/>
      <w:bookmarkStart w:id="1050" w:name="Tc_yuHWahOqn0WgbEBM2ZAcFw_14_2"/>
      <w:bookmarkStart w:id="1051" w:name="Tc_wCd5uv5XbkOngH-tchmwXw_13_0"/>
      <w:bookmarkStart w:id="1052" w:name="Tc_mYwpMKILv0GNplBb3On1UA_12_5"/>
      <w:bookmarkStart w:id="1053" w:name="Tc_Se3zLxOgjUyEJSUQ-jLC6Q_12_2"/>
      <w:bookmarkStart w:id="1054" w:name="Tc_hcqM2mhXQkerMqxsO7S23g_12_0"/>
      <w:bookmarkStart w:id="1055" w:name="Tc_6SpPjhUmPU6t9uGyizwfVg_11_0"/>
      <w:bookmarkStart w:id="1056" w:name="Tc_6eZnLuGnPEiyNXmWGH2s-g_9_5"/>
      <w:bookmarkStart w:id="1057" w:name="Tc_DK8M00celkOIPyYA2cMsqQ_9_2"/>
      <w:bookmarkStart w:id="1058" w:name="Tc_fWa6G4q4R0Cpvdo-n6xQMw_9_0"/>
      <w:bookmarkStart w:id="1059" w:name="Tc_aZpZS4nVpEynnGF0QM86Qw_8_0"/>
      <w:bookmarkStart w:id="1060" w:name="Tc_EMNpM5jeGU-7VjPpZxcTjA_7_5"/>
      <w:bookmarkStart w:id="1061" w:name="Tc_AnC96JI7qEC854BbTJ2UkA_7_2"/>
      <w:bookmarkStart w:id="1062" w:name="Tc_TXwIjLaILkCeeBwrKZjuZw_7_0"/>
      <w:bookmarkStart w:id="1063" w:name="Tc_xDYH-AlaqU6ufxCiha2WFw_5_5"/>
      <w:bookmarkStart w:id="1064" w:name="Tc_mXFBkuS0NkatOCTJu3Bmcw_5_2"/>
      <w:bookmarkStart w:id="1065" w:name="Tc_8Grh453tI0CWld-RNoL2TA_5_0"/>
      <w:bookmarkStart w:id="1066" w:name="Tc_mlszcz88iEmlDfNsBrNqSA_4_0"/>
      <w:bookmarkStart w:id="1067" w:name="Tc_akahysC1jkyMIk_k0SUmsQ_3_2"/>
      <w:bookmarkStart w:id="1068" w:name="Tc_8moO8fCV7EaQqzl6am2b5g_2_5"/>
      <w:bookmarkStart w:id="1069" w:name="Tc_EHF6TXXCYE-_hElBOJGdFw_2_2"/>
      <w:bookmarkStart w:id="1070" w:name="Tc_o63_T-f30U2YDQtxPplh7g_1_5"/>
      <w:bookmarkStart w:id="1071" w:name="Tc_n7E48LDlt0GzBdilO1H1Mg_1_2"/>
      <w:bookmarkStart w:id="1072" w:name="_5c1f5a99_fb42_44fe_9155_061cb791ebd0"/>
      <w:bookmarkStart w:id="1073" w:name="Tc_1_w-Nq3TxUCiCMYDgdtbGA_10_10"/>
      <w:bookmarkStart w:id="1074" w:name="Tc_cDlIh7qy40mjC8FAwnHkhg_10_7"/>
      <w:bookmarkStart w:id="1075" w:name="Tc__a-xA9G16EyjN0GZVSVXxw_10_4"/>
      <w:bookmarkStart w:id="1076" w:name="Tc_nqwKqUQUtEqwgGcy26yHXg_10_1"/>
      <w:bookmarkStart w:id="1077" w:name="Tc_PCxWW6T_x0GE0OgrkvZr_Q_10_0"/>
      <w:bookmarkStart w:id="1078" w:name="Tc_v9AqTWrFYkyC7lqrxa33Ng_9_0"/>
      <w:bookmarkStart w:id="1079" w:name="Tc_ng77PBsPxE2BOpu6mOQ7iw_8_0"/>
      <w:bookmarkStart w:id="1080" w:name="Tc_dAogoQVoW0KUdBF99Y4DaA_7_0"/>
      <w:bookmarkStart w:id="1081" w:name="Tc_46yXzvuZ00SZMxwCNygg6A_6_11"/>
      <w:bookmarkStart w:id="1082" w:name="Tc_ueC368AXr0udnLMdef4kyQ_6_5"/>
      <w:bookmarkStart w:id="1083" w:name="Tc_K3h418g0KkiUrUrv5r-S4Q_6_0"/>
      <w:bookmarkStart w:id="1084" w:name="Tc_enmIb-x2eEylL0ErTaVxww_5_10"/>
      <w:bookmarkStart w:id="1085" w:name="Tc_1ycMd8v0sUSKeK70pazhiQ_5_7"/>
      <w:bookmarkStart w:id="1086" w:name="Tc_6_Fwsphflk-8JhjC1n139w_5_4"/>
      <w:bookmarkStart w:id="1087" w:name="Tc_l_pw3eHxIE2n0DzJM_ooSw_5_1"/>
      <w:bookmarkStart w:id="1088" w:name="Tc_nIVvjITEFUCYPr3hf9u3XQ_5_0"/>
      <w:bookmarkStart w:id="1089" w:name="Tc_np2JRI8GbEOXiWqnnJ36Mg_4_7"/>
      <w:bookmarkStart w:id="1090" w:name="Tc_C6KfeAZN30imYUVxYBdlYw_4_1"/>
      <w:bookmarkStart w:id="1091" w:name="Tc_sHq2yW8ieE-884Qg8-fAOg_3_10"/>
      <w:bookmarkStart w:id="1092" w:name="Tc_OwLeRgIne0m0t5kEZcAFIA_3_7"/>
      <w:bookmarkStart w:id="1093" w:name="Tc_PSbV2B-TI0mz_wrG9ZpxgA_3_4"/>
      <w:bookmarkStart w:id="1094" w:name="Tc_rUFhS548fkq6QvrdwcGHBw_3_1"/>
      <w:bookmarkStart w:id="1095" w:name="Tc__tZyH6hGnEqFq-h8AL5_7Q_2_10"/>
      <w:bookmarkStart w:id="1096" w:name="Tc_MOBIsP9YM06_ov_mnFJvew_2_7"/>
      <w:bookmarkStart w:id="1097" w:name="Tc_NQ4wjJ6BRkCHsbD9mXnK_A_2_4"/>
      <w:bookmarkStart w:id="1098" w:name="Tc_z-kLzI3tWEG2lX03OACsTA_2_1"/>
      <w:bookmarkStart w:id="1099" w:name="Tc_JG-sMqsJo0GIMaiLvE7WSQ_1_7"/>
      <w:bookmarkStart w:id="1100" w:name="Tc_w45bQlotmkyD70aCRZfHWg_1_1"/>
      <w:bookmarkStart w:id="1101" w:name="_9ee4b882_7b2c_4a23_9a8c_86e8929a3c68"/>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ascii="Times New Roman;Times;serif" w:hAnsi="Times New Roman;Times;serif"/>
          <w:sz w:val="20"/>
        </w:rPr>
        <w:t>The following is a summary of the Company’s lease expense:</w:t>
      </w:r>
    </w:p>
    <w:p>
      <w:pPr>
        <w:pStyle w:val="TextBody"/>
        <w:bidi w:val="0"/>
        <w:spacing w:before="0" w:after="0"/>
        <w:ind w:left="0" w:right="0" w:firstLine="720"/>
        <w:jc w:val="left"/>
        <w:rPr/>
      </w:pPr>
      <w:r>
        <w:rPr/>
        <w:t>​</w:t>
      </w:r>
    </w:p>
    <w:tbl>
      <w:tblPr>
        <w:tblW w:w="7834" w:type="dxa"/>
        <w:jc w:val="left"/>
        <w:tblInd w:w="0" w:type="dxa"/>
        <w:tblLayout w:type="fixed"/>
        <w:tblCellMar>
          <w:top w:w="0" w:type="dxa"/>
          <w:left w:w="0" w:type="dxa"/>
          <w:bottom w:w="0" w:type="dxa"/>
          <w:right w:w="0" w:type="dxa"/>
        </w:tblCellMar>
      </w:tblPr>
      <w:tblGrid>
        <w:gridCol w:w="2251"/>
        <w:gridCol w:w="307"/>
        <w:gridCol w:w="833"/>
        <w:gridCol w:w="326"/>
        <w:gridCol w:w="307"/>
        <w:gridCol w:w="833"/>
        <w:gridCol w:w="326"/>
        <w:gridCol w:w="307"/>
        <w:gridCol w:w="833"/>
        <w:gridCol w:w="326"/>
        <w:gridCol w:w="280"/>
        <w:gridCol w:w="905"/>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29385" cy="175260"/>
                      <wp:effectExtent l="0" t="0" r="0" b="0"/>
                      <wp:wrapNone/>
                      <wp:docPr id="114" name="Frame11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4945" cy="175260"/>
                      <wp:effectExtent l="0" t="0" r="0" b="0"/>
                      <wp:wrapNone/>
                      <wp:docPr id="115" name="Frame11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28955" cy="175260"/>
                      <wp:effectExtent l="0" t="0" r="0" b="0"/>
                      <wp:wrapNone/>
                      <wp:docPr id="116" name="Frame11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4945" cy="175260"/>
                      <wp:effectExtent l="0" t="0" r="0" b="0"/>
                      <wp:wrapNone/>
                      <wp:docPr id="118" name="Frame11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28955" cy="175260"/>
                      <wp:effectExtent l="0" t="0" r="0" b="0"/>
                      <wp:wrapNone/>
                      <wp:docPr id="119" name="Frame11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4945" cy="175260"/>
                      <wp:effectExtent l="0" t="0" r="0" b="0"/>
                      <wp:wrapNone/>
                      <wp:docPr id="121" name="Frame12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8955" cy="175260"/>
                      <wp:effectExtent l="0" t="0" r="0" b="0"/>
                      <wp:wrapNone/>
                      <wp:docPr id="122" name="Frame122"/>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77800" cy="175260"/>
                      <wp:effectExtent l="0" t="0" r="0" b="0"/>
                      <wp:wrapNone/>
                      <wp:docPr id="124" name="Frame12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74675" cy="175260"/>
                      <wp:effectExtent l="0" t="0" r="0" b="0"/>
                      <wp:wrapNone/>
                      <wp:docPr id="125" name="Frame125"/>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26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251"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2251"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51" w:type="dxa"/>
            <w:tcBorders/>
            <w:vAlign w:val="center"/>
          </w:tcPr>
          <w:p>
            <w:pPr>
              <w:pStyle w:val="TableContents"/>
              <w:bidi w:val="0"/>
              <w:spacing w:before="0" w:after="0"/>
              <w:ind w:left="0" w:right="0" w:hanging="0"/>
              <w:jc w:val="left"/>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firstLine="720"/>
        <w:jc w:val="left"/>
        <w:rPr/>
      </w:pPr>
      <w:r>
        <w:rPr/>
        <w:t>​</w:t>
      </w:r>
    </w:p>
    <w:tbl>
      <w:tblPr>
        <w:tblW w:w="9062" w:type="dxa"/>
        <w:jc w:val="left"/>
        <w:tblInd w:w="0" w:type="dxa"/>
        <w:tblLayout w:type="fixed"/>
        <w:tblCellMar>
          <w:top w:w="0" w:type="dxa"/>
          <w:left w:w="0" w:type="dxa"/>
          <w:bottom w:w="0" w:type="dxa"/>
          <w:right w:w="0" w:type="dxa"/>
        </w:tblCellMar>
      </w:tblPr>
      <w:tblGrid>
        <w:gridCol w:w="6076"/>
        <w:gridCol w:w="109"/>
        <w:gridCol w:w="266"/>
        <w:gridCol w:w="874"/>
        <w:gridCol w:w="326"/>
        <w:gridCol w:w="256"/>
        <w:gridCol w:w="839"/>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58260" cy="175260"/>
                      <wp:effectExtent l="0" t="0" r="0" b="0"/>
                      <wp:wrapNone/>
                      <wp:docPr id="126" name="Frame126"/>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8910" cy="175260"/>
                      <wp:effectExtent l="0" t="0" r="0" b="0"/>
                      <wp:wrapNone/>
                      <wp:docPr id="128" name="Frame12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54990" cy="175260"/>
                      <wp:effectExtent l="0" t="0" r="0" b="0"/>
                      <wp:wrapNone/>
                      <wp:docPr id="129" name="Frame12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2560" cy="175260"/>
                      <wp:effectExtent l="0" t="0" r="0" b="0"/>
                      <wp:wrapNone/>
                      <wp:docPr id="131" name="Frame13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32765" cy="175260"/>
                      <wp:effectExtent l="0" t="0" r="0" b="0"/>
                      <wp:wrapNone/>
                      <wp:docPr id="132" name="Frame13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0660" cy="175260"/>
                      <wp:effectExtent l="0" t="0" r="0" b="0"/>
                      <wp:wrapNone/>
                      <wp:docPr id="133" name="Frame1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12,695</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12,390</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4,729</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8,599</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14,558</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13,224</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5,503</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Rent expense was $1.7 million and $5.1 million for the three and nine months ended September 29, 2023, respectively, as compared to $1.6 million and $4.9 million for the three and nine months ended September 30, 2022,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102" w:name="Tc_GwvA1Sq_4UWBHPzKMCIrEQ_14_5"/>
      <w:bookmarkStart w:id="1103" w:name="Tc_imcAxoseN0ujUnS0vBfLUQ_14_2"/>
      <w:bookmarkStart w:id="1104" w:name="Tc_Ckg7Ujv_A0qVdHw2alqjrg_14_0"/>
      <w:bookmarkStart w:id="1105" w:name="Tc_AH2C1wwTE0iy9IXdRks6pg_13_0"/>
      <w:bookmarkStart w:id="1106" w:name="Tc_tHiRLy-xtUChXhc7X_5f-g_12_0"/>
      <w:bookmarkStart w:id="1107" w:name="Tc_5XlrYYiQ902EXpinAqcbxQ_11_0"/>
      <w:bookmarkStart w:id="1108" w:name="Tc_Ho0PpYqBzEyFtS3SeXHrww_10_0"/>
      <w:bookmarkStart w:id="1109" w:name="Tc_IlPLXkQeiU-6zvoBEPlQxQ_9_0"/>
      <w:bookmarkStart w:id="1110" w:name="Tc_Kf3djdYFfEy41n2ERx08Ng_8_0"/>
      <w:bookmarkStart w:id="1111" w:name="Tc_ZOfSvtHKBEabZJ0ueMCfDA_7_0"/>
      <w:bookmarkStart w:id="1112" w:name="Tc_rd1ZSMWLbEKfelRIKWZF2Q_6_0"/>
      <w:bookmarkStart w:id="1113" w:name="Tc_dpW3X_m_GEiHA4JdA4qoiQ_5_0"/>
      <w:bookmarkStart w:id="1114" w:name="Tc_yUzM1-EvQkmtUF9VWWOHmw_4_5"/>
      <w:bookmarkStart w:id="1115" w:name="Tc_aY6o3KPEUEWkVvEUWGdZaQ_4_2"/>
      <w:bookmarkStart w:id="1116" w:name="Tc_PAKV723V60uSnhy0c5ejpA_4_0"/>
      <w:bookmarkStart w:id="1117" w:name="Tc_R1zAKPNtqkO5YtaVnCFeJg_3_0"/>
      <w:bookmarkStart w:id="1118" w:name="Tc_wTapz0a_d06Eu0cbPa9IsQ_2_2"/>
      <w:bookmarkStart w:id="1119" w:name="Tc_-tNUuyn5fECT7_owFFjxAg_1_5"/>
      <w:bookmarkStart w:id="1120" w:name="Tc_PI3nTyzRgEWpZ_k98UDn0Q_1_2"/>
      <w:bookmarkStart w:id="1121" w:name="_1e3a943f_a13e_4b2f_85fa_69288b81f6cd"/>
      <w:bookmarkStart w:id="1122" w:name="Tc_zccpZ-_oD0aqdR-aGA_Gag_11_5"/>
      <w:bookmarkStart w:id="1123" w:name="Tc_kkRSXlR89U-mzOASiPUftA_11_2"/>
      <w:bookmarkStart w:id="1124" w:name="Tc_Ns8HAr3JYEyEbkcFqXslUQ_11_0"/>
      <w:bookmarkStart w:id="1125" w:name="Tc_c6DKRC1BpUOCvcWaq0GzaQ_10_0"/>
      <w:bookmarkStart w:id="1126" w:name="Tc_74ZzLMbM9kKtk_HEfHY7TQ_8_0"/>
      <w:bookmarkStart w:id="1127" w:name="Tc_llWoBw9D6kaOxmqX_4fZ1A_7_0"/>
      <w:bookmarkStart w:id="1128" w:name="Tc_yHXW-ppQnU-mZfCqfppKFQ_6_5"/>
      <w:bookmarkStart w:id="1129" w:name="Tc_VK_clQ9eiEysH4ysyIwe-Q_6_2"/>
      <w:bookmarkStart w:id="1130" w:name="Tc_BfbavBTP1k2q3aV3gBldLQ_6_0"/>
      <w:bookmarkStart w:id="1131" w:name="Tc_Z33RxpuzT0-E5rPbS75apw_5_0"/>
      <w:bookmarkStart w:id="1132" w:name="Tc_1L9iQumJZUW5wfieekh7yg_4_2"/>
      <w:bookmarkStart w:id="1133" w:name="Tc_ucVdt-fVs0-i6HE_OpMg7w_3_5"/>
      <w:bookmarkStart w:id="1134" w:name="Tc_18T5dES35E-4MzBCkFW3QQ_3_2"/>
      <w:bookmarkStart w:id="1135" w:name="Tc_JBTBpikJjkaaa9NefO5BQw_2_5"/>
      <w:bookmarkStart w:id="1136" w:name="Tc_KkeG87GF90Cq5CBunkbynQ_2_2"/>
      <w:bookmarkStart w:id="1137" w:name="Tc_0eTO7dYQk0SIExQWINHDZA_1_2"/>
      <w:bookmarkStart w:id="1138" w:name="_49b25e5b_8c25_4169_902e_110e24caa58e"/>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sz w:val="20"/>
        </w:rPr>
        <w:t xml:space="preserve">The following is a summary of other information and supplemental cash flow information related to finance and operating leases: </w:t>
      </w:r>
    </w:p>
    <w:p>
      <w:pPr>
        <w:pStyle w:val="TextBody"/>
        <w:bidi w:val="0"/>
        <w:spacing w:before="0" w:after="0"/>
        <w:ind w:left="0" w:right="0" w:hanging="0"/>
        <w:jc w:val="left"/>
        <w:rPr/>
      </w:pPr>
      <w:r>
        <w:rPr/>
        <w:t>​</w:t>
      </w:r>
    </w:p>
    <w:tbl>
      <w:tblPr>
        <w:tblW w:w="8626" w:type="dxa"/>
        <w:jc w:val="left"/>
        <w:tblInd w:w="0" w:type="dxa"/>
        <w:tblLayout w:type="fixed"/>
        <w:tblCellMar>
          <w:top w:w="0" w:type="dxa"/>
          <w:left w:w="0" w:type="dxa"/>
          <w:bottom w:w="0" w:type="dxa"/>
          <w:right w:w="0" w:type="dxa"/>
        </w:tblCellMar>
      </w:tblPr>
      <w:tblGrid>
        <w:gridCol w:w="5866"/>
        <w:gridCol w:w="109"/>
        <w:gridCol w:w="307"/>
        <w:gridCol w:w="833"/>
        <w:gridCol w:w="326"/>
        <w:gridCol w:w="280"/>
        <w:gridCol w:w="905"/>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24910" cy="175260"/>
                      <wp:effectExtent l="0" t="0" r="0" b="0"/>
                      <wp:wrapNone/>
                      <wp:docPr id="134" name="Frame13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4945" cy="175260"/>
                      <wp:effectExtent l="0" t="0" r="0" b="0"/>
                      <wp:wrapNone/>
                      <wp:docPr id="136" name="Frame13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28955" cy="175260"/>
                      <wp:effectExtent l="0" t="0" r="0" b="0"/>
                      <wp:wrapNone/>
                      <wp:docPr id="137" name="Frame13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77800" cy="175260"/>
                      <wp:effectExtent l="0" t="0" r="0" b="0"/>
                      <wp:wrapNone/>
                      <wp:docPr id="139" name="Frame13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4675" cy="175260"/>
                      <wp:effectExtent l="0" t="0" r="0" b="0"/>
                      <wp:wrapNone/>
                      <wp:docPr id="140" name="Frame140"/>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maturities of lease liabilities as of September 29, 2023:</w:t>
      </w:r>
    </w:p>
    <w:p>
      <w:pPr>
        <w:pStyle w:val="TextBody"/>
        <w:bidi w:val="0"/>
        <w:spacing w:before="100" w:after="100"/>
        <w:ind w:left="0" w:right="0" w:firstLine="720"/>
        <w:jc w:val="left"/>
        <w:rPr/>
      </w:pPr>
      <w:r>
        <w:rPr/>
        <w:t>​</w:t>
      </w:r>
    </w:p>
    <w:tbl>
      <w:tblPr>
        <w:tblW w:w="4988" w:type="dxa"/>
        <w:jc w:val="left"/>
        <w:tblInd w:w="0" w:type="dxa"/>
        <w:tblLayout w:type="fixed"/>
        <w:tblCellMar>
          <w:top w:w="0" w:type="dxa"/>
          <w:left w:w="0" w:type="dxa"/>
          <w:bottom w:w="0" w:type="dxa"/>
          <w:right w:w="0" w:type="dxa"/>
        </w:tblCellMar>
      </w:tblPr>
      <w:tblGrid>
        <w:gridCol w:w="2461"/>
        <w:gridCol w:w="326"/>
        <w:gridCol w:w="211"/>
        <w:gridCol w:w="691"/>
        <w:gridCol w:w="32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562735" cy="175895"/>
                      <wp:effectExtent l="0" t="0" r="0" b="0"/>
                      <wp:wrapNone/>
                      <wp:docPr id="141" name="Frame141"/>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895"/>
                      <wp:effectExtent l="0" t="0" r="0" b="0"/>
                      <wp:wrapNone/>
                      <wp:docPr id="142" name="Frame14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895"/>
                      <wp:effectExtent l="0" t="0" r="0" b="0"/>
                      <wp:wrapNone/>
                      <wp:docPr id="143" name="Frame14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38785" cy="175895"/>
                      <wp:effectExtent l="0" t="0" r="0" b="0"/>
                      <wp:wrapNone/>
                      <wp:docPr id="144" name="Frame144"/>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895"/>
                      <wp:effectExtent l="0" t="0" r="0" b="0"/>
                      <wp:wrapNone/>
                      <wp:docPr id="145" name="Frame14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895"/>
                      <wp:effectExtent l="0" t="0" r="0" b="0"/>
                      <wp:wrapNone/>
                      <wp:docPr id="146" name="Frame14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895"/>
                      <wp:effectExtent l="0" t="0" r="0" b="0"/>
                      <wp:wrapNone/>
                      <wp:docPr id="147" name="Frame14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1285" cy="175895"/>
                      <wp:effectExtent l="0" t="0" r="0" b="0"/>
                      <wp:wrapNone/>
                      <wp:docPr id="148" name="Frame14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01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4,999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1,195</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3,994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3,369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16,191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2,561</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(1,633)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14,558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4,729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9,829</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Plan, the Company may make discretionary contributions to employee accounts. During the nine months ended September 29, 2023 and September 30, 2022, the Company made matching contributions of $1.9 million </w:t>
      </w:r>
      <w:r>
        <w:rPr>
          <w:rFonts w:ascii="Times New Roman;Times;serif" w:hAnsi="Times New Roman;Times;serif"/>
          <w:sz w:val="20"/>
          <w:shd w:fill="FFFFFF" w:val="clear"/>
        </w:rPr>
        <w:t>and $2.0 million,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WES, acquired substantially all of the assets of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September 29, 2023, the Company had one VIE — Genesys.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139" w:name="Tc_6luIb3GP_U606etZKU5scQ_35_0"/>
      <w:bookmarkStart w:id="1140" w:name="Tc_brL-j32-00G4xenSEraBBw_34_12"/>
      <w:bookmarkStart w:id="1141" w:name="Tc_8WXqOc-G_E6A89NqYFIuHw_34_0"/>
      <w:bookmarkStart w:id="1142" w:name="Tc_m3Idr3LqmUG09el8a4n_wg_33_12"/>
      <w:bookmarkStart w:id="1143" w:name="Tc_brPoC1zDvEa7JvaoX5mlOw_33_0"/>
      <w:bookmarkStart w:id="1144" w:name="Tc_j-QCwGLxx0SkTWmDBc6ovw_32_12"/>
      <w:bookmarkStart w:id="1145" w:name="Tc_Rvpf6QsDwEKlSh4IvV5XjA_32_0"/>
      <w:bookmarkStart w:id="1146" w:name="Tc_h43ZHTW4oES56tp1vEsCtg_31_12"/>
      <w:bookmarkStart w:id="1147" w:name="Tc_ZFZD8WEYpkuWbRab8KODIQ_31_6"/>
      <w:bookmarkStart w:id="1148" w:name="Tc__l29z6NNLEOu1d2uKBARsg_31_0"/>
      <w:bookmarkStart w:id="1149" w:name="Tc_md77K7f3aUGrVQu4-td7Vw_30_12"/>
      <w:bookmarkStart w:id="1150" w:name="Tc_lK89Vx_IGUK88bcD4eBplg_30_9"/>
      <w:bookmarkStart w:id="1151" w:name="Tc_mHNG-O1yBkWA3MwZZvM9ig_30_0"/>
      <w:bookmarkStart w:id="1152" w:name="Tc_MTZnSj4GCki-8z3RRgKE4Q_29_14"/>
      <w:bookmarkStart w:id="1153" w:name="Tc_Nhj6tMyAkUCntSm_Zsvw9w_29_12"/>
      <w:bookmarkStart w:id="1154" w:name="Tc_SNk1duPuQ0KqZgcenzHpEQ_29_11"/>
      <w:bookmarkStart w:id="1155" w:name="Tc_Obk98ZNjmEq14ZGqDORPCw_29_9"/>
      <w:bookmarkStart w:id="1156" w:name="Tc_ZdhqEqrXdEq1Lc6m4mWuAw_29_8"/>
      <w:bookmarkStart w:id="1157" w:name="Tc_t7MtX86eikiZZrrEcUifHg_29_5"/>
      <w:bookmarkStart w:id="1158" w:name="Tc_15QZGN3X6keVgd0bY35SOA_29_2"/>
      <w:bookmarkStart w:id="1159" w:name="Tc_xw3UI0rwVEGpJRAEHWmimg_29_0"/>
      <w:bookmarkStart w:id="1160" w:name="Tc_PMfAI4kXTkygoLNkmS7pww_28_0"/>
      <w:bookmarkStart w:id="1161" w:name="Tc_JnqXyXK6NkyShm43-VHY3Q_27_0"/>
      <w:bookmarkStart w:id="1162" w:name="Tc_Z4BVnZMrsUSYQbEJjYIvFQ_26_12"/>
      <w:bookmarkStart w:id="1163" w:name="Tc_ivDQdbtob02rvPj17wta9w_26_0"/>
      <w:bookmarkStart w:id="1164" w:name="Tc_alnfWm3rAkie-LZP20ev8Q_25_12"/>
      <w:bookmarkStart w:id="1165" w:name="Tc_vow0gte2gkiI8-EKtni8ng_25_0"/>
      <w:bookmarkStart w:id="1166" w:name="Tc_lqAV_8SgOkaoOBRIb9NWqQ_24_12"/>
      <w:bookmarkStart w:id="1167" w:name="Tc_OUdEO2u8U0eeGnX9DlZQCA_24_0"/>
      <w:bookmarkStart w:id="1168" w:name="Tc_68cOgr9pyEqzyxOntH6ORA_23_12"/>
      <w:bookmarkStart w:id="1169" w:name="Tc_-nDUi2_u-EmmsM64j0KmHw_23_6"/>
      <w:bookmarkStart w:id="1170" w:name="Tc_W_BHSqBipkSc8nsVqZracA_23_0"/>
      <w:bookmarkStart w:id="1171" w:name="Tc_EaW3PRWifUS71l8zG4c1ig_22_12"/>
      <w:bookmarkStart w:id="1172" w:name="Tc_oBQSGQo_-ECjBzu_lIHSOw_22_9"/>
      <w:bookmarkStart w:id="1173" w:name="Tc_2pwfRNuVN0a7ruLzFSSt5Q_22_0"/>
      <w:bookmarkStart w:id="1174" w:name="Tc_ueD6Zd_bT0K51gukAdeQqA_21_14"/>
      <w:bookmarkStart w:id="1175" w:name="Tc_rg7jdWKPW0mtXmTXiu4xyA_21_12"/>
      <w:bookmarkStart w:id="1176" w:name="Tc_SQkbUw580UO3fDCzKoMC2A_21_11"/>
      <w:bookmarkStart w:id="1177" w:name="Tc_VTJTxbbL40y-MKq7eTJWYQ_21_9"/>
      <w:bookmarkStart w:id="1178" w:name="Tc_tM6JkG-Mg0myj3ISIG45Zg_21_8"/>
      <w:bookmarkStart w:id="1179" w:name="Tc_SNTsJuYGR06kUFERRYLvqA_21_5"/>
      <w:bookmarkStart w:id="1180" w:name="Tc_dng5jwxKDE64NaQm-ZKcgg_21_2"/>
      <w:bookmarkStart w:id="1181" w:name="Tc_SsvtQOSsSE6jw6Zat6dfWw_21_0"/>
      <w:bookmarkStart w:id="1182" w:name="Tc_v0BsGY1K3UaQ7RZa7uE5Tw_20_0"/>
      <w:bookmarkStart w:id="1183" w:name="Tc_aAdAo3Zfhk-4lyZpkudtMA_19_0"/>
      <w:bookmarkStart w:id="1184" w:name="Tc_LZvzB2XEU06K3qFzRpVxSQ_18_12"/>
      <w:bookmarkStart w:id="1185" w:name="Tc_aYmpgrXuZUm7vU9YUvaThw_18_0"/>
      <w:bookmarkStart w:id="1186" w:name="Tc_ewu94hV2zkSa0bw76n7S0g_17_12"/>
      <w:bookmarkStart w:id="1187" w:name="Tc_ymP_6nFzSE2Z534n5s51gw_17_0"/>
      <w:bookmarkStart w:id="1188" w:name="Tc_NQivFisfcU2oNnXE1qCXZA_16_12"/>
      <w:bookmarkStart w:id="1189" w:name="Tc_yPblQEWavUCjyHfay0oLnQ_16_0"/>
      <w:bookmarkStart w:id="1190" w:name="Tc_K5qs5bCpq06JGq-5mq6QQQ_15_12"/>
      <w:bookmarkStart w:id="1191" w:name="Tc_KFF7aDiVXUSG0DRMhiLm8Q_15_6"/>
      <w:bookmarkStart w:id="1192" w:name="Tc_5nSVwfzvmEKLna7xsFj2hw_15_0"/>
      <w:bookmarkStart w:id="1193" w:name="Tc_n5z6Jz2R9EWyAnHyf7rg7Q_14_12"/>
      <w:bookmarkStart w:id="1194" w:name="Tc_zIcNDvJe4U2LwBoHY4wiuw_14_9"/>
      <w:bookmarkStart w:id="1195" w:name="Tc_DuAEkbScg0eeZLL7wDX9HA_14_0"/>
      <w:bookmarkStart w:id="1196" w:name="Tc_IMVn8cz3LU-VBFuF56OPjw_13_14"/>
      <w:bookmarkStart w:id="1197" w:name="Tc__6rmu1oo3kKHKwDSnPJs_g_13_12"/>
      <w:bookmarkStart w:id="1198" w:name="Tc_HqVhZeA0mEKDg8MUerFVfQ_13_11"/>
      <w:bookmarkStart w:id="1199" w:name="Tc_WAqd93-obU-0dcziKHrK0A_13_9"/>
      <w:bookmarkStart w:id="1200" w:name="Tc_jBU99YRlKE2n4yQo8FpZJA_13_8"/>
      <w:bookmarkStart w:id="1201" w:name="Tc_lOYe_93beUigb1pWo_0Img_13_5"/>
      <w:bookmarkStart w:id="1202" w:name="Tc_7niLerb75EedjlcSNJF1Iw_13_2"/>
      <w:bookmarkStart w:id="1203" w:name="Tc_Ipjhw6B_m0ilKEuDo033aw_13_0"/>
      <w:bookmarkStart w:id="1204" w:name="Tc_T0C8sfoNL02j3tWv0s6kNQ_12_0"/>
      <w:bookmarkStart w:id="1205" w:name="Tc_p3SeKsIPv0-EIxl16IFVag_11_0"/>
      <w:bookmarkStart w:id="1206" w:name="Tc_WSaYQpiR2U2RLg3idCdKIg_10_12"/>
      <w:bookmarkStart w:id="1207" w:name="Tc_4EmueEA1g0y-UlddYPVJow_10_0"/>
      <w:bookmarkStart w:id="1208" w:name="Tc_nsCCdMMWRUSG7rIW4kSfyA_9_12"/>
      <w:bookmarkStart w:id="1209" w:name="Tc_fvZUjiFKJ0SM4PP5g5YlvA_9_0"/>
      <w:bookmarkStart w:id="1210" w:name="Tc_tRdpEXn77EqslEeqUOZhtw_8_12"/>
      <w:bookmarkStart w:id="1211" w:name="Tc_xbUJsLFVv0q246Zr83gxLw_8_0"/>
      <w:bookmarkStart w:id="1212" w:name="Tc_Bclngwnoj06ltv_BJ-f7kg_7_12"/>
      <w:bookmarkStart w:id="1213" w:name="Tc_zlsxxLfjO0S6h7oNUn_UGA_7_6"/>
      <w:bookmarkStart w:id="1214" w:name="Tc_2nqH9i1zfkajwPYE4nq2EA_7_0"/>
      <w:bookmarkStart w:id="1215" w:name="Tc_PbCixrwjXk-y_qRE1nq3jw_6_12"/>
      <w:bookmarkStart w:id="1216" w:name="Tc_abSpIBvCC02bgiwActBejA_6_9"/>
      <w:bookmarkStart w:id="1217" w:name="Tc_-u9lH2W_e0ezpNfd8M9Ceg_6_0"/>
      <w:bookmarkStart w:id="1218" w:name="Tc_tUVxWl7O20uoAGZup4eiAA_5_14"/>
      <w:bookmarkStart w:id="1219" w:name="Tc_0x9RCNx-8UGc47iSkbiK8w_5_12"/>
      <w:bookmarkStart w:id="1220" w:name="Tc_ARsGPnHd0UyVARX7eHoKqQ_5_11"/>
      <w:bookmarkStart w:id="1221" w:name="Tc_kjUWQpQLskWoZvyFvTisSw_5_9"/>
      <w:bookmarkStart w:id="1222" w:name="Tc_9i4dsPj3w0Ofd4SKFBVRPQ_5_8"/>
      <w:bookmarkStart w:id="1223" w:name="Tc_f0KwJB41Jk6R6SbiIw_RjQ_5_5"/>
      <w:bookmarkStart w:id="1224" w:name="Tc_SpzWHGCgSkOvz2UMwkZLew_5_2"/>
      <w:bookmarkStart w:id="1225" w:name="Tc_1qoAK5u1902eUCznnivCLA_5_0"/>
      <w:bookmarkStart w:id="1226" w:name="Tc_5rc4_Rfz-E-EL-5FA4BjZw_4_0"/>
      <w:bookmarkStart w:id="1227" w:name="Tc_sD0qAmjRDEeDtNdwN47UEQ_3_2"/>
      <w:bookmarkStart w:id="1228" w:name="Tc_B7FLYsjuP0Kh1pXEfjSp6w_2_14"/>
      <w:bookmarkStart w:id="1229" w:name="Tc_hig7cmf1zU6XdQRT-PVz5w_2_11"/>
      <w:bookmarkStart w:id="1230" w:name="Tc_cQAqSE8P_EiHGALq7Z-wWA_2_8"/>
      <w:bookmarkStart w:id="1231" w:name="Tc_u-SAr7g8X0mxMKav7SzBeg_2_5"/>
      <w:bookmarkStart w:id="1232" w:name="Tc_-gszf8jYvEGcSJ0-Wc7BcA_2_2"/>
      <w:bookmarkStart w:id="1233" w:name="Tc_Q40s9GPxPEGMSbksxeYAmg_1_14"/>
      <w:bookmarkStart w:id="1234" w:name="Tc_HueouY5XRk6gaOOTOoqZkQ_1_8"/>
      <w:bookmarkStart w:id="1235" w:name="Tc_eie0obSMKkSIYW_5O44BUA_1_5"/>
      <w:bookmarkStart w:id="1236" w:name="_480b5bb5_6d26_4495_8028_979b089540af"/>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Pr>
          <w:rFonts w:ascii="Times New Roman;Times;serif" w:hAnsi="Times New Roman;Times;serif"/>
          <w:b/>
          <w:sz w:val="20"/>
        </w:rPr>
        <w:t>8.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two segments are Energy, and Engineering and Consulting, and the Company’s chief operating decision maker, which continues to be its chief executive officer, receives and reviews financial information in this format.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and nine months ended September 29, 2023 and September 30, 2022. The Company’s chief operating decision maker evaluates the performance of each segment based upon income or loss from operations before income taxes. Certain segment asset information including expenditures for long-lived assets has not been presented as it is not reported to or reviewed by the chief operating decision maker. In addition, enterprise-wide service line contract revenue is not included as it is impracticable to report this information for each group of similar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information with respect to the reportable segments and reconciliation to the amounts reported in the Company’s Condensed Consolidated Financial Statements is as follows:</w:t>
      </w:r>
    </w:p>
    <w:p>
      <w:pPr>
        <w:pStyle w:val="TextBody"/>
        <w:bidi w:val="0"/>
        <w:spacing w:before="0" w:after="0"/>
        <w:ind w:left="0" w:right="0" w:hanging="0"/>
        <w:jc w:val="left"/>
        <w:rPr/>
      </w:pPr>
      <w:r>
        <w:rPr/>
        <w:t>​</w:t>
      </w:r>
    </w:p>
    <w:tbl>
      <w:tblPr>
        <w:tblW w:w="9833" w:type="dxa"/>
        <w:jc w:val="left"/>
        <w:tblInd w:w="0" w:type="dxa"/>
        <w:tblLayout w:type="fixed"/>
        <w:tblCellMar>
          <w:top w:w="0" w:type="dxa"/>
          <w:left w:w="0" w:type="dxa"/>
          <w:bottom w:w="0" w:type="dxa"/>
          <w:right w:w="0" w:type="dxa"/>
        </w:tblCellMar>
      </w:tblPr>
      <w:tblGrid>
        <w:gridCol w:w="3571"/>
        <w:gridCol w:w="326"/>
        <w:gridCol w:w="196"/>
        <w:gridCol w:w="721"/>
        <w:gridCol w:w="326"/>
        <w:gridCol w:w="220"/>
        <w:gridCol w:w="681"/>
        <w:gridCol w:w="326"/>
        <w:gridCol w:w="196"/>
        <w:gridCol w:w="721"/>
        <w:gridCol w:w="326"/>
        <w:gridCol w:w="196"/>
        <w:gridCol w:w="721"/>
        <w:gridCol w:w="326"/>
        <w:gridCol w:w="196"/>
        <w:gridCol w:w="784"/>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67585" cy="175260"/>
                      <wp:effectExtent l="0" t="0" r="0" b="0"/>
                      <wp:wrapNone/>
                      <wp:docPr id="149" name="Frame149"/>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1"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7835" cy="175260"/>
                      <wp:effectExtent l="0" t="0" r="0" b="0"/>
                      <wp:wrapNone/>
                      <wp:docPr id="152" name="Frame1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9700" cy="175260"/>
                      <wp:effectExtent l="0" t="0" r="0" b="0"/>
                      <wp:wrapNone/>
                      <wp:docPr id="154" name="Frame15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2435" cy="175260"/>
                      <wp:effectExtent l="0" t="0" r="0" b="0"/>
                      <wp:wrapNone/>
                      <wp:docPr id="155" name="Frame15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7835" cy="175260"/>
                      <wp:effectExtent l="0" t="0" r="0" b="0"/>
                      <wp:wrapNone/>
                      <wp:docPr id="158" name="Frame1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60" name="Frame1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57835" cy="175260"/>
                      <wp:effectExtent l="0" t="0" r="0" b="0"/>
                      <wp:wrapNone/>
                      <wp:docPr id="161" name="Frame1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3"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7840" cy="175260"/>
                      <wp:effectExtent l="0" t="0" r="0" b="0"/>
                      <wp:wrapNone/>
                      <wp:docPr id="164" name="Frame164"/>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936"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September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340,422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401,620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4,405</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336,036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395,111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Nine Months Ended September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12,518</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4,607</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2,895</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340,422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401,620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Nine Months Ended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315,882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(13,611)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(8,023)</w:t>
            </w:r>
          </w:p>
        </w:tc>
      </w:tr>
      <w:tr>
        <w:trPr/>
        <w:tc>
          <w:tcPr>
            <w:tcW w:w="35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336,036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395,111</w:t>
            </w:r>
          </w:p>
        </w:tc>
      </w:tr>
    </w:tbl>
    <w:tbl>
      <w:tblPr>
        <w:tblW w:w="4817" w:type="dxa"/>
        <w:jc w:val="left"/>
        <w:tblInd w:w="0" w:type="dxa"/>
        <w:tblLayout w:type="fixed"/>
        <w:tblCellMar>
          <w:top w:w="0" w:type="dxa"/>
          <w:left w:w="0" w:type="dxa"/>
          <w:bottom w:w="0" w:type="dxa"/>
          <w:right w:w="0" w:type="dxa"/>
        </w:tblCellMar>
      </w:tblPr>
      <w:tblGrid>
        <w:gridCol w:w="286"/>
        <w:gridCol w:w="453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4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0" w:after="2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237" w:name="Tc_GiO3jkFMfEWechQV8uIPpA_35_8"/>
      <w:bookmarkStart w:id="1238" w:name="Tc_d2mDpagiAEK8vLhh9dGRVQ_35_5"/>
      <w:bookmarkStart w:id="1239" w:name="Tc_Oc7g-oumtECeAMti31qjGQ_35_2"/>
      <w:bookmarkStart w:id="1240" w:name="Tc_qQjZQvLoq0uNivyw9ZdX8g_35_0"/>
      <w:bookmarkStart w:id="1241" w:name="Tc_o4_h4BrLoEipHgcXiFQHag_34_0"/>
      <w:bookmarkStart w:id="1242" w:name="Tc_jP8063yv30iDwL7VOFUKbw_32_8"/>
      <w:bookmarkStart w:id="1243" w:name="Tc_8LOD0aZdCk-LOdQ-xMfOWA_32_5"/>
      <w:bookmarkStart w:id="1244" w:name="Tc_KEI6npfD30aDj3Xw8j-p8g_32_2"/>
      <w:bookmarkStart w:id="1245" w:name="Tc_dhgzYPGxMEOLS4e7YXGe9A_32_0"/>
      <w:bookmarkStart w:id="1246" w:name="Tc_gw4-PQFKDk2tyM6i69S8og_31_0"/>
      <w:bookmarkStart w:id="1247" w:name="Tc_d3ZIhblzUEmBwa8A0FUElg_30_0"/>
      <w:bookmarkStart w:id="1248" w:name="Tc_PKeyQpjFUkCebr2aTvfiuw_29_8"/>
      <w:bookmarkStart w:id="1249" w:name="Tc_LJKe7JAoQUiSB9a0FONu0Q_29_5"/>
      <w:bookmarkStart w:id="1250" w:name="Tc_6xj29ZYtHkGx-7eccbvmOQ_29_2"/>
      <w:bookmarkStart w:id="1251" w:name="Tc_wXofMUYXQEiAQLmoMZf_xA_29_0"/>
      <w:bookmarkStart w:id="1252" w:name="Tc_53nSswNKWUuU6yXmWg6hRA_28_0"/>
      <w:bookmarkStart w:id="1253" w:name="Tc_llYSZuu49kahdd3Pcwr7Lg_26_8"/>
      <w:bookmarkStart w:id="1254" w:name="Tc_3hoennwhnUeHHtYTDUoj7g_26_5"/>
      <w:bookmarkStart w:id="1255" w:name="Tc_AyZpAWbKWUqsUm5Q9UvuTg_26_2"/>
      <w:bookmarkStart w:id="1256" w:name="Tc_3HMBM6omgU6fzL0599nt3A_26_0"/>
      <w:bookmarkStart w:id="1257" w:name="Tc_CuwBE9wF60CbyxBV8ObxIw_25_0"/>
      <w:bookmarkStart w:id="1258" w:name="Tc_xqPlo7J2lEafpLt7SJxZTQ_24_0"/>
      <w:bookmarkStart w:id="1259" w:name="Tc_1NsMbeczsUq6cFKggw0Mew_23_8"/>
      <w:bookmarkStart w:id="1260" w:name="Tc_ukLTRb-a20unGeDmPycPNQ_23_5"/>
      <w:bookmarkStart w:id="1261" w:name="Tc_p_8pmU0lREi-cECz8iKPXw_23_2"/>
      <w:bookmarkStart w:id="1262" w:name="Tc_VWepOTCklkipVQQfqWp_xw_23_0"/>
      <w:bookmarkStart w:id="1263" w:name="Tc_kJ2OHOq7kEiFnlXa4bT0vg_22_0"/>
      <w:bookmarkStart w:id="1264" w:name="Tc_cb7MV1vuD0WM9oV4xzXs8Q_21_2"/>
      <w:bookmarkStart w:id="1265" w:name="Tc_418TD8grH0irBeTPcGgqaw_20_8"/>
      <w:bookmarkStart w:id="1266" w:name="Tc_r1p_VJAVqU2WSrwgIe57Qw_20_5"/>
      <w:bookmarkStart w:id="1267" w:name="Tc_ecnuWaTWeUqQoeLZGqlA0g_20_2"/>
      <w:bookmarkStart w:id="1268" w:name="Tc_JMhQJFz9NUejPZ2EUqZknA_19_2"/>
      <w:bookmarkStart w:id="1269" w:name="Tc_Gh4yaYZ_4kSYDZkAbdSJow_17_8"/>
      <w:bookmarkStart w:id="1270" w:name="Tc_iIgVUXwgL0mZjgixV8qVCQ_17_5"/>
      <w:bookmarkStart w:id="1271" w:name="Tc_Eo1V6ppmekSBDWFGsC8Yig_17_2"/>
      <w:bookmarkStart w:id="1272" w:name="Tc_JEhvpjijskWc5Nr-AHotJw_17_0"/>
      <w:bookmarkStart w:id="1273" w:name="Tc_y27_GPQphE-9Nh3tJpMBKA_16_0"/>
      <w:bookmarkStart w:id="1274" w:name="Tc_i1KD8CaTZkSY2GvsJndNjQ_14_8"/>
      <w:bookmarkStart w:id="1275" w:name="Tc_PFAtQ2dBZESXkTZoedUOZg_14_5"/>
      <w:bookmarkStart w:id="1276" w:name="Tc_am33iosTFUCzXdq0h01Odw_14_2"/>
      <w:bookmarkStart w:id="1277" w:name="Tc_YiP-AVCmU0mS-GeOX0Ub4w_14_0"/>
      <w:bookmarkStart w:id="1278" w:name="Tc_W98dd1lnrkmX6ds_tY1VVA_13_0"/>
      <w:bookmarkStart w:id="1279" w:name="Tc_RNJq1XT360Sf02N0CX5Czw_12_0"/>
      <w:bookmarkStart w:id="1280" w:name="Tc_S76mLNktR0SjfPQ7G7q2EA_11_8"/>
      <w:bookmarkStart w:id="1281" w:name="Tc_lGnkFiUEKEGPmxEucQkHCw_11_5"/>
      <w:bookmarkStart w:id="1282" w:name="Tc_I0FVZyj2HUWXSxcPz28CWg_11_2"/>
      <w:bookmarkStart w:id="1283" w:name="Tc_GDIDE7QMDkGm7ve0lJszGw_11_0"/>
      <w:bookmarkStart w:id="1284" w:name="Tc_rgdbaEp-DU2EUwRv9XQHCQ_10_0"/>
      <w:bookmarkStart w:id="1285" w:name="Tc_JsbBmfFOGkiLTb-KKMtoyQ_8_8"/>
      <w:bookmarkStart w:id="1286" w:name="Tc_rGGTaskyS0m-VhF_ppL_WA_8_5"/>
      <w:bookmarkStart w:id="1287" w:name="Tc_47wLK1NTM0O06jFz2UShWg_8_2"/>
      <w:bookmarkStart w:id="1288" w:name="Tc_YTw8e23mpUqGTQdBVLO2QA_8_0"/>
      <w:bookmarkStart w:id="1289" w:name="Tc_ZJn7L2I0Q0yNJCTYJwl7yA_7_0"/>
      <w:bookmarkStart w:id="1290" w:name="Tc_MmS34HE5HkmcGGNHmhfQiA_6_0"/>
      <w:bookmarkStart w:id="1291" w:name="Tc_rSihV1QMyUuAnNGVxGiDvw_5_8"/>
      <w:bookmarkStart w:id="1292" w:name="Tc_AuPB8WIE-UWjPF14NR1Paw_5_5"/>
      <w:bookmarkStart w:id="1293" w:name="Tc_RlFCy6ydKU2ZYKgUgvh8lQ_5_2"/>
      <w:bookmarkStart w:id="1294" w:name="Tc_tl8DE_ZVK0CXpRN4dKkV4A_5_0"/>
      <w:bookmarkStart w:id="1295" w:name="Tc_41VrG042R0yOLfbrS0OFhg_4_0"/>
      <w:bookmarkStart w:id="1296" w:name="Tc_B40i-nPqG06mrb3hCLNgrg_3_2"/>
      <w:bookmarkStart w:id="1297" w:name="Tc_P8VPBeYBT0iFTUggrDhyXQ_2_8"/>
      <w:bookmarkStart w:id="1298" w:name="Tc_U3KiiOxUTU2IqrPJr4M1NA_2_5"/>
      <w:bookmarkStart w:id="1299" w:name="Tc_ZLzI2MIsX0SLhEyab8vQHw_2_2"/>
      <w:bookmarkStart w:id="1300" w:name="Tc_NhZYEDzVZU2HCNTqiT8H4w_1_2"/>
      <w:bookmarkStart w:id="1301" w:name="_bdfc8955_9955_4268_8b06_3cffbdbe1f12"/>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ascii="Times New Roman;Times;serif" w:hAnsi="Times New Roman;Times;serif"/>
          <w:sz w:val="20"/>
        </w:rPr>
        <w:t xml:space="preserve">The following tables provide information about disaggregated revenue by contract type, client type and geographical region: </w:t>
      </w:r>
    </w:p>
    <w:p>
      <w:pPr>
        <w:pStyle w:val="TextBody"/>
        <w:bidi w:val="0"/>
        <w:spacing w:before="1" w:after="0"/>
        <w:ind w:left="0" w:right="0" w:firstLine="72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34085" cy="175260"/>
                      <wp:effectExtent l="0" t="0" r="0" b="0"/>
                      <wp:wrapNone/>
                      <wp:docPr id="165" name="Frame16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8785" cy="175260"/>
                      <wp:effectExtent l="0" t="0" r="0" b="0"/>
                      <wp:wrapNone/>
                      <wp:docPr id="168" name="Frame1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1295" cy="175260"/>
                      <wp:effectExtent l="0" t="0" r="0" b="0"/>
                      <wp:wrapNone/>
                      <wp:docPr id="170" name="Frame17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8490" cy="175260"/>
                      <wp:effectExtent l="0" t="0" r="0" b="0"/>
                      <wp:wrapNone/>
                      <wp:docPr id="171" name="Frame17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4" name="Frame1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42,119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46,301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59,529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52,410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72,464</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26,038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73,664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126,946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138,562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139,346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142,192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119,028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176,787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151,695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151,896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354,418</w:t>
            </w:r>
          </w:p>
        </w:tc>
      </w:tr>
    </w:tbl>
    <w:p>
      <w:pPr>
        <w:pStyle w:val="TextBody"/>
        <w:bidi w:val="0"/>
        <w:spacing w:before="1"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jc w:val="left"/>
        <w:rPr>
          <w:sz w:val="4"/>
          <w:szCs w:val="4"/>
        </w:rPr>
      </w:pPr>
      <w:r>
        <w:rPr>
          <w:sz w:val="4"/>
          <w:szCs w:val="4"/>
        </w:rPr>
      </w:r>
      <w:bookmarkStart w:id="1302" w:name="Tc_nwQkFKq5xkKteVOT_Vn4hw_35_8"/>
      <w:bookmarkStart w:id="1303" w:name="Tc_jeoVCKOhBk6nvNIKPFpFxw_35_5"/>
      <w:bookmarkStart w:id="1304" w:name="Tc_8AQyhIQjJ0acCBxSGQe6VQ_35_2"/>
      <w:bookmarkStart w:id="1305" w:name="Tc_MgqUrZN9j0-c4gEp0LvBYA_35_0"/>
      <w:bookmarkStart w:id="1306" w:name="Tc_b9HWU4dk2ke5BWLaS_W9pw_34_0"/>
      <w:bookmarkStart w:id="1307" w:name="Tc_iL6uRKttBEyCENLanXxTcA_32_8"/>
      <w:bookmarkStart w:id="1308" w:name="Tc_NjaKDyetYUu8fmQHM0_k6g_32_5"/>
      <w:bookmarkStart w:id="1309" w:name="Tc_WCARV3bxr0Cx9RfKM-Dx5A_32_2"/>
      <w:bookmarkStart w:id="1310" w:name="Tc_GqtfCxCtxU6x4IeJSAPE5w_32_0"/>
      <w:bookmarkStart w:id="1311" w:name="Tc_8zUnM5_FSUK8ZN4nCzbN1g_31_0"/>
      <w:bookmarkStart w:id="1312" w:name="Tc_DIleN8bL7U2CSgc-L5BKvg_30_0"/>
      <w:bookmarkStart w:id="1313" w:name="Tc_54G6vb3BpUeI1I0fASxu5A_29_8"/>
      <w:bookmarkStart w:id="1314" w:name="Tc_w9D74om1pkWXGxDXbRvUWQ_29_5"/>
      <w:bookmarkStart w:id="1315" w:name="Tc_2OkE7kzTPkyZL54ZXREy8w_29_2"/>
      <w:bookmarkStart w:id="1316" w:name="Tc_ZOPsUPlzgEqp35HWGniGAA_29_0"/>
      <w:bookmarkStart w:id="1317" w:name="Tc_SIOaPNhDKEqZypgFzb77Hw_28_0"/>
      <w:bookmarkStart w:id="1318" w:name="Tc_KuiOVFudLEOZmbL1VIq5aw_26_8"/>
      <w:bookmarkStart w:id="1319" w:name="Tc_bfA1JKibbES8H7hdk2xr0Q_26_5"/>
      <w:bookmarkStart w:id="1320" w:name="Tc_dDFYwJAscEaNzuf5Y-0vyg_26_2"/>
      <w:bookmarkStart w:id="1321" w:name="Tc_Y2cjvVrfsUa60xa-sKEwJg_26_0"/>
      <w:bookmarkStart w:id="1322" w:name="Tc_Wi6G5xGyoU-2a91HsUG4Qw_25_0"/>
      <w:bookmarkStart w:id="1323" w:name="Tc_kXBhjg9TtUmSlllc_a2iag_24_0"/>
      <w:bookmarkStart w:id="1324" w:name="Tc_9PkbXP8y50Oc9oeS2j8BNQ_23_8"/>
      <w:bookmarkStart w:id="1325" w:name="Tc_qvGEJNkc10GVnrLhApC1XQ_23_5"/>
      <w:bookmarkStart w:id="1326" w:name="Tc_UwZgzxAsX0eAq0GmlUwD9g_23_2"/>
      <w:bookmarkStart w:id="1327" w:name="Tc_InRwfCeW0EKBeZRdKLhi4A_23_0"/>
      <w:bookmarkStart w:id="1328" w:name="Tc_xWzrxSN-lkymF3ucUxEIPw_22_0"/>
      <w:bookmarkStart w:id="1329" w:name="Tc_VIJAeMqzM0mipANUqLKfwg_21_2"/>
      <w:bookmarkStart w:id="1330" w:name="Tc_tzFS-MLhfkCBFeixZI6wjg_20_8"/>
      <w:bookmarkStart w:id="1331" w:name="Tc_bvjHEGaT6UmO64HXRxjXuA_20_5"/>
      <w:bookmarkStart w:id="1332" w:name="Tc_8vLi0XY9BUaknmvJq4fPtA_20_2"/>
      <w:bookmarkStart w:id="1333" w:name="Tc_xAFd9U2bwEacCLmKAKmlrQ_19_2"/>
      <w:bookmarkStart w:id="1334" w:name="Tc_gDQM7PmARUS7JTDwBIRwxQ_17_8"/>
      <w:bookmarkStart w:id="1335" w:name="Tc_6hXMbZTV4UayPBoaOJijhg_17_5"/>
      <w:bookmarkStart w:id="1336" w:name="Tc_WONjejapikyw-rh60xff4A_17_2"/>
      <w:bookmarkStart w:id="1337" w:name="Tc_X_9MmwtMv0--Ak9Ow5t1uw_17_0"/>
      <w:bookmarkStart w:id="1338" w:name="Tc_BaXysajWD0Wi2xF7TZK6zA_16_0"/>
      <w:bookmarkStart w:id="1339" w:name="Tc_H4gK1D00Zk-uX5rN1qBquQ_14_8"/>
      <w:bookmarkStart w:id="1340" w:name="Tc_lQVXV3TLrUyZWZ4VdH17tQ_14_5"/>
      <w:bookmarkStart w:id="1341" w:name="Tc_DIFduOXLN0GI5V0_jwWUgw_14_2"/>
      <w:bookmarkStart w:id="1342" w:name="Tc__SeU2CjgbE-UmBt3rk2-Xg_14_0"/>
      <w:bookmarkStart w:id="1343" w:name="Tc_z58CM2izOUaCVgteJG6LDg_13_0"/>
      <w:bookmarkStart w:id="1344" w:name="Tc_b9UIF0JH50KTTUR3uBju7g_12_0"/>
      <w:bookmarkStart w:id="1345" w:name="Tc_nnt1M-kPWE6M8Kv_UeLf9g_11_8"/>
      <w:bookmarkStart w:id="1346" w:name="Tc_LAMC9sicGkKmJvTTg3wFiA_11_5"/>
      <w:bookmarkStart w:id="1347" w:name="Tc_oimXPczRQkSdz9reG1T0ug_11_2"/>
      <w:bookmarkStart w:id="1348" w:name="Tc_Rp0xpzEkIEmCBOyoMUBj0w_11_0"/>
      <w:bookmarkStart w:id="1349" w:name="Tc_pQeqZVOWpkCqpqyCCV8f5w_10_0"/>
      <w:bookmarkStart w:id="1350" w:name="Tc_ldF-kCHzO0KX9sOB5REAzw_8_8"/>
      <w:bookmarkStart w:id="1351" w:name="Tc_BWcwwfVpsEaUSYGuixtNCg_8_5"/>
      <w:bookmarkStart w:id="1352" w:name="Tc_vvKfgQ1U-ECdkNj7qp8TOQ_8_2"/>
      <w:bookmarkStart w:id="1353" w:name="Tc_sfwiIbzpQkO4FVPn3ikv5w_8_0"/>
      <w:bookmarkStart w:id="1354" w:name="Tc_flVkLjUsgku-B-ax2BEyWw_7_0"/>
      <w:bookmarkStart w:id="1355" w:name="Tc_8OvTc1QGE02M2DGR6X_PKQ_6_0"/>
      <w:bookmarkStart w:id="1356" w:name="Tc_cZVRRbW-LkCTQEHT-ms_uw_5_8"/>
      <w:bookmarkStart w:id="1357" w:name="Tc_HGGNOCKi4Ua-Vam6kXF64A_5_5"/>
      <w:bookmarkStart w:id="1358" w:name="Tc_bnRbXjvPHkmlWJUScqtVig_5_2"/>
      <w:bookmarkStart w:id="1359" w:name="Tc_K-ytscxy2kifsLGm--TOaQ_5_0"/>
      <w:bookmarkStart w:id="1360" w:name="Tc_PYczXep8uUizmvFbBvnr1A_4_0"/>
      <w:bookmarkStart w:id="1361" w:name="Tc_VUnAIWCQM0-NO0_sVXpLcw_3_2"/>
      <w:bookmarkStart w:id="1362" w:name="Tc_YwF1l8_-qk2dVj0ESMxVlg_2_8"/>
      <w:bookmarkStart w:id="1363" w:name="Tc_Jp6jWRQrXUeDIfGpIf1DYw_2_5"/>
      <w:bookmarkStart w:id="1364" w:name="Tc_W5ZovHuQEkqeGXlk0p4Rbg_2_2"/>
      <w:bookmarkStart w:id="1365" w:name="Tc_OyJK-NjGvEWbT5w-UpQ4Fg_1_2"/>
      <w:bookmarkStart w:id="1366" w:name="_b4ecc437_d451_4d48_b549_8d56edaeb5d9"/>
      <w:bookmarkStart w:id="1367" w:name="Tc_nwQkFKq5xkKteVOT_Vn4hw_35_8"/>
      <w:bookmarkStart w:id="1368" w:name="Tc_jeoVCKOhBk6nvNIKPFpFxw_35_5"/>
      <w:bookmarkStart w:id="1369" w:name="Tc_8AQyhIQjJ0acCBxSGQe6VQ_35_2"/>
      <w:bookmarkStart w:id="1370" w:name="Tc_MgqUrZN9j0-c4gEp0LvBYA_35_0"/>
      <w:bookmarkStart w:id="1371" w:name="Tc_b9HWU4dk2ke5BWLaS_W9pw_34_0"/>
      <w:bookmarkStart w:id="1372" w:name="Tc_iL6uRKttBEyCENLanXxTcA_32_8"/>
      <w:bookmarkStart w:id="1373" w:name="Tc_NjaKDyetYUu8fmQHM0_k6g_32_5"/>
      <w:bookmarkStart w:id="1374" w:name="Tc_WCARV3bxr0Cx9RfKM-Dx5A_32_2"/>
      <w:bookmarkStart w:id="1375" w:name="Tc_GqtfCxCtxU6x4IeJSAPE5w_32_0"/>
      <w:bookmarkStart w:id="1376" w:name="Tc_8zUnM5_FSUK8ZN4nCzbN1g_31_0"/>
      <w:bookmarkStart w:id="1377" w:name="Tc_DIleN8bL7U2CSgc-L5BKvg_30_0"/>
      <w:bookmarkStart w:id="1378" w:name="Tc_54G6vb3BpUeI1I0fASxu5A_29_8"/>
      <w:bookmarkStart w:id="1379" w:name="Tc_w9D74om1pkWXGxDXbRvUWQ_29_5"/>
      <w:bookmarkStart w:id="1380" w:name="Tc_2OkE7kzTPkyZL54ZXREy8w_29_2"/>
      <w:bookmarkStart w:id="1381" w:name="Tc_ZOPsUPlzgEqp35HWGniGAA_29_0"/>
      <w:bookmarkStart w:id="1382" w:name="Tc_SIOaPNhDKEqZypgFzb77Hw_28_0"/>
      <w:bookmarkStart w:id="1383" w:name="Tc_KuiOVFudLEOZmbL1VIq5aw_26_8"/>
      <w:bookmarkStart w:id="1384" w:name="Tc_bfA1JKibbES8H7hdk2xr0Q_26_5"/>
      <w:bookmarkStart w:id="1385" w:name="Tc_dDFYwJAscEaNzuf5Y-0vyg_26_2"/>
      <w:bookmarkStart w:id="1386" w:name="Tc_Y2cjvVrfsUa60xa-sKEwJg_26_0"/>
      <w:bookmarkStart w:id="1387" w:name="Tc_Wi6G5xGyoU-2a91HsUG4Qw_25_0"/>
      <w:bookmarkStart w:id="1388" w:name="Tc_kXBhjg9TtUmSlllc_a2iag_24_0"/>
      <w:bookmarkStart w:id="1389" w:name="Tc_9PkbXP8y50Oc9oeS2j8BNQ_23_8"/>
      <w:bookmarkStart w:id="1390" w:name="Tc_qvGEJNkc10GVnrLhApC1XQ_23_5"/>
      <w:bookmarkStart w:id="1391" w:name="Tc_UwZgzxAsX0eAq0GmlUwD9g_23_2"/>
      <w:bookmarkStart w:id="1392" w:name="Tc_InRwfCeW0EKBeZRdKLhi4A_23_0"/>
      <w:bookmarkStart w:id="1393" w:name="Tc_xWzrxSN-lkymF3ucUxEIPw_22_0"/>
      <w:bookmarkStart w:id="1394" w:name="Tc_VIJAeMqzM0mipANUqLKfwg_21_2"/>
      <w:bookmarkStart w:id="1395" w:name="Tc_tzFS-MLhfkCBFeixZI6wjg_20_8"/>
      <w:bookmarkStart w:id="1396" w:name="Tc_bvjHEGaT6UmO64HXRxjXuA_20_5"/>
      <w:bookmarkStart w:id="1397" w:name="Tc_8vLi0XY9BUaknmvJq4fPtA_20_2"/>
      <w:bookmarkStart w:id="1398" w:name="Tc_xAFd9U2bwEacCLmKAKmlrQ_19_2"/>
      <w:bookmarkStart w:id="1399" w:name="Tc_gDQM7PmARUS7JTDwBIRwxQ_17_8"/>
      <w:bookmarkStart w:id="1400" w:name="Tc_6hXMbZTV4UayPBoaOJijhg_17_5"/>
      <w:bookmarkStart w:id="1401" w:name="Tc_WONjejapikyw-rh60xff4A_17_2"/>
      <w:bookmarkStart w:id="1402" w:name="Tc_X_9MmwtMv0--Ak9Ow5t1uw_17_0"/>
      <w:bookmarkStart w:id="1403" w:name="Tc_BaXysajWD0Wi2xF7TZK6zA_16_0"/>
      <w:bookmarkStart w:id="1404" w:name="Tc_H4gK1D00Zk-uX5rN1qBquQ_14_8"/>
      <w:bookmarkStart w:id="1405" w:name="Tc_lQVXV3TLrUyZWZ4VdH17tQ_14_5"/>
      <w:bookmarkStart w:id="1406" w:name="Tc_DIFduOXLN0GI5V0_jwWUgw_14_2"/>
      <w:bookmarkStart w:id="1407" w:name="Tc__SeU2CjgbE-UmBt3rk2-Xg_14_0"/>
      <w:bookmarkStart w:id="1408" w:name="Tc_z58CM2izOUaCVgteJG6LDg_13_0"/>
      <w:bookmarkStart w:id="1409" w:name="Tc_b9UIF0JH50KTTUR3uBju7g_12_0"/>
      <w:bookmarkStart w:id="1410" w:name="Tc_nnt1M-kPWE6M8Kv_UeLf9g_11_8"/>
      <w:bookmarkStart w:id="1411" w:name="Tc_LAMC9sicGkKmJvTTg3wFiA_11_5"/>
      <w:bookmarkStart w:id="1412" w:name="Tc_oimXPczRQkSdz9reG1T0ug_11_2"/>
      <w:bookmarkStart w:id="1413" w:name="Tc_Rp0xpzEkIEmCBOyoMUBj0w_11_0"/>
      <w:bookmarkStart w:id="1414" w:name="Tc_pQeqZVOWpkCqpqyCCV8f5w_10_0"/>
      <w:bookmarkStart w:id="1415" w:name="Tc_ldF-kCHzO0KX9sOB5REAzw_8_8"/>
      <w:bookmarkStart w:id="1416" w:name="Tc_BWcwwfVpsEaUSYGuixtNCg_8_5"/>
      <w:bookmarkStart w:id="1417" w:name="Tc_vvKfgQ1U-ECdkNj7qp8TOQ_8_2"/>
      <w:bookmarkStart w:id="1418" w:name="Tc_sfwiIbzpQkO4FVPn3ikv5w_8_0"/>
      <w:bookmarkStart w:id="1419" w:name="Tc_flVkLjUsgku-B-ax2BEyWw_7_0"/>
      <w:bookmarkStart w:id="1420" w:name="Tc_8OvTc1QGE02M2DGR6X_PKQ_6_0"/>
      <w:bookmarkStart w:id="1421" w:name="Tc_cZVRRbW-LkCTQEHT-ms_uw_5_8"/>
      <w:bookmarkStart w:id="1422" w:name="Tc_HGGNOCKi4Ua-Vam6kXF64A_5_5"/>
      <w:bookmarkStart w:id="1423" w:name="Tc_bnRbXjvPHkmlWJUScqtVig_5_2"/>
      <w:bookmarkStart w:id="1424" w:name="Tc_K-ytscxy2kifsLGm--TOaQ_5_0"/>
      <w:bookmarkStart w:id="1425" w:name="Tc_PYczXep8uUizmvFbBvnr1A_4_0"/>
      <w:bookmarkStart w:id="1426" w:name="Tc_VUnAIWCQM0-NO0_sVXpLcw_3_2"/>
      <w:bookmarkStart w:id="1427" w:name="Tc_YwF1l8_-qk2dVj0ESMxVlg_2_8"/>
      <w:bookmarkStart w:id="1428" w:name="Tc_Jp6jWRQrXUeDIfGpIf1DYw_2_5"/>
      <w:bookmarkStart w:id="1429" w:name="Tc_W5ZovHuQEkqeGXlk0p4Rbg_2_2"/>
      <w:bookmarkStart w:id="1430" w:name="Tc_OyJK-NjGvEWbT5w-UpQ4Fg_1_2"/>
      <w:bookmarkStart w:id="1431" w:name="_b4ecc437_d451_4d48_b549_8d56edaeb5d9"/>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p>
    <w:tbl>
      <w:tblPr>
        <w:tblW w:w="5607"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4"/>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34085" cy="175260"/>
                      <wp:effectExtent l="0" t="0" r="0" b="0"/>
                      <wp:wrapNone/>
                      <wp:docPr id="175" name="Frame17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295" cy="175260"/>
                      <wp:effectExtent l="0" t="0" r="0" b="0"/>
                      <wp:wrapNone/>
                      <wp:docPr id="180" name="Frame18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18490" cy="175260"/>
                      <wp:effectExtent l="0" t="0" r="0" b="0"/>
                      <wp:wrapNone/>
                      <wp:docPr id="181" name="Frame18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7840" cy="175260"/>
                      <wp:effectExtent l="0" t="0" r="0" b="0"/>
                      <wp:wrapNone/>
                      <wp:docPr id="184" name="Frame184"/>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43,039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46,830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52,118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53,221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48,073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65,421</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47,754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23,873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64,094</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128,540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139,070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109,773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112,718</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315,882</w:t>
            </w:r>
          </w:p>
        </w:tc>
      </w:tr>
      <w:tr>
        <w:trPr/>
        <w:tc>
          <w:tcPr>
            <w:tcW w:w="14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21,638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96,293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145,432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144,255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144,482</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315,882</w:t>
            </w:r>
          </w:p>
        </w:tc>
      </w:tr>
      <w:tr>
        <w:trPr/>
        <w:tc>
          <w:tcPr>
            <w:tcW w:w="14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315,882</w:t>
            </w:r>
          </w:p>
        </w:tc>
      </w:tr>
    </w:tbl>
    <w:p>
      <w:pPr>
        <w:pStyle w:val="TextBody"/>
        <w:bidi w:val="0"/>
        <w:spacing w:before="0" w:after="0"/>
        <w:ind w:left="0" w:right="0" w:hanging="0"/>
        <w:jc w:val="left"/>
        <w:rPr/>
      </w:pPr>
      <w:r>
        <w:rPr/>
        <w:t>​</w:t>
      </w:r>
    </w:p>
    <w:tbl>
      <w:tblPr>
        <w:tblW w:w="4131" w:type="dxa"/>
        <w:jc w:val="left"/>
        <w:tblInd w:w="0" w:type="dxa"/>
        <w:tblLayout w:type="fixed"/>
        <w:tblCellMar>
          <w:top w:w="28" w:type="dxa"/>
          <w:left w:w="28" w:type="dxa"/>
          <w:bottom w:w="28" w:type="dxa"/>
          <w:right w:w="28" w:type="dxa"/>
        </w:tblCellMar>
      </w:tblPr>
      <w:tblGrid>
        <w:gridCol w:w="124"/>
        <w:gridCol w:w="271"/>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10205" w:type="dxa"/>
        <w:jc w:val="left"/>
        <w:tblInd w:w="0" w:type="dxa"/>
        <w:tblLayout w:type="fixed"/>
        <w:tblCellMar>
          <w:top w:w="28" w:type="dxa"/>
          <w:left w:w="28" w:type="dxa"/>
          <w:bottom w:w="28" w:type="dxa"/>
          <w:right w:w="28" w:type="dxa"/>
        </w:tblCellMar>
      </w:tblPr>
      <w:tblGrid>
        <w:gridCol w:w="124"/>
        <w:gridCol w:w="267"/>
        <w:gridCol w:w="9814"/>
      </w:tblGrid>
      <w:tr>
        <w:trPr/>
        <w:tc>
          <w:tcPr>
            <w:tcW w:w="124" w:type="dxa"/>
            <w:tcBorders/>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8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were not material for the three and nine months ended September 29, 2023 and September 30, 2022.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and nine months ended September 29, 2023 nor the three and nine months ended September 30,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nine months ended September 29, 2023, the Company’s top 10 customers accounted for 52.9%, and 50.6%, respectively, of the Company’s consolidated contract revenue. </w:t>
      </w:r>
      <w:r>
        <w:rPr>
          <w:rFonts w:ascii="Times New Roman;Times;serif" w:hAnsi="Times New Roman;Times;serif"/>
          <w:sz w:val="20"/>
          <w:shd w:fill="FFFFFF" w:val="clear"/>
        </w:rPr>
        <w:t>For the three and nine months ended September 30, 2022, the Company’s top 10 customers accounted for 57.2%, and 54.5%, respectively, of the Company’s consolidated contract revenue.</w:t>
      </w:r>
      <w:r>
        <w:rPr>
          <w:rFonts w:ascii="Times New Roman;Times;serif" w:hAnsi="Times New Roman;Times;serif"/>
          <w:sz w:val="20"/>
        </w:rPr>
        <w:t xml:space="preserve">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nine months ended September 29, 2023, the Company had no individual customer that accounted for more than 10% of its consolidated contract revenue</w:t>
      </w:r>
      <w:r>
        <w:rPr>
          <w:rFonts w:ascii="Times New Roman;Times;serif" w:hAnsi="Times New Roman;Times;serif"/>
          <w:sz w:val="20"/>
          <w:shd w:fill="FFFFFF" w:val="clear"/>
        </w:rPr>
        <w:t>.</w:t>
      </w:r>
      <w:r>
        <w:rPr>
          <w:rFonts w:ascii="Times New Roman;Times;serif" w:hAnsi="Times New Roman;Times;serif"/>
          <w:sz w:val="20"/>
        </w:rPr>
        <w:t xml:space="preserve"> For the three months ended September 30, 2022, the Company had one customer, Pueblo County School District, that accounted for 13.3% of its consolidated contract revenues</w:t>
      </w:r>
      <w:r>
        <w:rPr>
          <w:rFonts w:ascii="Times New Roman;Times;serif" w:hAnsi="Times New Roman;Times;serif"/>
          <w:sz w:val="20"/>
          <w:shd w:fill="FFFFFF" w:val="clear"/>
        </w:rPr>
        <w:t>.</w:t>
      </w:r>
      <w:r>
        <w:rPr>
          <w:rFonts w:ascii="Times New Roman;Times;serif" w:hAnsi="Times New Roman;Times;serif"/>
          <w:sz w:val="20"/>
        </w:rPr>
        <w:t> For the nine months ended September 30, 2022, the Company had one customer, the Los Angeles Department of Water and Power (“LADWP”), that accounted for 13.2% of its consolidated contract revenues</w:t>
      </w:r>
      <w:r>
        <w:rPr>
          <w:rFonts w:ascii="Times New Roman;Times;serif" w:hAnsi="Times New Roman;Times;serif"/>
          <w:sz w:val="20"/>
          <w:shd w:fill="FFFFFF" w:val="clear"/>
        </w:rPr>
        <w:t>.</w:t>
      </w:r>
      <w:r>
        <w:rPr>
          <w:rFonts w:ascii="Times New Roman;Times;serif" w:hAnsi="Times New Roman;Times;serif"/>
          <w:sz w:val="20"/>
        </w:rPr>
        <w:t>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On a segment basis, the Company had individual customers that accounted for more than 10% of its segment contract revenues.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29, 2023, the Company derived 21.7% of its Energy segment revenues from two customers, Pueblo County School District and </w:t>
      </w:r>
      <w:r>
        <w:rPr>
          <w:rFonts w:ascii="Times New Roman;Times;serif" w:hAnsi="Times New Roman;Times;serif"/>
          <w:sz w:val="20"/>
          <w:shd w:fill="FFFFFF" w:val="clear"/>
        </w:rPr>
        <w:t xml:space="preserve">Dormitory Authority State of New York (“DASNY”). For the nine months ended September 29, 2023, the Company derived 22.7% of its Energy Segment revenues from two customers, LADWP and DASNY. </w:t>
      </w:r>
      <w:r>
        <w:rPr>
          <w:rFonts w:ascii="Times New Roman;Times;serif" w:hAnsi="Times New Roman;Times;serif"/>
          <w:sz w:val="20"/>
        </w:rPr>
        <w:t>For the three months ended September 30, 2022, the Company derived 38.3%</w:t>
      </w:r>
      <w:r>
        <w:rPr>
          <w:rFonts w:ascii="Times New Roman;Times;serif" w:hAnsi="Times New Roman;Times;serif"/>
          <w:sz w:val="20"/>
          <w:shd w:fill="FFFFFF" w:val="clear"/>
        </w:rPr>
        <w:t xml:space="preserve"> of its Energy segment revenues from three customers, Pueblo County School District, DASNY and LADWP. For the nine months ended September 30, 2022, the Company derived 26.5% of its Energy segment revenues from two customers, LADWP and Pueblo County School District.</w:t>
      </w:r>
    </w:p>
    <w:p>
      <w:pPr>
        <w:pStyle w:val="TextBody"/>
        <w:pBdr/>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For the three and nine months ended September 29, 2023, no single customer accounted for 10% or more of the Company’s Engineering and Consulting segment revenues.</w:t>
      </w:r>
      <w:r>
        <w:rPr>
          <w:rFonts w:ascii="Times New Roman;Times;serif" w:hAnsi="Times New Roman;Times;serif"/>
          <w:sz w:val="20"/>
          <w:shd w:fill="FFFFFF" w:val="clear"/>
        </w:rPr>
        <w:t xml:space="preserve"> For the three and nine months ended September 30, 2022, </w:t>
      </w:r>
      <w:r>
        <w:rPr>
          <w:rFonts w:ascii="Times New Roman;Times;serif" w:hAnsi="Times New Roman;Times;serif"/>
          <w:sz w:val="20"/>
        </w:rPr>
        <w:t>no single customer accounted for 10% or more of the Company’s Engineering and Consulting segment revenues.</w:t>
      </w:r>
      <w:r>
        <w:rPr>
          <w:rFonts w:ascii="Times New Roman;Times;serif" w:hAnsi="Times New Roman;Times;serif"/>
          <w:sz w:val="20"/>
          <w:shd w:fill="FFFFFF" w:val="clear"/>
        </w:rPr>
        <w:t> </w:t>
      </w:r>
    </w:p>
    <w:p>
      <w:pPr>
        <w:pStyle w:val="TextBody"/>
        <w:shd w:fill="FFFFFF" w:val="clear"/>
        <w:bidi w:val="0"/>
        <w:spacing w:before="40" w:after="0"/>
        <w:ind w:left="0" w:right="0" w:firstLine="720"/>
        <w:jc w:val="left"/>
        <w:rPr>
          <w:rFonts w:ascii="Times New Roman;Times;serif" w:hAnsi="Times New Roman;Times;serif"/>
          <w:sz w:val="20"/>
        </w:rPr>
      </w:pPr>
      <w:r>
        <w:rPr>
          <w:rFonts w:ascii="Times New Roman;Times;serif" w:hAnsi="Times New Roman;Times;serif"/>
          <w:sz w:val="20"/>
        </w:rPr>
        <w:t>On a geographical basis, the Company’s largest clients are based in California and New York. For the three and nine months ended September 29, 2023, services provided to clients in California accounted for 42.8% and 42.2%, respectively, of the Company’s contract revenue and services provided to clients in New York accounted for 23.6% and 24.7%, respectively, of the Company’s contract revenue. For the three and nine months ended September 30, 2022, services provided to clients in California accounted for 37.2% and 40.3%, respectively, of the Company’s contract revenue and services provided to clients in New York accounted for 23.4% and 21.4%, respectively, of the Company’s contract revenue.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9.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end of fiscal year 2022, the Company’s total valuation allowance was $1.2 million, remaining unchanged from the end of fiscal year 2021. As of September 29, 2023, the Company assessed all available positive and negative evidence available to determine whether, based on the weight of that evidence, there was a change in judgment related to the utilization of deferred tax assets in future years. The Company concluded that as of September 29, 2023, the valuation allowance for the Company’s deferred tax assets was appropriate in accordance with ASC 740. Consequently, there was no change to the valuation allowance during the three and nine months ended September 29,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and nine months ended September 29, 2023, and the three and nine months ended September 30, 2022,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 Company’s estimates and determination of an effective tax rate for the year, the Company recorded an income tax expense of $0.7 million and $1.7 million for the three and nine months ended September 29, 2023, respectively, as compared to an income tax benefit of $1.5 million and $5.6 million for the three and nine months ended September 30, 2022, respectively. During the three and nine months ended September 29, 2023, the difference between the effective tax rate and the federal statutory rate was primarily attributable to state taxes, non-deductible stock compensation, nondeductible executive compensation, research and development tax credits, and the commercial building energy efficiency deduction. During the three and nine months ended September 30, 2022, the difference between the effective tax rate and the federal statutory rate was primarily attributable to state taxes, non-deductible stock compensation, nondeductible executive compensation, research and development tax credits, and the commercial building energy efficiency deduction.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432" w:name="Tc_i6kSMf5pz0y0zmK9r8Ipjg_11_11"/>
      <w:bookmarkStart w:id="1433" w:name="Tc_p8DKbV3Bf02rdoUkGErVSw_11_8"/>
      <w:bookmarkStart w:id="1434" w:name="Tc_gVJbpcLG_UOHX6I6OAPJAA_11_5"/>
      <w:bookmarkStart w:id="1435" w:name="Tc_WnKVUczoZUitTHH67Xu5hg_11_2"/>
      <w:bookmarkStart w:id="1436" w:name="Tc_gQzPIp2AhUu21C5fS3ucxg_11_0"/>
      <w:bookmarkStart w:id="1437" w:name="Tc_kHVk4gIBiU-JwwhaK-8GVw_10_11"/>
      <w:bookmarkStart w:id="1438" w:name="Tc_qn5m8fEgcU6eqYOvwvAlJg_10_8"/>
      <w:bookmarkStart w:id="1439" w:name="Tc_5kQCxInQCkSQDUdRpRy_Lg_10_5"/>
      <w:bookmarkStart w:id="1440" w:name="Tc_lSD2-10FH0eR-SD44VeeTw_10_2"/>
      <w:bookmarkStart w:id="1441" w:name="Tc_kfh_pFibk0GSrWf4zgeHJg_10_0"/>
      <w:bookmarkStart w:id="1442" w:name="Tc_nj1dK1eAwkON6S6P1Eht6g_9_0"/>
      <w:bookmarkStart w:id="1443" w:name="Tc_Zh4ah4QiXUWF-9etf39pIQ_8_0"/>
      <w:bookmarkStart w:id="1444" w:name="Tc_MieKFjSieEezpCnYfPqI_g_7_12"/>
      <w:bookmarkStart w:id="1445" w:name="Tc_CozbRhhxD0SPOza1gV4arA_7_0"/>
      <w:bookmarkStart w:id="1446" w:name="Tc_EgNVITwkIk-v4wEqt3rqFg_6_0"/>
      <w:bookmarkStart w:id="1447" w:name="Tc_GpeRWMqNk06NunHyULA0EQ_5_11"/>
      <w:bookmarkStart w:id="1448" w:name="Tc_ULPDZPeZEUyfvFBvZBRj4w_5_8"/>
      <w:bookmarkStart w:id="1449" w:name="Tc_EoFuoNWzZkmEiRXLyIEx5g_5_5"/>
      <w:bookmarkStart w:id="1450" w:name="Tc_pB329LB1CU-pO-ICW_L2QQ_5_2"/>
      <w:bookmarkStart w:id="1451" w:name="Tc_KSYnKnJONUu7jyAOF3075w_5_0"/>
      <w:bookmarkStart w:id="1452" w:name="Tc_fdv1QxHBnkCdXMRvJQAuEQ_4_2"/>
      <w:bookmarkStart w:id="1453" w:name="Tc_2JjKQDubZUSPuykUmyNYBw_3_11"/>
      <w:bookmarkStart w:id="1454" w:name="Tc_1c5e3lmR-EmHZBTa_MGG7A_3_8"/>
      <w:bookmarkStart w:id="1455" w:name="Tc_45qWVcZ04UeZbW7RX9DGkw_3_5"/>
      <w:bookmarkStart w:id="1456" w:name="Tc_JJF0rNyT1EyivGVUaDixLQ_3_2"/>
      <w:bookmarkStart w:id="1457" w:name="Tc_qthZcAL7DkOPoXGEyUrWIQ_2_11"/>
      <w:bookmarkStart w:id="1458" w:name="Tc_uXRcPMOY2UORZga0RiSyVg_2_8"/>
      <w:bookmarkStart w:id="1459" w:name="Tc_cbNzTLAxnkOWrpg4e38XuQ_2_5"/>
      <w:bookmarkStart w:id="1460" w:name="Tc_blW-2uDOKUKgPApFXfa_hw_2_2"/>
      <w:bookmarkStart w:id="1461" w:name="Tc_zmzUTOfII0e4xq9c-tXHog_1_8"/>
      <w:bookmarkStart w:id="1462" w:name="Tc_n9wOHt8LG0CI7CCjLzWiPw_1_2"/>
      <w:bookmarkStart w:id="1463" w:name="_d6162344_f958_4411_9488_f538b1cbcc31"/>
      <w:bookmarkStart w:id="1464" w:name="_2a1d0ec2_c041_4215_9911_0c5f6d95054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r>
        <w:rPr>
          <w:rFonts w:ascii="Times New Roman;Times;serif" w:hAnsi="Times New Roman;Times;serif"/>
          <w:b/>
          <w:sz w:val="20"/>
        </w:rPr>
        <w:t>10.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34"/>
        <w:gridCol w:w="326"/>
        <w:gridCol w:w="262"/>
        <w:gridCol w:w="842"/>
        <w:gridCol w:w="326"/>
        <w:gridCol w:w="262"/>
        <w:gridCol w:w="842"/>
        <w:gridCol w:w="326"/>
        <w:gridCol w:w="262"/>
        <w:gridCol w:w="842"/>
        <w:gridCol w:w="326"/>
        <w:gridCol w:w="256"/>
        <w:gridCol w:w="899"/>
      </w:tblGrid>
      <w:tr>
        <w:trPr/>
        <w:tc>
          <w:tcPr>
            <w:tcW w:w="4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815590" cy="175260"/>
                      <wp:effectExtent l="0" t="0" r="0" b="0"/>
                      <wp:wrapNone/>
                      <wp:docPr id="185" name="Frame185"/>
                      <a:graphic xmlns:a="http://schemas.openxmlformats.org/drawingml/2006/main">
                        <a:graphicData uri="http://schemas.microsoft.com/office/word/2010/wordprocessingShape">
                          <wps:wsp>
                            <wps:cNvSpPr txBox="1"/>
                            <wps:spPr>
                              <a:xfrm>
                                <a:off x="0" y="0"/>
                                <a:ext cx="281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6370" cy="175260"/>
                      <wp:effectExtent l="0" t="0" r="0" b="0"/>
                      <wp:wrapNone/>
                      <wp:docPr id="187" name="Frame18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34670" cy="175260"/>
                      <wp:effectExtent l="0" t="0" r="0" b="0"/>
                      <wp:wrapNone/>
                      <wp:docPr id="188" name="Frame188"/>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6370" cy="175260"/>
                      <wp:effectExtent l="0" t="0" r="0" b="0"/>
                      <wp:wrapNone/>
                      <wp:docPr id="190" name="Frame19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34670" cy="175260"/>
                      <wp:effectExtent l="0" t="0" r="0" b="0"/>
                      <wp:wrapNone/>
                      <wp:docPr id="191" name="Frame191"/>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66370" cy="175260"/>
                      <wp:effectExtent l="0" t="0" r="0" b="0"/>
                      <wp:wrapNone/>
                      <wp:docPr id="193" name="Frame19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34670" cy="175260"/>
                      <wp:effectExtent l="0" t="0" r="0" b="0"/>
                      <wp:wrapNone/>
                      <wp:docPr id="194" name="Frame19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2560" cy="175260"/>
                      <wp:effectExtent l="0" t="0" r="0" b="0"/>
                      <wp:wrapNone/>
                      <wp:docPr id="196" name="Frame19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70865" cy="175260"/>
                      <wp:effectExtent l="0" t="0" r="0" b="0"/>
                      <wp:wrapNone/>
                      <wp:docPr id="197" name="Frame19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44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(8,023)</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13,462</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13,110</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righ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13,357</w:t>
            </w:r>
          </w:p>
        </w:tc>
        <w:tc>
          <w:tcPr>
            <w:tcW w:w="3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12,971</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13,360</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13,563</w:t>
            </w:r>
          </w:p>
        </w:tc>
        <w:tc>
          <w:tcPr>
            <w:tcW w:w="326" w:type="dxa"/>
            <w:tcBorders/>
            <w:vAlign w:val="center"/>
          </w:tcPr>
          <w:p>
            <w:pPr>
              <w:pStyle w:val="TableContents"/>
              <w:bidi w:val="0"/>
              <w:spacing w:before="0" w:after="0"/>
              <w:ind w:left="0" w:right="0" w:hanging="0"/>
              <w:jc w:val="righ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12,971</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26" w:type="dxa"/>
            <w:tcBorders/>
            <w:vAlign w:val="center"/>
          </w:tcPr>
          <w:p>
            <w:pPr>
              <w:pStyle w:val="TableContents"/>
              <w:bidi w:val="0"/>
              <w:spacing w:before="0" w:after="0"/>
              <w:ind w:left="0" w:right="0" w:hanging="0"/>
              <w:jc w:val="righ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and nine months ended September 29, 2023, the Company excluded 363,000 and 389,000 common shares, respectively, subject to outstanding equity awards from the calculation of diluted shares because their impact would have been anti-dilutive. For the three months ended September 30, 2022, the Company excluded 401,000 common shares subject to outstanding equity awards from the calculation of diluted shares because their impact would have been anti-dilutive. For the nine months ended September 30, 2022, the Company reported a net loss and, accordingly, all outstanding equity awards have been excluded from such periods because including them would have been anti-dilutive.</w:t>
      </w:r>
    </w:p>
    <w:p>
      <w:pPr>
        <w:pStyle w:val="TextBody"/>
        <w:shd w:fill="FFFFFF" w:val="clear"/>
        <w:bidi w:val="0"/>
        <w:spacing w:before="0" w:after="100"/>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11.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12. SUBSEQUENT EVENTS</w:t>
      </w:r>
    </w:p>
    <w:p>
      <w:pPr>
        <w:pStyle w:val="TextBody"/>
        <w:bidi w:val="0"/>
        <w:spacing w:lineRule="atLeast" w:line="220"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Condensed Consolidated Financial Statements are issued. As of November 2, 2023, there were no subsequent events required to be reported.</w:t>
      </w:r>
    </w:p>
    <w:p>
      <w:pPr>
        <w:pStyle w:val="TextBody"/>
        <w:bidi w:val="0"/>
        <w:spacing w:before="100" w:after="100"/>
        <w:ind w:left="0" w:right="0" w:firstLine="720"/>
        <w:jc w:val="left"/>
        <w:rPr>
          <w:shd w:fill="FFFFFF" w:val="clear"/>
        </w:rPr>
      </w:pPr>
      <w:r>
        <w:rPr>
          <w:shd w:fill="FFFFFF" w:val="clear"/>
        </w:rPr>
        <w:t>​</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firstLine="720"/>
        <w:jc w:val="left"/>
        <w:rPr/>
      </w:pPr>
      <w:r>
        <w:rPr/>
        <w:t> </w:t>
      </w:r>
    </w:p>
    <w:p>
      <w:pPr>
        <w:pStyle w:val="TextBody"/>
        <w:bidi w:val="0"/>
        <w:spacing w:before="100" w:after="100"/>
        <w:ind w:left="0" w:right="0" w:firstLine="720"/>
        <w:jc w:val="left"/>
        <w:rPr>
          <w:shd w:fill="FFFFFF" w:val="clear"/>
        </w:rPr>
      </w:pPr>
      <w:r>
        <w:rPr>
          <w:shd w:fill="FFFFFF" w:val="clear"/>
        </w:rPr>
        <w:t>​</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465" w:name="ITEM7MANAGEMENTSDISCUSSION_533905"/>
      <w:bookmarkStart w:id="1466" w:name="_7e426c4b_9250_4ab5_9145_b9d97ccbfeb4"/>
      <w:bookmarkEnd w:id="1465"/>
      <w:bookmarkEnd w:id="1466"/>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Developments</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New Credit Facilities</w:t>
      </w:r>
    </w:p>
    <w:p>
      <w:pPr>
        <w:pStyle w:val="TextBody"/>
        <w:shd w:fill="FFFFFF" w:val="clear"/>
        <w:bidi w:val="0"/>
        <w:spacing w:before="100" w:after="100"/>
        <w:ind w:left="0" w:right="0" w:firstLine="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29, 2023 (the “Closing Date”), we and certain of our subsidiaries entered into a credit agreement (the “Credit Agreement”) with a syndicate of financial institutions as lenders and BMO Bank, N.A. (“BMO”), as administrative agent. The Credit Agreement replaced our Amended and Restated Credit Agreement, dated as of June 26, 2019, (as amended, the “Prior Credit Agreement”), by and among the Company, the guarantors party thereto, BMO as administrative agent and lender and the lenders party thereto. For more information about our indebtedness, see Part I, Item 1, Note 5, “</w:t>
      </w:r>
      <w:r>
        <w:rPr>
          <w:rFonts w:ascii="Times New Roman;Times;serif" w:hAnsi="Times New Roman;Times;serif"/>
          <w:i/>
          <w:sz w:val="20"/>
        </w:rPr>
        <w:t>Debt Obligations</w:t>
      </w:r>
      <w:r>
        <w:rPr>
          <w:rFonts w:ascii="Times New Roman;Times;serif" w:hAnsi="Times New Roman;Times;serif"/>
          <w:sz w:val="20"/>
        </w:rPr>
        <w:t>”, and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Third Quarter and Nine Months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420"/>
        <w:gridCol w:w="386"/>
        <w:gridCol w:w="196"/>
        <w:gridCol w:w="691"/>
        <w:gridCol w:w="386"/>
        <w:gridCol w:w="531"/>
        <w:gridCol w:w="241"/>
        <w:gridCol w:w="386"/>
        <w:gridCol w:w="196"/>
        <w:gridCol w:w="691"/>
        <w:gridCol w:w="386"/>
        <w:gridCol w:w="531"/>
        <w:gridCol w:w="241"/>
        <w:gridCol w:w="386"/>
        <w:gridCol w:w="196"/>
        <w:gridCol w:w="796"/>
        <w:gridCol w:w="386"/>
        <w:gridCol w:w="871"/>
        <w:gridCol w:w="288"/>
      </w:tblGrid>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center"/>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7111"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c>
          <w:tcPr>
            <w:tcW w:w="386" w:type="dxa"/>
            <w:tcBorders/>
            <w:shd w:fill="CCEEFF" w:val="clear"/>
            <w:vAlign w:val="center"/>
          </w:tcPr>
          <w:p>
            <w:pPr>
              <w:pStyle w:val="TableContents"/>
              <w:bidi w:val="0"/>
              <w:spacing w:before="0" w:after="0"/>
              <w:ind w:left="0" w:right="0" w:hanging="0"/>
              <w:jc w:val="righ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11,339</w:t>
            </w:r>
          </w:p>
        </w:tc>
        <w:tc>
          <w:tcPr>
            <w:tcW w:w="386" w:type="dxa"/>
            <w:tcBorders/>
            <w:shd w:fill="CCEEFF" w:val="clear"/>
            <w:vAlign w:val="center"/>
          </w:tcPr>
          <w:p>
            <w:pPr>
              <w:pStyle w:val="TableContents"/>
              <w:bidi w:val="0"/>
              <w:spacing w:before="0" w:after="0"/>
              <w:ind w:left="0" w:right="0" w:hanging="0"/>
              <w:jc w:val="righ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9.3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21,420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67,454</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50.8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62,457</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51.4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4,997</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8.0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89,310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67.3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83,877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69.1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43,428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37,522</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30.9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15.7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23,805</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20,373</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16.8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3,432</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16.8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0.9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4,190</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8,049</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9,664</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8.0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39,591</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29.8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38,277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4,592</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608.2</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(1,002)</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69.8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0.7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(1,558)</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124.2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(1,450)</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3,729</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257.2 </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w:t>
            </w:r>
          </w:p>
        </w:tc>
        <w:tc>
          <w:tcPr>
            <w:tcW w:w="386" w:type="dxa"/>
            <w:tcBorders/>
            <w:shd w:fill="CCEEFF" w:val="cle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4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2,239</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86" w:type="dxa"/>
            <w:tcBorders/>
            <w:vAlign w:val="center"/>
          </w:tcPr>
          <w:p>
            <w:pPr>
              <w:pStyle w:val="TableContents"/>
              <w:bidi w:val="0"/>
              <w:spacing w:before="0" w:after="0"/>
              <w:ind w:left="0" w:right="0" w:hanging="0"/>
              <w:jc w:val="left"/>
              <w:rPr/>
            </w:pPr>
            <w:r>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0.1 </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1,490</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1,960.5</w:t>
            </w:r>
          </w:p>
        </w:tc>
        <w:tc>
          <w:tcPr>
            <w:tcW w:w="288" w:type="dxa"/>
            <w:tcBorders/>
            <w:vAlign w:val="center"/>
          </w:tcPr>
          <w:p>
            <w:pPr>
              <w:pStyle w:val="TableContents"/>
              <w:bidi w:val="0"/>
              <w:spacing w:before="0" w:after="0"/>
              <w:ind w:left="0" w:right="0" w:hanging="0"/>
              <w:jc w:val="left"/>
              <w:rPr/>
            </w:pPr>
            <w:r>
              <w:rPr/>
              <w:t>​</w:t>
            </w:r>
          </w:p>
        </w:tc>
      </w:tr>
      <w:tr>
        <w:trPr/>
        <w:tc>
          <w:tcPr>
            <w:tcW w:w="242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38"/>
        <w:gridCol w:w="326"/>
        <w:gridCol w:w="196"/>
        <w:gridCol w:w="691"/>
        <w:gridCol w:w="326"/>
        <w:gridCol w:w="534"/>
        <w:gridCol w:w="241"/>
        <w:gridCol w:w="326"/>
        <w:gridCol w:w="196"/>
        <w:gridCol w:w="706"/>
        <w:gridCol w:w="386"/>
        <w:gridCol w:w="534"/>
        <w:gridCol w:w="241"/>
        <w:gridCol w:w="326"/>
        <w:gridCol w:w="196"/>
        <w:gridCol w:w="796"/>
        <w:gridCol w:w="386"/>
        <w:gridCol w:w="871"/>
        <w:gridCol w:w="289"/>
      </w:tblGrid>
      <w:tr>
        <w:trPr/>
        <w:tc>
          <w:tcPr>
            <w:tcW w:w="2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75130" cy="175260"/>
                      <wp:effectExtent l="0" t="0" r="0" b="0"/>
                      <wp:wrapNone/>
                      <wp:docPr id="198" name="Frame198"/>
                      <a:graphic xmlns:a="http://schemas.openxmlformats.org/drawingml/2006/main">
                        <a:graphicData uri="http://schemas.microsoft.com/office/word/2010/wordprocessingShape">
                          <wps:wsp>
                            <wps:cNvSpPr txBox="1"/>
                            <wps:spPr>
                              <a:xfrm>
                                <a:off x="0" y="0"/>
                                <a:ext cx="167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200" name="Frame2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39090" cy="175260"/>
                      <wp:effectExtent l="0" t="0" r="0" b="0"/>
                      <wp:wrapNone/>
                      <wp:docPr id="203" name="Frame203"/>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53035" cy="175260"/>
                      <wp:effectExtent l="0" t="0" r="0" b="0"/>
                      <wp:wrapNone/>
                      <wp:docPr id="204" name="Frame20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48310" cy="175260"/>
                      <wp:effectExtent l="0" t="0" r="0" b="0"/>
                      <wp:wrapNone/>
                      <wp:docPr id="207" name="Frame20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45110" cy="175260"/>
                      <wp:effectExtent l="0" t="0" r="0" b="0"/>
                      <wp:wrapNone/>
                      <wp:docPr id="208" name="Frame20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39090" cy="175260"/>
                      <wp:effectExtent l="0" t="0" r="0" b="0"/>
                      <wp:wrapNone/>
                      <wp:docPr id="209" name="Frame209"/>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3035" cy="175260"/>
                      <wp:effectExtent l="0" t="0" r="0" b="0"/>
                      <wp:wrapNone/>
                      <wp:docPr id="210" name="Frame21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212" name="Frame2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05460" cy="175260"/>
                      <wp:effectExtent l="0" t="0" r="0" b="0"/>
                      <wp:wrapNone/>
                      <wp:docPr id="213" name="Frame2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45110" cy="175260"/>
                      <wp:effectExtent l="0" t="0" r="0" b="0"/>
                      <wp:wrapNone/>
                      <wp:docPr id="214" name="Frame21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53085" cy="175260"/>
                      <wp:effectExtent l="0" t="0" r="0" b="0"/>
                      <wp:wrapNone/>
                      <wp:docPr id="215" name="Frame21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3515" cy="175260"/>
                      <wp:effectExtent l="0" t="0" r="0" b="0"/>
                      <wp:wrapNone/>
                      <wp:docPr id="216" name="Frame21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52"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289" w:type="dxa"/>
            <w:tcBorders/>
            <w:vAlign w:val="center"/>
          </w:tcPr>
          <w:p>
            <w:pPr>
              <w:pStyle w:val="TableContents"/>
              <w:bidi w:val="0"/>
              <w:spacing w:before="0" w:after="0"/>
              <w:ind w:left="0" w:right="0" w:hanging="0"/>
              <w:jc w:val="center"/>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center"/>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8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9"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52"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9" w:type="dxa"/>
            <w:tcBorders/>
            <w:vAlign w:val="center"/>
          </w:tcPr>
          <w:p>
            <w:pPr>
              <w:pStyle w:val="TableContents"/>
              <w:bidi w:val="0"/>
              <w:spacing w:before="0" w:after="0"/>
              <w:ind w:left="0" w:right="0" w:hanging="0"/>
              <w:jc w:val="center"/>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4"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534"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center"/>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c>
          <w:tcPr>
            <w:tcW w:w="326" w:type="dxa"/>
            <w:tcBorders/>
            <w:shd w:fill="CCEEFF" w:val="clear"/>
            <w:vAlign w:val="center"/>
          </w:tcPr>
          <w:p>
            <w:pPr>
              <w:pStyle w:val="TableContents"/>
              <w:bidi w:val="0"/>
              <w:spacing w:before="0" w:after="0"/>
              <w:ind w:left="0" w:right="0" w:hanging="0"/>
              <w:jc w:val="righ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315,882</w:t>
            </w:r>
          </w:p>
        </w:tc>
        <w:tc>
          <w:tcPr>
            <w:tcW w:w="386"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38,536</w:t>
            </w:r>
          </w:p>
        </w:tc>
        <w:tc>
          <w:tcPr>
            <w:tcW w:w="38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12.2 </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63,568</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61,514</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165,508</w:t>
            </w:r>
          </w:p>
        </w:tc>
        <w:tc>
          <w:tcPr>
            <w:tcW w:w="326" w:type="dxa"/>
            <w:tcBorders/>
            <w:vAlign w:val="center"/>
          </w:tcPr>
          <w:p>
            <w:pPr>
              <w:pStyle w:val="TableContents"/>
              <w:bidi w:val="0"/>
              <w:spacing w:before="0" w:after="0"/>
              <w:ind w:left="0" w:right="0" w:hanging="0"/>
              <w:jc w:val="righ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46.7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153,896</w:t>
            </w:r>
          </w:p>
        </w:tc>
        <w:tc>
          <w:tcPr>
            <w:tcW w:w="386" w:type="dxa"/>
            <w:tcBorders/>
            <w:vAlign w:val="center"/>
          </w:tcPr>
          <w:p>
            <w:pPr>
              <w:pStyle w:val="TableContents"/>
              <w:bidi w:val="0"/>
              <w:spacing w:before="0" w:after="0"/>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48.7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11,612</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 </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229,076</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64.6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215,410</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68.2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125,342</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35.4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100,472</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31.8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24,870</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24.8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68,606</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19.4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60,169</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19.0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8,437</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14.0 </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7,200</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6,999</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6,626</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(2,562)</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12,518</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13,240</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4.2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22,629</w:t>
            </w:r>
          </w:p>
        </w:tc>
        <w:tc>
          <w:tcPr>
            <w:tcW w:w="326" w:type="dxa"/>
            <w:tcBorders/>
            <w:vAlign w:val="center"/>
          </w:tcPr>
          <w:p>
            <w:pPr>
              <w:pStyle w:val="TableContents"/>
              <w:bidi w:val="0"/>
              <w:spacing w:before="0" w:after="0"/>
              <w:ind w:left="0" w:right="0" w:hanging="0"/>
              <w:jc w:val="righ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25,099</w:t>
            </w:r>
          </w:p>
        </w:tc>
        <w:tc>
          <w:tcPr>
            <w:tcW w:w="386" w:type="dxa"/>
            <w:tcBorders/>
            <w:vAlign w:val="center"/>
          </w:tcPr>
          <w:p>
            <w:pPr>
              <w:pStyle w:val="TableContents"/>
              <w:bidi w:val="0"/>
              <w:spacing w:before="0" w:after="0"/>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7.9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(2,470)</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115,017</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112,133</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10,325</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(11,661)</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21,986</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188.5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(7,110)</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(3,216)</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(3,894)</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121.1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1,392</w:t>
            </w:r>
          </w:p>
        </w:tc>
        <w:tc>
          <w:tcPr>
            <w:tcW w:w="326" w:type="dxa"/>
            <w:tcBorders/>
            <w:vAlign w:val="center"/>
          </w:tcPr>
          <w:p>
            <w:pPr>
              <w:pStyle w:val="TableContents"/>
              <w:bidi w:val="0"/>
              <w:spacing w:before="0" w:after="0"/>
              <w:ind w:left="0" w:right="0" w:hanging="0"/>
              <w:jc w:val="righ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386" w:type="dxa"/>
            <w:tcBorders/>
            <w:vAlign w:val="center"/>
          </w:tcPr>
          <w:p>
            <w:pPr>
              <w:pStyle w:val="TableContents"/>
              <w:bidi w:val="0"/>
              <w:spacing w:before="0" w:after="0"/>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 </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(5,718)</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(3,768)</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193.2 </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4,607</w:t>
            </w:r>
          </w:p>
        </w:tc>
        <w:tc>
          <w:tcPr>
            <w:tcW w:w="326" w:type="dxa"/>
            <w:tcBorders/>
            <w:vAlign w:val="center"/>
          </w:tcPr>
          <w:p>
            <w:pPr>
              <w:pStyle w:val="TableContents"/>
              <w:bidi w:val="0"/>
              <w:spacing w:before="0" w:after="0"/>
              <w:ind w:left="0" w:right="0" w:hanging="0"/>
              <w:jc w:val="righ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(13,611)</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18,218</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133.8 </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1,712</w:t>
            </w:r>
          </w:p>
        </w:tc>
        <w:tc>
          <w:tcPr>
            <w:tcW w:w="326" w:type="dxa"/>
            <w:tcBorders/>
            <w:shd w:fill="CCEEFF" w:val="clear"/>
            <w:vAlign w:val="center"/>
          </w:tcPr>
          <w:p>
            <w:pPr>
              <w:pStyle w:val="TableContents"/>
              <w:bidi w:val="0"/>
              <w:spacing w:before="0" w:after="0"/>
              <w:ind w:left="0" w:right="0" w:hanging="0"/>
              <w:jc w:val="righ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(5,588)</w:t>
            </w:r>
          </w:p>
        </w:tc>
        <w:tc>
          <w:tcPr>
            <w:tcW w:w="386" w:type="dxa"/>
            <w:tcBorders/>
            <w:shd w:fill="CCEEFF" w:val="cle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7,300</w:t>
            </w:r>
          </w:p>
        </w:tc>
        <w:tc>
          <w:tcPr>
            <w:tcW w:w="38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2,895</w:t>
            </w:r>
          </w:p>
        </w:tc>
        <w:tc>
          <w:tcPr>
            <w:tcW w:w="326" w:type="dxa"/>
            <w:tcBorders/>
            <w:vAlign w:val="center"/>
          </w:tcPr>
          <w:p>
            <w:pPr>
              <w:pStyle w:val="TableContents"/>
              <w:bidi w:val="0"/>
              <w:spacing w:before="0" w:after="0"/>
              <w:ind w:left="0" w:right="0" w:hanging="0"/>
              <w:jc w:val="right"/>
              <w:rPr/>
            </w:pPr>
            <w:r>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0.8 </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(8,023)</w:t>
            </w:r>
          </w:p>
        </w:tc>
        <w:tc>
          <w:tcPr>
            <w:tcW w:w="386" w:type="dxa"/>
            <w:tcBorders/>
            <w:vAlign w:val="center"/>
          </w:tcPr>
          <w:p>
            <w:pPr>
              <w:pStyle w:val="TableContents"/>
              <w:bidi w:val="0"/>
              <w:spacing w:before="0" w:after="0"/>
              <w:ind w:left="0" w:right="0" w:hanging="0"/>
              <w:jc w:val="left"/>
              <w:rPr/>
            </w:pPr>
            <w:r>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10,918</w:t>
            </w:r>
          </w:p>
        </w:tc>
        <w:tc>
          <w:tcPr>
            <w:tcW w:w="38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136.1 </w:t>
            </w:r>
          </w:p>
        </w:tc>
        <w:tc>
          <w:tcPr>
            <w:tcW w:w="289" w:type="dxa"/>
            <w:tcBorders/>
            <w:vAlign w:val="center"/>
          </w:tcPr>
          <w:p>
            <w:pPr>
              <w:pStyle w:val="TableContents"/>
              <w:bidi w:val="0"/>
              <w:spacing w:before="0" w:after="0"/>
              <w:ind w:left="0" w:right="0" w:hanging="0"/>
              <w:jc w:val="left"/>
              <w:rPr/>
            </w:pPr>
            <w:r>
              <w:rPr/>
              <w:t>​</w:t>
            </w:r>
          </w:p>
        </w:tc>
      </w:tr>
      <w:tr>
        <w:trPr/>
        <w:tc>
          <w:tcPr>
            <w:tcW w:w="26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provides information about disaggregated revenue of our two segments, Energy and Engineering and Consulting, by contract type, client type and geographical region:</w:t>
      </w:r>
    </w:p>
    <w:tbl>
      <w:tblPr>
        <w:tblW w:w="5619"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34085" cy="175260"/>
                      <wp:effectExtent l="0" t="0" r="0" b="0"/>
                      <wp:wrapNone/>
                      <wp:docPr id="217" name="Frame21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4460" cy="175260"/>
                      <wp:effectExtent l="0" t="0" r="0" b="0"/>
                      <wp:wrapNone/>
                      <wp:docPr id="219" name="Frame2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38785" cy="175260"/>
                      <wp:effectExtent l="0" t="0" r="0" b="0"/>
                      <wp:wrapNone/>
                      <wp:docPr id="220" name="Frame2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1295" cy="175260"/>
                      <wp:effectExtent l="0" t="0" r="0" b="0"/>
                      <wp:wrapNone/>
                      <wp:docPr id="222" name="Frame22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18490" cy="175260"/>
                      <wp:effectExtent l="0" t="0" r="0" b="0"/>
                      <wp:wrapNone/>
                      <wp:docPr id="223" name="Frame223"/>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5460" cy="175260"/>
                      <wp:effectExtent l="0" t="0" r="0" b="0"/>
                      <wp:wrapNone/>
                      <wp:docPr id="226" name="Frame2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9,382</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42,119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46,301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59,529</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52,410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72,464</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132,738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29, 2023</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26,038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73,664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126,946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138,562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139,346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142,192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21,607</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119,028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176,787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151,695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151,896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354,418</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292,330</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354,418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07" w:type="dxa"/>
        <w:jc w:val="left"/>
        <w:tblInd w:w="0" w:type="dxa"/>
        <w:tblLayout w:type="fixed"/>
        <w:tblCellMar>
          <w:top w:w="0" w:type="dxa"/>
          <w:left w:w="0" w:type="dxa"/>
          <w:bottom w:w="0" w:type="dxa"/>
          <w:right w:w="0" w:type="dxa"/>
        </w:tblCellMar>
      </w:tblPr>
      <w:tblGrid>
        <w:gridCol w:w="1471"/>
        <w:gridCol w:w="326"/>
        <w:gridCol w:w="196"/>
        <w:gridCol w:w="691"/>
        <w:gridCol w:w="326"/>
        <w:gridCol w:w="317"/>
        <w:gridCol w:w="974"/>
        <w:gridCol w:w="326"/>
        <w:gridCol w:w="196"/>
        <w:gridCol w:w="784"/>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934085" cy="175260"/>
                      <wp:effectExtent l="0" t="0" r="0" b="0"/>
                      <wp:wrapNone/>
                      <wp:docPr id="227" name="Frame22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1295" cy="175260"/>
                      <wp:effectExtent l="0" t="0" r="0" b="0"/>
                      <wp:wrapNone/>
                      <wp:docPr id="232" name="Frame23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18490" cy="175260"/>
                      <wp:effectExtent l="0" t="0" r="0" b="0"/>
                      <wp:wrapNone/>
                      <wp:docPr id="233" name="Frame233"/>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7840" cy="175260"/>
                      <wp:effectExtent l="0" t="0" r="0" b="0"/>
                      <wp:wrapNone/>
                      <wp:docPr id="236" name="Frame23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43,039</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46,830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52,118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53,221</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6,848</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48,073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65,421</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47,704</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47,754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102,625</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121,399</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2022</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10"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23,873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64,094</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128,540</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139,070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109,773</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112,718</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315,882</w:t>
            </w:r>
          </w:p>
        </w:tc>
      </w:tr>
      <w:tr>
        <w:trPr/>
        <w:tc>
          <w:tcPr>
            <w:tcW w:w="14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21,638</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96,293</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145,432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144,255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144,482</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315,882</w:t>
            </w:r>
          </w:p>
        </w:tc>
      </w:tr>
      <w:tr>
        <w:trPr/>
        <w:tc>
          <w:tcPr>
            <w:tcW w:w="14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262,186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315,882</w:t>
            </w:r>
          </w:p>
        </w:tc>
      </w:tr>
    </w:tbl>
    <w:p>
      <w:pPr>
        <w:pStyle w:val="TextBody"/>
        <w:bidi w:val="0"/>
        <w:spacing w:before="0" w:after="0"/>
        <w:ind w:left="36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286"/>
        <w:gridCol w:w="373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9962" w:type="dxa"/>
        <w:jc w:val="left"/>
        <w:tblInd w:w="0" w:type="dxa"/>
        <w:tblLayout w:type="fixed"/>
        <w:tblCellMar>
          <w:top w:w="0" w:type="dxa"/>
          <w:left w:w="0" w:type="dxa"/>
          <w:bottom w:w="0" w:type="dxa"/>
          <w:right w:w="0" w:type="dxa"/>
        </w:tblCellMar>
      </w:tblPr>
      <w:tblGrid>
        <w:gridCol w:w="286"/>
        <w:gridCol w:w="967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676" w:type="dxa"/>
            <w:tcBorders/>
            <w:vAlign w:val="center"/>
          </w:tcPr>
          <w:p>
            <w:pPr>
              <w:pStyle w:val="TableContents"/>
              <w:bidi w:val="0"/>
              <w:spacing w:before="0" w:after="283"/>
              <w:jc w:val="left"/>
              <w:rPr/>
            </w:pPr>
            <w:r>
              <w:rPr>
                <w:rFonts w:ascii="Times New Roman;Times;serif" w:hAnsi="Times New Roman;Times;serif"/>
                <w:b w:val="false"/>
                <w:i/>
                <w:sz w:val="16"/>
              </w:rPr>
              <w:t>Revenue from our foreign operations were immaterial for the three and nine months ended September 29, 2023 and September 30, 2022</w:t>
            </w:r>
            <w:r>
              <w:rPr>
                <w:rFonts w:ascii="Times New Roman;Times;serif" w:hAnsi="Times New Roman;Times;serif"/>
                <w:b w:val="false"/>
                <w:i w:val="false"/>
                <w:caps w:val="false"/>
                <w:smallCaps w:val="false"/>
                <w:sz w:val="18"/>
              </w:rPr>
              <w:t xml:space="preserve">. </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September 29, 2023 Compared to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$11.3 million, or 9.3%, in the three months ended September 29, 2023, compared to the three months ended September 30, 2022, due to incremental revenues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$8.4 million, or 8.2%, in the three months ended September 29, 2023, compared to the three months ended September 30, 2022, primarily as a result of increases in construction management revenues, utility program revenues, and planning and advisory consulting revenues.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$2.9 million, or 15.6%, in the three months ended September 29, 2023, compared to the three months ended September 30, 2022, primarily due to increased demand for services provided to our clients.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$5.4 million, or 6.5% for the three months ended September 29, 2023, compared to the three months </w:t>
      </w:r>
      <w:r>
        <w:rPr>
          <w:rFonts w:ascii="Times New Roman;Times;serif" w:hAnsi="Times New Roman;Times;serif"/>
          <w:sz w:val="20"/>
        </w:rPr>
        <w:t>ended September 30, 2022, primarily as a result of the increase, and change of mix, in contract revenues as described above. As a percentage of contract revenue, direct salaries and wages decreased to 16.5% in the three months ended September 29, 2023 from 17.6% in the three months ended September 30, 2022, while subcontractor services and other direct costs decreased to 50.8% in the three months ended September 29, 2023 from 51.4% in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$3.8 million, or 5.1% for the three months ended September 29, 2023, compared to the three months ended September 30, 2022. </w:t>
      </w:r>
      <w:r>
        <w:rPr>
          <w:rFonts w:ascii="Times New Roman;Times;serif" w:hAnsi="Times New Roman;Times;serif"/>
          <w:sz w:val="20"/>
        </w:rPr>
        <w:t>Direct costs of contract revenue for the Engineering and Consulting segment increased $1.6 million, or 18.2%, in the three months ended September 29, 2023, compared to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Subcontractor services and other direct costs increased by $5.0 million, or 8.0%, in the three months ended September 29, 2023</w:t>
      </w:r>
      <w:r>
        <w:rPr>
          <w:rFonts w:ascii="Times New Roman;Times;serif" w:hAnsi="Times New Roman;Times;serif"/>
          <w:sz w:val="20"/>
        </w:rPr>
        <w:t>, compared to the three months ended September 30, 2022, primarily due to the increase in construction management revenues and utility program revenues. S</w:t>
      </w:r>
      <w:r>
        <w:rPr>
          <w:rFonts w:ascii="Times New Roman;Times;serif" w:hAnsi="Times New Roman;Times;serif"/>
          <w:sz w:val="20"/>
          <w:shd w:fill="FFFFFF" w:val="clear"/>
        </w:rPr>
        <w:t>alaries and wages remained relatively flat in the three months ended September 29, 2023, compared to the three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15.7% to $43.4 million, or 32.7% gross margin, for the three months ended September 29, 2023, compared to gross profit of $37.5 million, or 30.9% gross margin, for the three months ended September 30, 2022. The increase in our gross margin was primarily driven by changes in the mix of revenues as described above combined with the absence of project startup costs for new utility programs that were incurred during the third quarter of fiscal year 2022 but did not recur in the third quarter of fiscal year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$1.3 million, or 3.4%, in the three months ended September 29, 2023, compared to the three months ended September 30, 2022. G&amp;A expenses consisted of an increase of $2.0 million in the Engineering and Consulting segment, partially offset by a decrease of $0.2 million in the Energy segment and a decrease of $0.5 million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Within G&amp;A expenses, the increase of $3.4 million in salaries and wages, payroll taxes and employee benefits was partially offset by a decrease of $1.6 million in other general and administrative expenses combined with a decrease of $0.4 million in stock-based compensation and a decrease of $0.2 million in depreciation and amortization. The increase in salaries and wages, payroll taxes and employee benefits was primarily due to an increase in incentive compensation, consistent with the improvement in operating profit. The decrease in other general and administrative expenses was primarily due to contingent consideration expense related to prior acquisitions in the third quarter of fiscal year 2022 that did not recur in the same period for 2023. The decrease in stock-based compensation expenses was primarily related to previously awarded stock grants reaching the end of their corresponding vesting periods, partially offset by new equity awards being issued at lower stock prices. 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was $3.8 million for the three months ended September 29, 2023, compared to an operating loss of $0.8 million </w:t>
      </w:r>
      <w:r>
        <w:rPr>
          <w:rFonts w:ascii="Times New Roman;Times;serif" w:hAnsi="Times New Roman;Times;serif"/>
          <w:sz w:val="20"/>
          <w:shd w:fill="FFFFFF" w:val="clear"/>
        </w:rPr>
        <w:t>for the three months ended September 29, 2022</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increased $0.9 million, or 124.2%, for the three months ended September 29, 2023, compared to the three months ended September 30, 2022, primarily due to higher interest expense as a result of the increase in market interest rates which directly affected our variable interest rates under our credit facilities, combined with a one-time charge of $0.5 million for unamortized debt issuance costs related to our prior credit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$0.7 million for the three months ended September 29, 2023, compared to a tax benefit of $1.5 million for the three months ended September 30, 2022. The tax expense is primarily attributable to the income before income tax combined with various tax deductions and credits.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$1.6 million for the three months ended September 29, 2023, as compared to a net income of $0.1 million for the three months ended September 30, 2022. The increase in net income was primarily attributable to the increase in revenue and gross profit, partially offset by higher interest expense and income tax expense.</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i/>
          <w:sz w:val="20"/>
          <w:shd w:fill="FFFFFF" w:val="clear"/>
        </w:rPr>
        <w:t xml:space="preserve">Nine Months Ended </w:t>
      </w:r>
      <w:r>
        <w:rPr>
          <w:rFonts w:ascii="Times New Roman;Times;serif" w:hAnsi="Times New Roman;Times;serif"/>
          <w:i/>
          <w:sz w:val="20"/>
        </w:rPr>
        <w:t>September 29, 2023 Compared to Nine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Contract revenue. </w:t>
      </w:r>
      <w:r>
        <w:rPr>
          <w:rFonts w:ascii="Times New Roman;Times;serif" w:hAnsi="Times New Roman;Times;serif"/>
          <w:sz w:val="20"/>
        </w:rPr>
        <w:t>Consolidated contract revenue increased $38.5 million, or 12.2%, in the nine months ended September 29, 2023, compared to the nine months ended September 30, 2022, due to incremental revenues in both our Energy segment and in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Energy segment increased $30.1 million, or 11.5%, in the nine months ended September 29, 2023, compared to the nine months ended September 30, 2022, primarily as a result of increases in software licensing revenue and higher demand across the full spectrum of our energy services. Contract revenue in our Engineering and Consulting segment increased $8.4 million, or 15.6%, in the nine months ended September 29, 2023, compared to the nine months ended September 30, 2022, primarily due to increased demand for services provided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increased $13.7 million, or 6.3%, for the nine months ended September 29, 2023, compared to the nine months ended September 30, 2022, primarily </w:t>
      </w:r>
      <w:r>
        <w:rPr>
          <w:rFonts w:ascii="Times New Roman;Times;serif" w:hAnsi="Times New Roman;Times;serif"/>
          <w:sz w:val="20"/>
        </w:rPr>
        <w:t>as a result of the increase, and change of mix, in contract revenues as described above. As a percentage of contract revenue, direct salaries and wages decreased to 17.9% in the nine months ended September 29, 2023, from 19.5% in the nine months ended September 30, 2022, while subcontractor services and other direct costs decreased to 46.7% in the nine months ended September 29, 2023 from 48.7% in the nine months ended September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increased $9.6 million, or 5.1% for the nine months ended September 29, 2023, compared to the nine months ended September 30, 2022. </w:t>
      </w:r>
      <w:r>
        <w:rPr>
          <w:rFonts w:ascii="Times New Roman;Times;serif" w:hAnsi="Times New Roman;Times;serif"/>
          <w:sz w:val="20"/>
        </w:rPr>
        <w:t xml:space="preserve">Direct costs of contract revenue for the Engineering and Consulting segment increased $4.1 million, or 15.8%, in the nine months ended September 29, 2023, compared to the nine months ended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Subcontractor services and other direct costs increased by $11.6 million, or 7.5%, and salaries and wages increased by $2.1 million, or 3.3%, </w:t>
      </w:r>
      <w:r>
        <w:rPr>
          <w:rFonts w:ascii="Times New Roman;Times;serif" w:hAnsi="Times New Roman;Times;serif"/>
          <w:sz w:val="20"/>
        </w:rPr>
        <w:t xml:space="preserve">in the nine months </w:t>
      </w:r>
      <w:r>
        <w:rPr>
          <w:rFonts w:ascii="Times New Roman;Times;serif" w:hAnsi="Times New Roman;Times;serif"/>
          <w:sz w:val="20"/>
          <w:shd w:fill="FFFFFF" w:val="clear"/>
        </w:rPr>
        <w:t>ended September 29, 2023, compared to the nine months ended September 30, 2022, primarily as a result of the increases in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24.8% to $125.3 million, or 35.4% gross margin, for the nine months ended September 29, 2023, compared to gross profit of $100.5 million, or 31.8% gross margin, for the nine months ended September 30, 2022. The increase in our gross margin was primarily driven by higher software licensing revenue and changes in the mix of revenues as described above combined with the absence of project startup costs for new utility programs that were incurred during the same period of fiscal year 2022 but did not recur in the same period for fiscal year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G&amp;A expenses increased $2.9 million, or 2.6%, in the nine months ended September 29, 2023, compared to the nine months ended September 30, 2022. G&amp;A expenses consisted of an increase of $1.6 million in the Energy segment combined with an increase of $3.8 million in the Engineering and Consulting segment, partially offset by a decrease of $2.5 million in unallocated corporate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$8.4 million in salaries and wages, payroll taxes and employee benefits was partially offset by a decrease of $2.6 million in stock-based compensation, </w:t>
      </w:r>
      <w:r>
        <w:rPr>
          <w:rFonts w:ascii="Times New Roman;Times;serif" w:hAnsi="Times New Roman;Times;serif"/>
          <w:sz w:val="20"/>
          <w:shd w:fill="FFFFFF" w:val="clear"/>
        </w:rPr>
        <w:t>a decrease of $2.5 million in other general and administrative expenses, and</w:t>
      </w:r>
      <w:r>
        <w:rPr>
          <w:rFonts w:ascii="Times New Roman;Times;serif" w:hAnsi="Times New Roman;Times;serif"/>
          <w:sz w:val="20"/>
        </w:rPr>
        <w:t xml:space="preserve"> a decrease of $0.7 million in depreciation and amortization. The increase in salaries and wages, payroll taxes and employee benefits was primarily due to an increase in incentive compensation, consistent with the improvement in operating profit. The decrease in stock-based compensation expenses was primarily related to previously awarded stock grants reaching the end of their corresponding vesting periods, partially offset by new equity awards being issued at lower stock prices. The decrease in other general and administrative expenses was primarily due to contingent consideration expense related to prior acquisitions that occurred during the nine months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ended September 30, 2022 that did not recur in the same period for 2023</w:t>
      </w:r>
      <w:r>
        <w:rPr>
          <w:rFonts w:ascii="Times New Roman;Times;serif" w:hAnsi="Times New Roman;Times;serif"/>
          <w:sz w:val="20"/>
          <w:shd w:fill="FFFFFF" w:val="clear"/>
        </w:rPr>
        <w:t xml:space="preserve">. </w:t>
      </w:r>
      <w:r>
        <w:rPr>
          <w:rFonts w:ascii="Times New Roman;Times;serif" w:hAnsi="Times New Roman;Times;serif"/>
          <w:sz w:val="20"/>
        </w:rPr>
        <w:t>The decrease in depreciation and amortization was primarily related to lower amortization of intangible assets from prior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was $10.3 million for the nine months ended September 29, 2023, compared to an operating loss of $11.7 million </w:t>
      </w:r>
      <w:r>
        <w:rPr>
          <w:rFonts w:ascii="Times New Roman;Times;serif" w:hAnsi="Times New Roman;Times;serif"/>
          <w:sz w:val="20"/>
          <w:shd w:fill="FFFFFF" w:val="clear"/>
        </w:rPr>
        <w:t>for the nine months ended September 30, 2022</w:t>
      </w:r>
      <w:r>
        <w:rPr>
          <w:rFonts w:ascii="Times New Roman;Times;serif" w:hAnsi="Times New Roman;Times;serif"/>
          <w:sz w:val="20"/>
        </w:rPr>
        <w:t>,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increased $3.8 million, or 193.2%, for the nine months ended September 29, 2023, compared to the nine months ended September 30, 2022, primarily due to higher interest expense as a result of the increase in market interest rates which directly affected our variable interest rates under our credit facilities, combined with a one-time charge of $0.5 million for unamortized debt issuance costs related to our prior credit facilities.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$1.7 million for the nine months ended September 29, 2023, compared to a tax benefit of $5.6 million for the nine months ended September 30, 2022. The tax expense is primarily attributable to the income before income tax combined with the non-recurrence of a one-time tax benefit recognized during the same period last year related to additional energy efficiency building deductions.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$2.9 million for the nine months ended September 29, 2023, as compared to a net loss of $8.0 million for the nine months ended September 30, 2022. The increase in net income was primarily attributable to the increase in revenue and gross profit, partially offset by higher interest expense and income tax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298" w:type="dxa"/>
        <w:jc w:val="left"/>
        <w:tblInd w:w="0" w:type="dxa"/>
        <w:tblLayout w:type="fixed"/>
        <w:tblCellMar>
          <w:top w:w="0" w:type="dxa"/>
          <w:left w:w="0" w:type="dxa"/>
          <w:bottom w:w="0" w:type="dxa"/>
          <w:right w:w="0" w:type="dxa"/>
        </w:tblCellMar>
      </w:tblPr>
      <w:tblGrid>
        <w:gridCol w:w="4321"/>
        <w:gridCol w:w="326"/>
        <w:gridCol w:w="239"/>
        <w:gridCol w:w="901"/>
        <w:gridCol w:w="326"/>
        <w:gridCol w:w="264"/>
        <w:gridCol w:w="921"/>
      </w:tblGrid>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51765" cy="175260"/>
                      <wp:effectExtent l="0" t="0" r="0" b="0"/>
                      <wp:wrapNone/>
                      <wp:docPr id="237" name="Frame23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72135" cy="175260"/>
                      <wp:effectExtent l="0" t="0" r="0" b="0"/>
                      <wp:wrapNone/>
                      <wp:docPr id="238" name="Frame2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7640" cy="175260"/>
                      <wp:effectExtent l="0" t="0" r="0" b="0"/>
                      <wp:wrapNone/>
                      <wp:docPr id="240" name="Frame240"/>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84835" cy="175260"/>
                      <wp:effectExtent l="0" t="0" r="0" b="0"/>
                      <wp:wrapNone/>
                      <wp:docPr id="241" name="Frame24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29,</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24,112</w:t>
            </w:r>
          </w:p>
        </w:tc>
        <w:tc>
          <w:tcPr>
            <w:tcW w:w="32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(9,115)</w:t>
            </w:r>
          </w:p>
        </w:tc>
        <w:tc>
          <w:tcPr>
            <w:tcW w:w="32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(21,595)</w:t>
            </w:r>
          </w:p>
        </w:tc>
        <w:tc>
          <w:tcPr>
            <w:tcW w:w="326" w:type="dxa"/>
            <w:tcBorders/>
            <w:vAlign w:val="center"/>
          </w:tcPr>
          <w:p>
            <w:pPr>
              <w:pStyle w:val="TableContents"/>
              <w:bidi w:val="0"/>
              <w:spacing w:before="0" w:after="0"/>
              <w:ind w:left="0" w:right="0" w:hanging="0"/>
              <w:jc w:val="righ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w:t>
            </w:r>
          </w:p>
        </w:tc>
        <w:tc>
          <w:tcPr>
            <w:tcW w:w="326" w:type="dxa"/>
            <w:tcBorders/>
            <w:shd w:fill="CCEEFF" w:val="clear"/>
            <w:vAlign w:val="center"/>
          </w:tcPr>
          <w:p>
            <w:pPr>
              <w:pStyle w:val="TableContents"/>
              <w:bidi w:val="0"/>
              <w:spacing w:before="0" w:after="0"/>
              <w:ind w:left="0" w:right="0" w:hanging="0"/>
              <w:jc w:val="righ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borrowings under our revolving credit facility under the Credit Agreement (the “Revolving Credit Facility”). </w:t>
      </w:r>
      <w:r>
        <w:rPr>
          <w:rFonts w:ascii="Times New Roman;Times;serif" w:hAnsi="Times New Roman;Times;serif"/>
          <w:sz w:val="20"/>
          <w:shd w:fill="FFFFFF" w:val="clear"/>
        </w:rPr>
        <w:t xml:space="preserve">We believe that our cash and cash equivalents, cash generated by operating activities, and available borrowings under our Revolving Credit Facility will be sufficient to finance our operating activities for at least the next 12 months.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described in Part</w:t>
      </w:r>
      <w:r>
        <w:rPr>
          <w:rFonts w:ascii="Times New Roman;Times;serif" w:hAnsi="Times New Roman;Times;serif"/>
          <w:sz w:val="20"/>
          <w:shd w:fill="FFFFFF" w:val="clear"/>
        </w:rPr>
        <w:t xml:space="preserve"> </w:t>
      </w:r>
      <w:r>
        <w:rPr>
          <w:rFonts w:ascii="Times New Roman;Times;serif" w:hAnsi="Times New Roman;Times;serif"/>
          <w:sz w:val="20"/>
        </w:rPr>
        <w:t>I, Item 1, Note 5, “</w:t>
      </w:r>
      <w:r>
        <w:rPr>
          <w:rFonts w:ascii="Times New Roman;Times;serif" w:hAnsi="Times New Roman;Times;serif"/>
          <w:i/>
          <w:sz w:val="20"/>
        </w:rPr>
        <w:t>Debt Obligations</w:t>
      </w:r>
      <w:r>
        <w:rPr>
          <w:rFonts w:ascii="Times New Roman;Times;serif" w:hAnsi="Times New Roman;Times;serif"/>
          <w:sz w:val="20"/>
        </w:rPr>
        <w:t xml:space="preserve">”, of the Notes to Condensed Consolidated Financial Statements included in this Quarterly Report on Form 10-Q, on September 29, 2023 we and certain of our subsidiaries entered into the Credit Agreement with a syndicate of financial institutions as lenders and BMO, as administrative agent. The Credit Agreement replaced our Prior Credit Agreement, by and among the Company, the guarantors party thereto, BMO as administrative agent and lender and the lenders party thereto. As of September 29, 2023, we had a fully drawn $100 million term loan with $100.0 million outstanding (the “Term Loan”), a $50.0 million Revolving Credit Facility with </w:t>
      </w:r>
      <w:r>
        <w:rPr>
          <w:rFonts w:ascii="Times New Roman;Times;serif" w:hAnsi="Times New Roman;Times;serif"/>
          <w:sz w:val="20"/>
          <w:shd w:fill="FFFFFF" w:val="clear"/>
        </w:rPr>
        <w:t xml:space="preserve">no borrowed amounts </w:t>
      </w:r>
      <w:r>
        <w:rPr>
          <w:rFonts w:ascii="Times New Roman;Times;serif" w:hAnsi="Times New Roman;Times;serif"/>
          <w:sz w:val="20"/>
        </w:rPr>
        <w:t>and $4.1 million in letters of credit issued.</w:t>
      </w:r>
      <w:r>
        <w:rPr>
          <w:rFonts w:ascii="Times New Roman;Times;serif" w:hAnsi="Times New Roman;Times;serif"/>
          <w:sz w:val="20"/>
          <w:shd w:fill="FFFFFF" w:val="clear"/>
        </w:rPr>
        <w:t xml:space="preserve"> In addition, a</w:t>
      </w:r>
      <w:r>
        <w:rPr>
          <w:rFonts w:ascii="Times New Roman;Times;serif" w:hAnsi="Times New Roman;Times;serif"/>
          <w:sz w:val="20"/>
        </w:rPr>
        <w:t>s of September 29, 2023, we had $12.9 million of unrestricted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September 29, 2023, borrowings under our Credit Facilities, exclusive of the effects of upfront fees, undrawn fees and issuance cost amortization, bore interest at an annual rate of </w:t>
      </w:r>
      <w:r>
        <w:rPr>
          <w:rFonts w:ascii="Times New Roman;Times;serif" w:hAnsi="Times New Roman;Times;serif"/>
          <w:sz w:val="20"/>
        </w:rPr>
        <w:t>8.4</w:t>
      </w:r>
      <w:r>
        <w:rPr>
          <w:rFonts w:ascii="Times New Roman;Times;serif" w:hAnsi="Times New Roman;Times;serif"/>
          <w:sz w:val="20"/>
          <w:shd w:fill="FFFFFF" w:val="clear"/>
        </w:rPr>
        <w:t>%. See Part I, Item 1, Note 5, “</w:t>
      </w:r>
      <w:r>
        <w:rPr>
          <w:rFonts w:ascii="Times New Roman;Times;serif" w:hAnsi="Times New Roman;Times;serif"/>
          <w:i/>
          <w:sz w:val="20"/>
          <w:shd w:fill="FFFFFF" w:val="clear"/>
        </w:rPr>
        <w:t>Debt Obligations”,</w:t>
      </w:r>
      <w:r>
        <w:rPr>
          <w:rFonts w:ascii="Times New Roman;Times;serif" w:hAnsi="Times New Roman;Times;serif"/>
          <w:sz w:val="20"/>
          <w:shd w:fill="FFFFFF" w:val="clear"/>
        </w:rPr>
        <w:t> of the Notes to Condensed Consolidated Financial Statements included in this Quarterly Report on Form 10-Q for information regarding our indebtedness, including information about new borrowings and repayments, principal repayment terms, interest rates, covenants, and other key terms of our outstanding indebtedness.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provided by operating activities were $24.1 million for the nine months ended September 29, 2023, as compared to cash flows </w:t>
      </w:r>
      <w:r>
        <w:rPr>
          <w:rFonts w:ascii="Times New Roman;Times;serif" w:hAnsi="Times New Roman;Times;serif"/>
          <w:sz w:val="20"/>
          <w:shd w:fill="FFFFFF" w:val="clear"/>
        </w:rPr>
        <w:t>provided by operating activities of $4.5 million for the nine months ended September 30, 2022</w:t>
      </w:r>
      <w:r>
        <w:rPr>
          <w:rFonts w:ascii="Times New Roman;Times;serif" w:hAnsi="Times New Roman;Times;serif"/>
          <w:sz w:val="20"/>
        </w:rPr>
        <w:t xml:space="preserve">.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nine months ended September 29, 2023, resulted primarily from the increase in earnings, combined with lower working capital requirements. </w:t>
      </w:r>
      <w:r>
        <w:rPr>
          <w:rFonts w:ascii="Times New Roman;Times;serif" w:hAnsi="Times New Roman;Times;serif"/>
          <w:sz w:val="20"/>
          <w:shd w:fill="FFFFFF" w:val="clear"/>
        </w:rPr>
        <w:t>Cash flows provided by operating activities for the nine months ended September 30, 2022, was favorably impacted by lower working capital requirements, offset by increases in operating losses primarily due to start up costs related to new contract awards.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investing activities were $9.1 million for the nine months ended September 29, 2023, as compared to cash flows used in investing activities of $6.9 million for the nine months ended September 30, 2022. Cash flows used in investing activities for the nine months ended September 29, 2023 were primarily due to cash paid for the development of software and the purchase of computers and equipment. </w:t>
      </w:r>
      <w:r>
        <w:rPr>
          <w:rFonts w:ascii="Times New Roman;Times;serif" w:hAnsi="Times New Roman;Times;serif"/>
          <w:sz w:val="20"/>
          <w:shd w:fill="FFFFFF" w:val="clear"/>
        </w:rPr>
        <w:t xml:space="preserve">Cash flows used in investing activities for the nine months ended September 30, 2022 were primarily due to cash paid for the development of software and the purchase of computers and equipment.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financing activities were $21.6 million for the nine months ended September 29, 2023, as compared to cash flows used in financing activities of $12,000 for the nine months ended September 30, 2022. Cash flows used in financing activities for the nine months ended September 29, 2023 were primarily attributable to the disbursement of $10.7 million in restricted cash for utility rebate incentives, </w:t>
      </w:r>
      <w:r>
        <w:rPr>
          <w:rFonts w:ascii="Times New Roman;Times;serif" w:hAnsi="Times New Roman;Times;serif"/>
          <w:sz w:val="20"/>
          <w:shd w:fill="FFFFFF" w:val="clear"/>
        </w:rPr>
        <w:t xml:space="preserve">payments of $4.0 million for contingent consideration related to prior acquisitions, combined with repayments and borrowings of $111.0 million and $105.0 million, respectively, under our </w:t>
      </w:r>
      <w:r>
        <w:rPr>
          <w:rFonts w:ascii="Times New Roman;Times;serif" w:hAnsi="Times New Roman;Times;serif"/>
          <w:sz w:val="20"/>
        </w:rPr>
        <w:t xml:space="preserve">term loan facility and line of credit, which resulted primarily from refinancing our Prior Credit Facility. </w:t>
      </w:r>
      <w:r>
        <w:rPr>
          <w:rFonts w:ascii="Times New Roman;Times;serif" w:hAnsi="Times New Roman;Times;serif"/>
          <w:sz w:val="20"/>
          <w:shd w:fill="FFFFFF" w:val="clear"/>
        </w:rPr>
        <w:t>Cash flows used in financing activities for the nine months ended September 30, 2022 consisted of payments of $10.2 million for contingent consideration related to prior acquisitions combined with repayments of $9.8 million under our term loan facility and revolving line of credit, offset by borrowings of $20.0 million under our Delayed Draw Term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financing arrangements or liabilities. In addition,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September 29, 2023:</w:t>
      </w:r>
    </w:p>
    <w:tbl>
      <w:tblPr>
        <w:tblW w:w="10151" w:type="dxa"/>
        <w:jc w:val="left"/>
        <w:tblInd w:w="0" w:type="dxa"/>
        <w:tblLayout w:type="fixed"/>
        <w:tblCellMar>
          <w:top w:w="0" w:type="dxa"/>
          <w:left w:w="0" w:type="dxa"/>
          <w:bottom w:w="0" w:type="dxa"/>
          <w:right w:w="0" w:type="dxa"/>
        </w:tblCellMar>
      </w:tblPr>
      <w:tblGrid>
        <w:gridCol w:w="3436"/>
        <w:gridCol w:w="326"/>
        <w:gridCol w:w="211"/>
        <w:gridCol w:w="781"/>
        <w:gridCol w:w="326"/>
        <w:gridCol w:w="214"/>
        <w:gridCol w:w="687"/>
        <w:gridCol w:w="326"/>
        <w:gridCol w:w="213"/>
        <w:gridCol w:w="792"/>
        <w:gridCol w:w="326"/>
        <w:gridCol w:w="270"/>
        <w:gridCol w:w="735"/>
        <w:gridCol w:w="326"/>
        <w:gridCol w:w="330"/>
        <w:gridCol w:w="661"/>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81860" cy="175260"/>
                      <wp:effectExtent l="0" t="0" r="0" b="0"/>
                      <wp:wrapNone/>
                      <wp:docPr id="242" name="Frame242"/>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5890" cy="175260"/>
                      <wp:effectExtent l="0" t="0" r="0" b="0"/>
                      <wp:wrapNone/>
                      <wp:docPr id="247" name="Frame24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6245" cy="175260"/>
                      <wp:effectExtent l="0" t="0" r="0" b="0"/>
                      <wp:wrapNone/>
                      <wp:docPr id="248" name="Frame248"/>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5255" cy="175260"/>
                      <wp:effectExtent l="0" t="0" r="0" b="0"/>
                      <wp:wrapNone/>
                      <wp:docPr id="250" name="Frame25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02920" cy="175260"/>
                      <wp:effectExtent l="0" t="0" r="0" b="0"/>
                      <wp:wrapNone/>
                      <wp:docPr id="251" name="Frame251"/>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1450" cy="175260"/>
                      <wp:effectExtent l="0" t="0" r="0" b="0"/>
                      <wp:wrapNone/>
                      <wp:docPr id="253" name="Frame25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66725" cy="175260"/>
                      <wp:effectExtent l="0" t="0" r="0" b="0"/>
                      <wp:wrapNone/>
                      <wp:docPr id="254" name="Frame254"/>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9550" cy="175260"/>
                      <wp:effectExtent l="0" t="0" r="0" b="0"/>
                      <wp:wrapNone/>
                      <wp:docPr id="256" name="Frame256"/>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19735" cy="175260"/>
                      <wp:effectExtent l="0" t="0" r="0" b="0"/>
                      <wp:wrapNone/>
                      <wp:docPr id="257" name="Frame25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1285" cy="175260"/>
                      <wp:effectExtent l="0" t="0" r="0" b="0"/>
                      <wp:wrapNone/>
                      <wp:docPr id="258" name="Frame2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2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98"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99,381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91,386</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21,939</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8,040</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13,899</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6,976</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righ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138,293</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113,332</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Debt includes $100.0 million outstanding on our Term Loan, net of issuance costs, and no borrowed amounts outstanding on our Revolving Credit Facility as of September 29, 2023. We have assumed no future borrowings or repayments (other than at maturity) for purposes of this table. Our Term Loan is scheduled to mature on September 29, 2026.</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Term Loan and Revolving Credit Facility bear interest at a variable rate. Future interest payments on our Credit Facility are estimated using floating rates in effect as of September 29, 2023.</w:t>
            </w:r>
          </w:p>
        </w:tc>
      </w:tr>
    </w:tbl>
    <w:p>
      <w:pPr>
        <w:pStyle w:val="TextBody"/>
        <w:bidi w:val="0"/>
        <w:spacing w:before="0" w:after="0"/>
        <w:ind w:left="36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29, 2023, we did not have any remaining contingent consideration payable related to any prior acquisitions. In addition, as of September 29, 2023, we did not have any arrangements involving the potential incurrence of future contingent consideration.</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Part I, Item 1, Note 5, “</w:t>
      </w:r>
      <w:r>
        <w:rPr>
          <w:rFonts w:ascii="Times New Roman;Times;serif" w:hAnsi="Times New Roman;Times;serif"/>
          <w:i/>
          <w:sz w:val="20"/>
        </w:rPr>
        <w:t>Debt Obligations</w:t>
      </w:r>
      <w:r>
        <w:rPr>
          <w:rFonts w:ascii="Times New Roman;Times;serif" w:hAnsi="Times New Roman;Times;serif"/>
          <w:sz w:val="20"/>
        </w:rPr>
        <w:t xml:space="preserve">”, of the Notes to Condensed Consolidated Financial Statements included in this Quarterly Report on Form 10-Q, for information regarding our indebtedness, including information about new borrowings and repayments, principal repayment terms, interest rates, covenants, and other key terms of our outstanding indebtedness.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bookmarkStart w:id="1467" w:name="_cp_text_1_491"/>
      <w:bookmarkEnd w:id="1467"/>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immaterial to our results of operations and financial condition, we experienced higher cost of materials and delays in our supply chain for equipment during fiscal year 2022, and we expect these higher costs and delays in our supply chain to persist through fiscal year 2023.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September 29, 2023, 21% of our contracts are time-and-materials contracts, 39% are unit-based contracts, and 40% are fixed price contracts, compared to 20% are time-and-materials contracts, 44% are unit-based contracts, and 36% are fixed price contracts, as of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Duke Energy Corp., may have a material effect on our consolidated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Some of our contracts include certain performance guarantees, such as a guaranteed energy saving quantity. Such guarantees are generally measured upon completion of a project. In the event that the measured performance level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December 30, 2022. Please refer to Part II, Item 7 of our Annual Report on Form 10-K for the fiscal year ended December 30, 2022 for a discussion of our critical accounting policies and estimates.</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8" w:name="ITEM7AQUANTITATIVEANDQUALITATIVE_562372"/>
      <w:bookmarkStart w:id="1469" w:name="_9adb0327_3fbd_4e84_b2b1_bda4fc22c61b"/>
      <w:bookmarkEnd w:id="1468"/>
      <w:bookmarkEnd w:id="146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29, 2023, we had cash and cash equivalents of $12.9 million. This amount represents cash on hand in business checking accounts with BMO Bank, N.A. We do not engage in trading activities and do not participate in foreign currency transactions.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Term Loan and borrowings, if any, under our Revolving Credit Facility, each of which bears interest at variable rates. As of September 29, 2023, $100.0 million was outstanding under our Term Loan, and we had no borrowed amounts outstanding and $4.1 million in letters of credit were issued under our Revolving Credit Facility. Each of our Term Loan and Revolving Credit Facility mature as of September 29, 2026 and are governed by our Credit Agreement.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Credit Agreement, (as described in Part I, Item 1, Note 5, “Debt Obligations”, of the Notes to Condensed Consolidated Financial Statements included in this Quarterly Report on Form 10-Q), borrowings under the Credit Agreement bear interest at either a Base Rate (as defined in the Credit Agreement) or the adjusted Secured Overnight Financing Rate (“SOFR”), at the Company’s option, and in each case, plus an applicable margin, which applicable margin ranges from 0.75% to 2.00% with respect to Base Rate borrowings and 1.75% to 3.00% with respect to SOFR borrowings, depending on the Company’s Total Net Leverage Ratio (as defined in the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0.20% to 0.40% per annum depending on the Company’s Total Net Leverage Ratio, and fees on the face amount of any letters of credit outstanding under the Revolving Credit Facility, which range from 1.3125% to 2.25% per annum, in each case, depending on the Company’s Total Net Leverage Ratio, as well as customary fronting fees payable to BMO as letter of credit issuer. Based upon the amount of our outstanding indebtedness as of September 29, 2023, a one percentage point increase in the effective interest rate would change our annual interest expense by approximately $1.0 million in fiscal year 2023.</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Loan will amortize quarterly in an amount equal to (i) 7.5% per annum for the first year ending after the Closing Date and (ii) 10.0% per annum for the second and third years ending after the Closing Date, with a final payment of all then remaining principal and interest due on the maturity date of September 29, 2026. The amounts outstanding under the Credit Facilities may be prepaid in whole or in part at any time without penalty (other than customary breakage costs).</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70" w:name="Item4ControlsandProcedures_72182"/>
      <w:bookmarkStart w:id="1471" w:name="_03d6429a_f81b_4c3b_af10_3e971a6ab076"/>
      <w:bookmarkEnd w:id="1470"/>
      <w:bookmarkEnd w:id="1471"/>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 Chief Executive Officer, Thomas D. Brisbin, and our Chief Financial Officer, Creighton K. Early,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Chief Executive Officer and Chief Financial Officer, of the effectiveness of our disclosure controls and procedures as of September 29, 2023. Based on that evaluation, our Chief Executive Officer and Chief Financial Officer concluded that our disclosure controls and procedures were effective, at a reasonable assurance level, as of September 29, 2023. </w:t>
      </w:r>
    </w:p>
    <w:p>
      <w:pPr>
        <w:pStyle w:val="TextBody"/>
        <w:bidi w:val="0"/>
        <w:spacing w:before="0" w:after="0"/>
        <w:ind w:left="0" w:right="0" w:firstLine="72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 xml:space="preserve">No change in our internal control over financial reporting occurred during the period covered by this report that has materially affected, or is reasonably likely to materially affect, our internal control over financial reporting. </w:t>
      </w:r>
    </w:p>
    <w:p>
      <w:pPr>
        <w:pStyle w:val="TextBody"/>
        <w:bidi w:val="0"/>
        <w:spacing w:before="0" w:after="18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72" w:name="PARTIIOTHERINFORMATION_167293"/>
      <w:bookmarkStart w:id="1473" w:name="_394f7d4a_9fc3_4b90_9235_8a88329e2a61"/>
      <w:bookmarkEnd w:id="1472"/>
      <w:bookmarkEnd w:id="147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474" w:name="ITEM3LEGALPROCEEDINGS_429119"/>
      <w:bookmarkEnd w:id="1474"/>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75" w:name="_5bb368e9_6512_456e_a5d4_e84065d95eec"/>
      <w:bookmarkStart w:id="1476" w:name="ITEM1ARiskFactors"/>
      <w:bookmarkEnd w:id="1475"/>
      <w:bookmarkEnd w:id="1476"/>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December 30, 2022.</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77" w:name="Item_2"/>
      <w:bookmarkStart w:id="1478" w:name="_d2d1bb7a_e855_4559_a0d5_edd33dcffcc1"/>
      <w:bookmarkEnd w:id="1477"/>
      <w:bookmarkEnd w:id="1478"/>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fiscal quarter ended September 29, 2023,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2142"/>
        <w:gridCol w:w="1280"/>
        <w:gridCol w:w="1087"/>
        <w:gridCol w:w="3995"/>
        <w:gridCol w:w="1701"/>
      </w:tblGrid>
      <w:tr>
        <w:trPr/>
        <w:tc>
          <w:tcPr>
            <w:tcW w:w="2142" w:type="dxa"/>
            <w:tcBorders/>
            <w:vAlign w:val="center"/>
          </w:tcPr>
          <w:p>
            <w:pPr>
              <w:pStyle w:val="TableContents"/>
              <w:bidi w:val="0"/>
              <w:spacing w:before="0" w:after="283"/>
              <w:ind w:left="0" w:right="0" w:hanging="0"/>
              <w:jc w:val="left"/>
              <w:rPr>
                <w:sz w:val="4"/>
                <w:szCs w:val="4"/>
              </w:rPr>
            </w:pPr>
            <w:r>
              <w:rPr>
                <w:sz w:val="4"/>
                <w:szCs w:val="4"/>
              </w:rPr>
            </w:r>
          </w:p>
        </w:tc>
        <w:tc>
          <w:tcPr>
            <w:tcW w:w="1280" w:type="dxa"/>
            <w:tcBorders/>
            <w:vAlign w:val="center"/>
          </w:tcPr>
          <w:p>
            <w:pPr>
              <w:pStyle w:val="TableContents"/>
              <w:bidi w:val="0"/>
              <w:spacing w:before="0" w:after="283"/>
              <w:ind w:left="0" w:right="0" w:hanging="0"/>
              <w:jc w:val="left"/>
              <w:rPr>
                <w:sz w:val="4"/>
                <w:szCs w:val="4"/>
              </w:rPr>
            </w:pPr>
            <w:r>
              <w:rPr>
                <w:sz w:val="4"/>
                <w:szCs w:val="4"/>
              </w:rPr>
            </w:r>
          </w:p>
        </w:tc>
        <w:tc>
          <w:tcPr>
            <w:tcW w:w="1087" w:type="dxa"/>
            <w:tcBorders/>
            <w:vAlign w:val="center"/>
          </w:tcPr>
          <w:p>
            <w:pPr>
              <w:pStyle w:val="TableContents"/>
              <w:bidi w:val="0"/>
              <w:spacing w:before="0" w:after="0"/>
              <w:ind w:left="0" w:right="0" w:hanging="0"/>
              <w:jc w:val="left"/>
              <w:rPr/>
            </w:pPr>
            <w:r>
              <w:rPr/>
              <w:t>​</w:t>
            </w:r>
          </w:p>
        </w:tc>
        <w:tc>
          <w:tcPr>
            <w:tcW w:w="3995" w:type="dxa"/>
            <w:tcBorders/>
            <w:vAlign w:val="center"/>
          </w:tcPr>
          <w:p>
            <w:pPr>
              <w:pStyle w:val="TableContents"/>
              <w:bidi w:val="0"/>
              <w:spacing w:before="0" w:after="0"/>
              <w:ind w:left="0" w:right="0" w:hanging="0"/>
              <w:jc w:val="left"/>
              <w:rPr/>
            </w:pPr>
            <w:r>
              <w:rPr/>
              <w:t>​</w:t>
            </w:r>
          </w:p>
        </w:tc>
        <w:tc>
          <w:tcPr>
            <w:tcW w:w="170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0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39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rPr/>
        <w:tc>
          <w:tcPr>
            <w:tcW w:w="214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 2023 – July 28, 2023</w:t>
            </w:r>
          </w:p>
        </w:tc>
        <w:tc>
          <w:tcPr>
            <w:tcW w:w="128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889</w:t>
            </w:r>
          </w:p>
        </w:tc>
        <w:tc>
          <w:tcPr>
            <w:tcW w:w="108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$19.16</w:t>
            </w:r>
          </w:p>
        </w:tc>
        <w:tc>
          <w:tcPr>
            <w:tcW w:w="399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29, 2023 – August 25, 2023</w:t>
            </w:r>
          </w:p>
        </w:tc>
        <w:tc>
          <w:tcPr>
            <w:tcW w:w="128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08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399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14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26, 2023 – September 29, 2023</w:t>
            </w:r>
          </w:p>
        </w:tc>
        <w:tc>
          <w:tcPr>
            <w:tcW w:w="128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08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3995"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2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2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889</w:t>
            </w:r>
          </w:p>
        </w:tc>
        <w:tc>
          <w:tcPr>
            <w:tcW w:w="10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$19.16</w:t>
            </w:r>
          </w:p>
        </w:tc>
        <w:tc>
          <w:tcPr>
            <w:tcW w:w="39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479" w:name="ITEM3_Defaults"/>
      <w:bookmarkStart w:id="1480" w:name="_3f7e53b0_25c2_4e4b_9a61_3cf055c14668"/>
      <w:bookmarkEnd w:id="1479"/>
      <w:bookmarkEnd w:id="1480"/>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481" w:name="ITEM4_MineSafety"/>
      <w:bookmarkStart w:id="1482" w:name="_7ac20e04_70f1_442a_bbe3_3f4933b346db"/>
      <w:bookmarkEnd w:id="1481"/>
      <w:bookmarkEnd w:id="1482"/>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483" w:name="ITEM5_OtherInfo"/>
      <w:bookmarkStart w:id="1484" w:name="_1ab2efa0_1314_4cc6_9eba_9556ed4b36cf"/>
      <w:bookmarkEnd w:id="1483"/>
      <w:bookmarkEnd w:id="1484"/>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Rule 10b5-1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 </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85" w:name="ITEM15EXHIBITS_40412"/>
      <w:bookmarkStart w:id="1486" w:name="_5a6ac36c_9285_4efc_bcb7_063573ac7fac"/>
      <w:bookmarkEnd w:id="1485"/>
      <w:bookmarkEnd w:id="1486"/>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71"/>
        <w:gridCol w:w="109"/>
        <w:gridCol w:w="9325"/>
      </w:tblGrid>
      <w:tr>
        <w:trPr/>
        <w:tc>
          <w:tcPr>
            <w:tcW w:w="7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4475" cy="29210"/>
                      <wp:effectExtent l="0" t="0" r="0" b="0"/>
                      <wp:wrapNone/>
                      <wp:docPr id="259" name="Frame259"/>
                      <a:graphic xmlns:a="http://schemas.openxmlformats.org/drawingml/2006/main">
                        <a:graphicData uri="http://schemas.microsoft.com/office/word/2010/wordprocessingShape">
                          <wps:wsp>
                            <wps:cNvSpPr txBox="1"/>
                            <wps:spPr>
                              <a:xfrm>
                                <a:off x="0" y="0"/>
                                <a:ext cx="244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2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960370" cy="29210"/>
                      <wp:effectExtent l="0" t="0" r="0" b="0"/>
                      <wp:wrapNone/>
                      <wp:docPr id="260" name="Frame260"/>
                      <a:graphic xmlns:a="http://schemas.openxmlformats.org/drawingml/2006/main">
                        <a:graphicData uri="http://schemas.microsoft.com/office/word/2010/wordprocessingShape">
                          <wps:wsp>
                            <wps:cNvSpPr txBox="1"/>
                            <wps:spPr>
                              <a:xfrm>
                                <a:off x="0" y="0"/>
                                <a:ext cx="29603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71"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25"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lineRule="auto" w:line="304" w:before="0" w:after="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r:id="rId2">
              <w:r>
                <w:rPr>
                  <w:rStyle w:val="InternetLink"/>
                  <w:rFonts w:ascii="Times New Roman;Times;serif" w:hAnsi="Times New Roman;Times;serif"/>
                  <w:b w:val="false"/>
                  <w:i w:val="false"/>
                  <w:caps w:val="false"/>
                  <w:smallCaps w:val="false"/>
                  <w:sz w:val="20"/>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20"/>
              </w:rPr>
              <w:t xml:space="preserve"> </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20"/>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10.1</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r:id="rId5">
              <w:r>
                <w:rPr>
                  <w:rStyle w:val="InternetLink"/>
                  <w:rFonts w:ascii="Times New Roman;Times;serif" w:hAnsi="Times New Roman;Times;serif"/>
                  <w:b w:val="false"/>
                  <w:i w:val="false"/>
                  <w:caps w:val="false"/>
                  <w:smallCaps w:val="false"/>
                  <w:sz w:val="20"/>
                  <w:shd w:fill="FFFFFF" w:val="clear"/>
                </w:rPr>
                <w:t>The Credit Agreement, dated as of September 29, 2023, by and among Willdan Group, Inc., as Borrower, the Guarantors (as defined therein), the Lenders (as defined therein), BMO Bank N.A., as Joint Lead Arranger and Administrative Agent and J.P. Morgan, as Joint Lead Arranger</w:t>
              </w:r>
            </w:hyperlink>
            <w:hyperlink r:id="rId6">
              <w:r>
                <w:rPr>
                  <w:rStyle w:val="InternetLink"/>
                  <w:rFonts w:ascii="Times New Roman;Times;serif" w:hAnsi="Times New Roman;Times;serif"/>
                  <w:caps w:val="false"/>
                  <w:smallCaps w:val="false"/>
                  <w:sz w:val="20"/>
                </w:rPr>
                <w:t xml:space="preserve"> </w:t>
              </w:r>
            </w:hyperlink>
            <w:hyperlink r:id="rId7">
              <w:r>
                <w:rPr>
                  <w:rStyle w:val="InternetLink"/>
                  <w:rFonts w:ascii="Times New Roman;Times;serif" w:hAnsi="Times New Roman;Times;serif"/>
                  <w:b w:val="false"/>
                  <w:i w:val="false"/>
                  <w:caps w:val="false"/>
                  <w:smallCaps w:val="false"/>
                  <w:sz w:val="20"/>
                </w:rPr>
                <w:t>(incorporated by reference to Exhibit 10.1 to Willdan Group, Inc.’s Current Report on Form 8-K, filed with the SEC on October 5, 2023).</w:t>
              </w:r>
            </w:hyperlink>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10.2</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r:id="rId8">
              <w:r>
                <w:rPr>
                  <w:rStyle w:val="InternetLink"/>
                  <w:rFonts w:ascii="Times New Roman;Times;serif" w:hAnsi="Times New Roman;Times;serif"/>
                  <w:b w:val="false"/>
                  <w:i w:val="false"/>
                  <w:caps w:val="false"/>
                  <w:smallCaps w:val="false"/>
                  <w:sz w:val="20"/>
                  <w:shd w:fill="FFFFFF" w:val="clear"/>
                </w:rPr>
                <w:t>The Security Agreement, dated as of September 29, 2023, by and among Willdan Group, Inc., as Borrower, the Debtors (as defined therein), and BMO Bank N.A., as Administrative Agent</w:t>
              </w:r>
            </w:hyperlink>
            <w:hyperlink r:id="rId9">
              <w:r>
                <w:rPr>
                  <w:rStyle w:val="InternetLink"/>
                  <w:rFonts w:ascii="Times New Roman;Times;serif" w:hAnsi="Times New Roman;Times;serif"/>
                  <w:caps w:val="false"/>
                  <w:smallCaps w:val="false"/>
                  <w:sz w:val="20"/>
                </w:rPr>
                <w:t xml:space="preserve"> </w:t>
              </w:r>
            </w:hyperlink>
            <w:hyperlink r:id="rId10">
              <w:r>
                <w:rPr>
                  <w:rStyle w:val="InternetLink"/>
                  <w:rFonts w:ascii="Times New Roman;Times;serif" w:hAnsi="Times New Roman;Times;serif"/>
                  <w:b w:val="false"/>
                  <w:i w:val="false"/>
                  <w:caps w:val="false"/>
                  <w:smallCaps w:val="false"/>
                  <w:sz w:val="20"/>
                </w:rPr>
                <w:t>(incorporated by reference to Exhibit 10.2 to Willdan Group, Inc.’s Current Report on Form 8-K, filed with the SEC on October 5, 2023).</w:t>
              </w:r>
            </w:hyperlink>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w:anchor="wldn-20230929xex31d1.htm">
              <w:r>
                <w:rPr>
                  <w:rStyle w:val="InternetLink"/>
                  <w:rFonts w:ascii="Times New Roman;Times;serif" w:hAnsi="Times New Roman;Times;serif"/>
                  <w:b w:val="false"/>
                  <w:i w:val="false"/>
                  <w:caps w:val="false"/>
                  <w:smallCaps w:val="false"/>
                  <w:sz w:val="20"/>
                </w:rPr>
                <w:t>Certification of Chief Executive Officer pursuant to Rule 13a-14(a) and 15d-14(a) under the Securities Exchange Act of 1934, as adopted pursuant to § 302 of the Sarbanes-Oxley Act of 2002</w:t>
              </w:r>
            </w:hyperlink>
            <w:r>
              <w:rPr>
                <w:rFonts w:ascii="Times New Roman;Times;serif" w:hAnsi="Times New Roman;Times;serif"/>
                <w:sz w:val="20"/>
              </w:rPr>
              <w: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w:anchor="wldn-20230929xex31d2.htm">
              <w:r>
                <w:rPr>
                  <w:rStyle w:val="InternetLink"/>
                  <w:rFonts w:ascii="Times New Roman;Times;serif" w:hAnsi="Times New Roman;Times;serif"/>
                  <w:b w:val="false"/>
                  <w:i w:val="false"/>
                  <w:caps w:val="false"/>
                  <w:smallCaps w:val="false"/>
                  <w:sz w:val="20"/>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20"/>
              </w:rPr>
              <w: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pPr>
            <w:hyperlink w:anchor="wldn-20230929xex32d1.htm">
              <w:r>
                <w:rPr>
                  <w:rStyle w:val="InternetLink"/>
                  <w:rFonts w:ascii="Times New Roman;Times;serif" w:hAnsi="Times New Roman;Times;serif"/>
                  <w:b w:val="false"/>
                  <w:i w:val="false"/>
                  <w:caps w:val="false"/>
                  <w:smallCaps w:val="false"/>
                  <w:sz w:val="20"/>
                </w:rPr>
                <w:t>Certifications of Chief Executive Officer and Chief Financial Officer pursuant to 18 U.S.C. 1350, as adopted pursuant to § 906 of the Sarbanes-Oxley Act of 2002</w:t>
              </w:r>
            </w:hyperlink>
            <w:r>
              <w:rPr>
                <w:rFonts w:ascii="Times New Roman;Times;serif" w:hAnsi="Times New Roman;Times;serif"/>
                <w:sz w:val="20"/>
              </w:rPr>
              <w: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Schema Document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Calculation Linkbase Document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Definition Linkbase Document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Label Linkbase Document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Presentation Linkbase Document</w:t>
            </w:r>
          </w:p>
        </w:tc>
      </w:tr>
      <w:tr>
        <w:trPr/>
        <w:tc>
          <w:tcPr>
            <w:tcW w:w="771"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25"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would be competitively harmful if publicly disclosed.</w:t>
            </w:r>
          </w:p>
        </w:tc>
      </w:tr>
    </w:tbl>
    <w:tbl>
      <w:tblPr>
        <w:tblW w:w="6542" w:type="dxa"/>
        <w:jc w:val="left"/>
        <w:tblInd w:w="0" w:type="dxa"/>
        <w:tblLayout w:type="fixed"/>
        <w:tblCellMar>
          <w:top w:w="0" w:type="dxa"/>
          <w:left w:w="0" w:type="dxa"/>
          <w:bottom w:w="0" w:type="dxa"/>
          <w:right w:w="0" w:type="dxa"/>
        </w:tblCellMar>
      </w:tblPr>
      <w:tblGrid>
        <w:gridCol w:w="211"/>
        <w:gridCol w:w="6331"/>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tbl>
      <w:tblPr>
        <w:tblW w:w="5342" w:type="dxa"/>
        <w:jc w:val="left"/>
        <w:tblInd w:w="0" w:type="dxa"/>
        <w:tblLayout w:type="fixed"/>
        <w:tblCellMar>
          <w:top w:w="0" w:type="dxa"/>
          <w:left w:w="0" w:type="dxa"/>
          <w:bottom w:w="0" w:type="dxa"/>
          <w:right w:w="0" w:type="dxa"/>
        </w:tblCellMar>
      </w:tblPr>
      <w:tblGrid>
        <w:gridCol w:w="241"/>
        <w:gridCol w:w="5101"/>
      </w:tblGrid>
      <w:tr>
        <w:trPr/>
        <w:tc>
          <w:tcPr>
            <w:tcW w:w="241" w:type="dxa"/>
            <w:tcBorders/>
            <w:vAlign w:val="center"/>
          </w:tcPr>
          <w:p>
            <w:pPr>
              <w:pStyle w:val="TableContents"/>
              <w:bidi w:val="0"/>
              <w:spacing w:before="0" w:after="0"/>
              <w:jc w:val="left"/>
              <w:rPr/>
            </w:pPr>
            <w:r>
              <w:rPr/>
              <w:t>†</w:t>
            </w:r>
          </w:p>
        </w:tc>
        <w:tc>
          <w:tcPr>
            <w:tcW w:w="51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Indicates a management contract or compensating plan or arrangement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487" w:name="SIGNATURES"/>
      <w:bookmarkStart w:id="1488" w:name="_e80689f0_6fa4_449b_9782_02c196719d37"/>
      <w:bookmarkEnd w:id="1487"/>
      <w:bookmarkEnd w:id="1488"/>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643"/>
        <w:gridCol w:w="632"/>
      </w:tblGrid>
      <w:tr>
        <w:trPr/>
        <w:tc>
          <w:tcPr>
            <w:tcW w:w="124" w:type="dxa"/>
            <w:tcBorders/>
            <w:vAlign w:val="center"/>
          </w:tcPr>
          <w:p>
            <w:pPr>
              <w:pStyle w:val="TableContents"/>
              <w:bidi w:val="0"/>
              <w:spacing w:before="0" w:after="120"/>
              <w:ind w:left="0" w:right="0" w:hanging="0"/>
              <w:jc w:val="left"/>
              <w:rPr/>
            </w:pPr>
            <w:r>
              <w:rPr/>
              <w:t>​</w:t>
            </w:r>
          </w:p>
        </w:tc>
        <w:tc>
          <w:tcPr>
            <w:tcW w:w="6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18305" cy="29210"/>
                      <wp:effectExtent l="0" t="0" r="0" b="0"/>
                      <wp:wrapNone/>
                      <wp:docPr id="261" name="Frame261"/>
                      <a:graphic xmlns:a="http://schemas.openxmlformats.org/drawingml/2006/main">
                        <a:graphicData uri="http://schemas.microsoft.com/office/word/2010/wordprocessingShape">
                          <wps:wsp>
                            <wps:cNvSpPr txBox="1"/>
                            <wps:spPr>
                              <a:xfrm>
                                <a:off x="0" y="0"/>
                                <a:ext cx="42183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01320" cy="175260"/>
                      <wp:effectExtent l="0" t="0" r="0" b="0"/>
                      <wp:wrapNone/>
                      <wp:docPr id="262" name="Frame262"/>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66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November 2, 2023</w:t>
            </w:r>
          </w:p>
        </w:tc>
        <w:tc>
          <w:tcPr>
            <w:tcW w:w="632"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240"/>
        <w:ind w:left="0" w:right="0" w:hanging="0"/>
        <w:jc w:val="right"/>
        <w:rPr>
          <w:rFonts w:ascii="Times New Roman;Times;serif" w:hAnsi="Times New Roman;Times;serif"/>
          <w:b/>
          <w:sz w:val="20"/>
        </w:rPr>
      </w:pPr>
      <w:bookmarkStart w:id="1489" w:name="wldn-20230929xex31d1.htm"/>
      <w:bookmarkStart w:id="1490" w:name="kswldn20230929xex31d1"/>
      <w:bookmarkEnd w:id="1489"/>
      <w:bookmarkEnd w:id="1490"/>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Thomas D. Brisbin,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November 2, 2023</w:t>
      </w:r>
    </w:p>
    <w:tbl>
      <w:tblPr>
        <w:tblW w:w="3063" w:type="dxa"/>
        <w:jc w:val="center"/>
        <w:tblInd w:w="0" w:type="dxa"/>
        <w:tblLayout w:type="fixed"/>
        <w:tblCellMar>
          <w:top w:w="0" w:type="dxa"/>
          <w:left w:w="0" w:type="dxa"/>
          <w:bottom w:w="0" w:type="dxa"/>
          <w:right w:w="0" w:type="dxa"/>
        </w:tblCellMar>
      </w:tblPr>
      <w:tblGrid>
        <w:gridCol w:w="151"/>
        <w:gridCol w:w="406"/>
        <w:gridCol w:w="2506"/>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591310" cy="29210"/>
                      <wp:effectExtent l="0" t="0" r="0" b="0"/>
                      <wp:wrapNone/>
                      <wp:docPr id="263" name="Frame263"/>
                      <a:graphic xmlns:a="http://schemas.openxmlformats.org/drawingml/2006/main">
                        <a:graphicData uri="http://schemas.microsoft.com/office/word/2010/wordprocessingShape">
                          <wps:wsp>
                            <wps:cNvSpPr txBox="1"/>
                            <wps:spPr>
                              <a:xfrm>
                                <a:off x="0" y="0"/>
                                <a:ext cx="1591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THOMAS D. BRISBIN</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Thomas D. Brisbin</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06"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91" w:name="wldn-20230929xex31d2.htm"/>
      <w:bookmarkStart w:id="1492" w:name="kswldn20230929xex31d2"/>
      <w:bookmarkEnd w:id="1491"/>
      <w:bookmarkEnd w:id="1492"/>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November 2, 2023</w:t>
      </w:r>
    </w:p>
    <w:tbl>
      <w:tblPr>
        <w:tblW w:w="4191" w:type="dxa"/>
        <w:jc w:val="left"/>
        <w:tblInd w:w="0" w:type="dxa"/>
        <w:tblLayout w:type="fixed"/>
        <w:tblCellMar>
          <w:top w:w="0" w:type="dxa"/>
          <w:left w:w="0" w:type="dxa"/>
          <w:bottom w:w="0" w:type="dxa"/>
          <w:right w:w="0" w:type="dxa"/>
        </w:tblCellMar>
      </w:tblPr>
      <w:tblGrid>
        <w:gridCol w:w="124"/>
        <w:gridCol w:w="406"/>
        <w:gridCol w:w="366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6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93" w:name="wldn-20230929xex32d1.htm"/>
      <w:bookmarkStart w:id="1494" w:name="kswldn20230929xex32d1"/>
      <w:bookmarkEnd w:id="1493"/>
      <w:bookmarkEnd w:id="1494"/>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September 29, 2023, as filed with the Securities and Exchange Commission on the date hereof (the “Report”), Thomas D. Brisbin, as Chief Executive Officer of the Company, and Creighton K. Early, as Chief Financial Officer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191" w:type="dxa"/>
        <w:jc w:val="center"/>
        <w:tblInd w:w="0" w:type="dxa"/>
        <w:tblLayout w:type="fixed"/>
        <w:tblCellMar>
          <w:top w:w="0" w:type="dxa"/>
          <w:left w:w="0" w:type="dxa"/>
          <w:bottom w:w="0" w:type="dxa"/>
          <w:right w:w="0" w:type="dxa"/>
        </w:tblCellMar>
      </w:tblPr>
      <w:tblGrid>
        <w:gridCol w:w="124"/>
        <w:gridCol w:w="406"/>
        <w:gridCol w:w="366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66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THOMAS D. BRISBIN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Thomas D. Brisbin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November 2, 2023</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66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November 2, 2023</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70450/000104746906010648/a2172308zex-3_1.htm" TargetMode="External"/><Relationship Id="rId3" Type="http://schemas.openxmlformats.org/officeDocument/2006/relationships/hyperlink" Target="https://www.sec.gov/Archives/edgar/data/1370450/000155837023011834/wldn-20230707xex3d1.htm" TargetMode="External"/><Relationship Id="rId4" Type="http://schemas.openxmlformats.org/officeDocument/2006/relationships/hyperlink" Target="http://www.sec.gov/Archives/edgar/data/1370450/000104746906011904/a2173104zex-4_1.htm" TargetMode="External"/><Relationship Id="rId5" Type="http://schemas.openxmlformats.org/officeDocument/2006/relationships/hyperlink" Target="https://www.sec.gov/Archives/edgar/data/1370450/000155837023016247/wldn-20230929xex10d1.htm" TargetMode="External"/><Relationship Id="rId6" Type="http://schemas.openxmlformats.org/officeDocument/2006/relationships/hyperlink" Target="https://www.sec.gov/Archives/edgar/data/1370450/000155837023016247/wldn-20230929xex10d1.htm" TargetMode="External"/><Relationship Id="rId7" Type="http://schemas.openxmlformats.org/officeDocument/2006/relationships/hyperlink" Target="https://www.sec.gov/Archives/edgar/data/1370450/000155837023016247/wldn-20230929xex10d1.htm" TargetMode="External"/><Relationship Id="rId8" Type="http://schemas.openxmlformats.org/officeDocument/2006/relationships/hyperlink" Target="https://www.sec.gov/Archives/edgar/data/1370450/000155837023016247/wldn-20230929xex10d2.htm" TargetMode="External"/><Relationship Id="rId9" Type="http://schemas.openxmlformats.org/officeDocument/2006/relationships/hyperlink" Target="https://www.sec.gov/Archives/edgar/data/1370450/000155837023016247/wldn-20230929xex10d2.htm" TargetMode="External"/><Relationship Id="rId10" Type="http://schemas.openxmlformats.org/officeDocument/2006/relationships/hyperlink" Target="https://www.sec.gov/Archives/edgar/data/1370450/000155837023016247/wldn-20230929xex10d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21475</Words>
  <Characters>119826</Characters>
  <CharactersWithSpaces>143777</CharactersWithSpaces>
  <Paragraphs>7440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