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tLeast" w:line="142" w:before="0" w:after="0"/>
        <w:ind w:left="0" w:right="0" w:hanging="0"/>
        <w:jc w:val="left"/>
        <w:rPr/>
      </w:pPr>
      <w:bookmarkStart w:id="0" w:name="wldn-20260617x8k.htm"/>
      <w:bookmarkStart w:id="1" w:name="kswldn20260617x8k"/>
      <w:bookmarkEnd w:id="0"/>
      <w:bookmarkEnd w:id="1"/>
      <w:r>
        <w:rPr/>
        <w:t>​</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bookmarkStart w:id="2" w:name="_8230b8f3_a5ad_491a_b8ee_6c9f8b501706"/>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 </w:t>
      </w:r>
      <w:r>
        <w:rPr>
          <w:rFonts w:ascii="Times New Roman;Times;serif" w:hAnsi="Times New Roman;Times;serif"/>
          <w:sz w:val="36"/>
        </w:rPr>
        <w:t>FORM 8-K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br/>
        <w:t>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Date of Report (Date of earliest event reported):</w:t>
      </w:r>
      <w:r>
        <w:rPr>
          <w:rFonts w:ascii="Times New Roman;Times;serif" w:hAnsi="Times New Roman;Times;serif"/>
          <w:sz w:val="24"/>
        </w:rPr>
        <w:t xml:space="preserve"> </w:t>
      </w:r>
      <w:r>
        <w:rPr>
          <w:rFonts w:ascii="Times New Roman;Times;serif" w:hAnsi="Times New Roman;Times;serif"/>
          <w:b/>
          <w:sz w:val="20"/>
        </w:rPr>
        <w:t>June 17, 2026</w:t>
      </w:r>
    </w:p>
    <w:p>
      <w:pPr>
        <w:pStyle w:val="TextBody"/>
        <w:bidi w:val="0"/>
        <w:spacing w:before="0" w:after="0"/>
        <w:ind w:left="0" w:right="0" w:hanging="0"/>
        <w:jc w:val="center"/>
        <w:rPr>
          <w:rFonts w:ascii="Times New Roman;Times;serif" w:hAnsi="Times New Roman;Times;serif"/>
          <w:sz w:val="40"/>
        </w:rPr>
      </w:pPr>
      <w:r>
        <w:rPr>
          <w:rFonts w:ascii="Times New Roman;Times;serif" w:hAnsi="Times New Roman;Times;serif"/>
          <w:sz w:val="40"/>
        </w:rPr>
        <w:t>WILLDAN GROUP, INC.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 </w:t>
      </w:r>
    </w:p>
    <w:p>
      <w:pPr>
        <w:pStyle w:val="Normal"/>
        <w:bidi w:val="0"/>
        <w:spacing w:before="0" w:after="0"/>
        <w:jc w:val="left"/>
        <w:rPr>
          <w:sz w:val="4"/>
          <w:szCs w:val="4"/>
        </w:rPr>
      </w:pPr>
      <w:r>
        <w:rPr>
          <w:sz w:val="4"/>
          <w:szCs w:val="4"/>
        </w:rPr>
      </w:r>
      <w:bookmarkStart w:id="3" w:name="Tc_TctE3dC4J0CptD-W4FzOTA_10_0"/>
      <w:bookmarkStart w:id="4" w:name="Tc_FyQasXm0BUaysVHOlaXNig_9_0"/>
      <w:bookmarkStart w:id="5" w:name="Tc_P1cxpY1EFki29p8n9MQCBg_7_0"/>
      <w:bookmarkStart w:id="6" w:name="Tc_LHxNGXShiEWKIjECYKd8_A_5_0"/>
      <w:bookmarkStart w:id="7" w:name="Tc_mbDy78R1nkquKDTN7y4lpA_4_0"/>
      <w:bookmarkStart w:id="8" w:name="Tc_kuNv8pTWJ0-PbntBjj0VXA_2_4"/>
      <w:bookmarkStart w:id="9" w:name="Tc_H85GNgtD9E2BW8p8AaeLIw_2_2"/>
      <w:bookmarkStart w:id="10" w:name="Tc_Q8J5e0xTEU-Oh35HQWLRVA_2_0"/>
      <w:bookmarkStart w:id="11" w:name="_80093f5b_a12c_479c_aee4_9f930e8df261"/>
      <w:bookmarkStart w:id="12" w:name="Tc_TctE3dC4J0CptD-W4FzOTA_10_0"/>
      <w:bookmarkStart w:id="13" w:name="Tc_FyQasXm0BUaysVHOlaXNig_9_0"/>
      <w:bookmarkStart w:id="14" w:name="Tc_P1cxpY1EFki29p8n9MQCBg_7_0"/>
      <w:bookmarkStart w:id="15" w:name="Tc_LHxNGXShiEWKIjECYKd8_A_5_0"/>
      <w:bookmarkStart w:id="16" w:name="Tc_mbDy78R1nkquKDTN7y4lpA_4_0"/>
      <w:bookmarkStart w:id="17" w:name="Tc_kuNv8pTWJ0-PbntBjj0VXA_2_4"/>
      <w:bookmarkStart w:id="18" w:name="Tc_H85GNgtD9E2BW8p8AaeLIw_2_2"/>
      <w:bookmarkStart w:id="19" w:name="Tc_Q8J5e0xTEU-Oh35HQWLRVA_2_0"/>
      <w:bookmarkStart w:id="20" w:name="_80093f5b_a12c_479c_aee4_9f930e8df261"/>
      <w:bookmarkEnd w:id="12"/>
      <w:bookmarkEnd w:id="13"/>
      <w:bookmarkEnd w:id="14"/>
      <w:bookmarkEnd w:id="15"/>
      <w:bookmarkEnd w:id="16"/>
      <w:bookmarkEnd w:id="17"/>
      <w:bookmarkEnd w:id="18"/>
      <w:bookmarkEnd w:id="19"/>
      <w:bookmarkEnd w:id="20"/>
    </w:p>
    <w:tbl>
      <w:tblPr>
        <w:tblW w:w="6490" w:type="dxa"/>
        <w:jc w:val="left"/>
        <w:tblInd w:w="0" w:type="dxa"/>
        <w:tblLayout w:type="fixed"/>
        <w:tblCellMar>
          <w:top w:w="0" w:type="dxa"/>
          <w:left w:w="0" w:type="dxa"/>
          <w:bottom w:w="0" w:type="dxa"/>
          <w:right w:w="0" w:type="dxa"/>
        </w:tblCellMar>
      </w:tblPr>
      <w:tblGrid>
        <w:gridCol w:w="2251"/>
        <w:gridCol w:w="146"/>
        <w:gridCol w:w="2296"/>
        <w:gridCol w:w="14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29210"/>
                      <wp:effectExtent l="0" t="0" r="0" b="0"/>
                      <wp:wrapNone/>
                      <wp:docPr id="1" name="Frame1"/>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29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before="0" w:after="283"/>
              <w:ind w:left="0" w:right="0" w:hanging="0"/>
              <w:jc w:val="left"/>
              <w:rPr>
                <w:sz w:val="4"/>
                <w:szCs w:val="4"/>
              </w:rPr>
            </w:pPr>
            <w:r>
              <w:rPr>
                <w:sz w:val="4"/>
                <w:szCs w:val="4"/>
              </w:rPr>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001-33076</w:t>
            </w:r>
          </w:p>
        </w:tc>
        <w:tc>
          <w:tcPr>
            <w:tcW w:w="146" w:type="dxa"/>
            <w:tcBorders/>
            <w:vAlign w:val="center"/>
          </w:tcPr>
          <w:p>
            <w:pPr>
              <w:pStyle w:val="TableContents"/>
              <w:bidi w:val="0"/>
              <w:spacing w:before="0" w:after="0"/>
              <w:ind w:left="0" w:right="0" w:hanging="0"/>
              <w:jc w:val="center"/>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14-1951112</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of other jurisdiction</w:t>
              <w:br/>
              <w:t>of incorporation)</w:t>
            </w:r>
          </w:p>
        </w:tc>
        <w:tc>
          <w:tcPr>
            <w:tcW w:w="146" w:type="dxa"/>
            <w:tcBorders/>
            <w:vAlign w:val="center"/>
          </w:tcPr>
          <w:p>
            <w:pPr>
              <w:pStyle w:val="TableContents"/>
              <w:bidi w:val="0"/>
              <w:spacing w:before="100" w:after="100"/>
              <w:ind w:left="0" w:right="0" w:hanging="0"/>
              <w:jc w:val="left"/>
              <w:rPr/>
            </w:pPr>
            <w:r>
              <w:rPr/>
              <w:t>​</w:t>
            </w:r>
          </w:p>
        </w:tc>
        <w:tc>
          <w:tcPr>
            <w:tcW w:w="22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146" w:type="dxa"/>
            <w:tcBorders/>
            <w:vAlign w:val="center"/>
          </w:tcPr>
          <w:p>
            <w:pPr>
              <w:pStyle w:val="TableContents"/>
              <w:bidi w:val="0"/>
              <w:spacing w:before="100" w:after="10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22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51" w:type="dxa"/>
            <w:tcBorders/>
            <w:vAlign w:val="center"/>
          </w:tcPr>
          <w:p>
            <w:pPr>
              <w:pStyle w:val="TableContents"/>
              <w:bidi w:val="0"/>
              <w:spacing w:before="0" w:after="0"/>
              <w:ind w:left="0" w:right="0" w:hanging="0"/>
              <w:jc w:val="center"/>
              <w:rPr/>
            </w:pPr>
            <w:r>
              <w:rPr/>
              <w:t> </w:t>
            </w:r>
          </w:p>
        </w:tc>
      </w:tr>
      <w:tr>
        <w:trPr/>
        <w:tc>
          <w:tcPr>
            <w:tcW w:w="6490"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0"/>
              </w:rPr>
              <w:t>2401 East Katella Avenue, Suite 300, Anaheim, California</w:t>
            </w:r>
            <w:r>
              <w:rPr>
                <w:rFonts w:ascii="Times New Roman;Times;serif" w:hAnsi="Times New Roman;Times;serif"/>
                <w:b/>
                <w:sz w:val="24"/>
              </w:rPr>
              <w:t xml:space="preserve"> </w:t>
            </w:r>
            <w:r>
              <w:rPr>
                <w:rFonts w:ascii="Times New Roman;Times;serif" w:hAnsi="Times New Roman;Times;serif"/>
                <w:b/>
                <w:sz w:val="20"/>
              </w:rPr>
              <w:t>92806</w:t>
            </w:r>
          </w:p>
        </w:tc>
      </w:tr>
      <w:tr>
        <w:trPr/>
        <w:tc>
          <w:tcPr>
            <w:tcW w:w="649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r>
      <w:tr>
        <w:trPr/>
        <w:tc>
          <w:tcPr>
            <w:tcW w:w="22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9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651" w:type="dxa"/>
            <w:tcBorders/>
            <w:vAlign w:val="center"/>
          </w:tcPr>
          <w:p>
            <w:pPr>
              <w:pStyle w:val="TableContents"/>
              <w:bidi w:val="0"/>
              <w:spacing w:before="0" w:after="0"/>
              <w:ind w:left="0" w:right="0" w:hanging="0"/>
              <w:jc w:val="center"/>
              <w:rPr/>
            </w:pPr>
            <w:r>
              <w:rPr/>
              <w:t> </w:t>
            </w:r>
          </w:p>
        </w:tc>
      </w:tr>
      <w:tr>
        <w:trPr/>
        <w:tc>
          <w:tcPr>
            <w:tcW w:w="6490" w:type="dxa"/>
            <w:gridSpan w:val="5"/>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(800) 424-9144</w:t>
            </w:r>
          </w:p>
        </w:tc>
      </w:tr>
      <w:tr>
        <w:trPr/>
        <w:tc>
          <w:tcPr>
            <w:tcW w:w="6490" w:type="dxa"/>
            <w:gridSpan w:val="5"/>
            <w:tcBorders/>
            <w:vAlign w:val="center"/>
          </w:tcPr>
          <w:p>
            <w:pPr>
              <w:pStyle w:val="TableContents"/>
              <w:bidi w:val="0"/>
              <w:spacing w:before="0" w:after="0"/>
              <w:ind w:left="0" w:right="0" w:hanging="0"/>
              <w:jc w:val="center"/>
              <w:rPr/>
            </w:pPr>
            <w:r>
              <w:rPr/>
              <w:t> </w:t>
            </w:r>
          </w:p>
        </w:tc>
      </w:tr>
      <w:tr>
        <w:trPr/>
        <w:tc>
          <w:tcPr>
            <w:tcW w:w="649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tc>
      </w:tr>
      <w:tr>
        <w:trPr/>
        <w:tc>
          <w:tcPr>
            <w:tcW w:w="649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 </w:t>
      </w: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p>
      <w:pPr>
        <w:pStyle w:val="TextBody"/>
        <w:pBdr/>
        <w:bidi w:val="0"/>
        <w:spacing w:before="0" w:after="0"/>
        <w:ind w:left="45" w:right="0" w:hanging="495"/>
        <w:jc w:val="left"/>
        <w:rPr/>
      </w:pPr>
      <w:r>
        <w:rPr/>
        <w:t xml:space="preserve">☐ </w:t>
      </w:r>
      <w:r>
        <w:rPr>
          <w:rFonts w:ascii="Times New Roman;Times;serif" w:hAnsi="Times New Roman;Times;serif"/>
          <w:sz w:val="20"/>
        </w:rPr>
        <w:t>Written communications pursuant to Rule 425 under the Securities Act (17 CFR 230.425).</w:t>
      </w:r>
    </w:p>
    <w:p>
      <w:pPr>
        <w:pStyle w:val="TextBody"/>
        <w:pBdr/>
        <w:bidi w:val="0"/>
        <w:spacing w:before="0" w:after="0"/>
        <w:ind w:left="45" w:right="0" w:hanging="360"/>
        <w:jc w:val="left"/>
        <w:rPr/>
      </w:pPr>
      <w:r>
        <w:rPr/>
        <w:t xml:space="preserve">☐ </w:t>
      </w:r>
      <w:r>
        <w:rPr>
          <w:rFonts w:ascii="Times New Roman;Times;serif" w:hAnsi="Times New Roman;Times;serif"/>
          <w:sz w:val="20"/>
        </w:rPr>
        <w:t>Soliciting material pursuant to Rule 14A-12 under the Exchange Act (17 CFR 240.14a-12)</w:t>
      </w:r>
    </w:p>
    <w:p>
      <w:pPr>
        <w:pStyle w:val="TextBody"/>
        <w:pBdr/>
        <w:bidi w:val="0"/>
        <w:spacing w:before="0" w:after="0"/>
        <w:ind w:left="45" w:right="0" w:hanging="360"/>
        <w:jc w:val="left"/>
        <w:rPr/>
      </w:pPr>
      <w:r>
        <w:rPr/>
        <w:t xml:space="preserve">☐ </w:t>
      </w:r>
      <w:r>
        <w:rPr>
          <w:rFonts w:ascii="Times New Roman;Times;serif" w:hAnsi="Times New Roman;Times;serif"/>
          <w:sz w:val="20"/>
        </w:rPr>
        <w:t>Pre-commencement communications pursuant to Rule 14d-2(b) under the Exchange Act (17 CFR.14d-2(b))</w:t>
      </w:r>
    </w:p>
    <w:p>
      <w:pPr>
        <w:pStyle w:val="TextBody"/>
        <w:pBdr/>
        <w:bidi w:val="0"/>
        <w:spacing w:before="0" w:after="0"/>
        <w:ind w:left="45" w:right="0" w:hanging="360"/>
        <w:jc w:val="left"/>
        <w:rPr/>
      </w:pPr>
      <w:r>
        <w:rPr/>
        <w:t xml:space="preserve">☐ </w:t>
      </w:r>
      <w:r>
        <w:rPr>
          <w:rFonts w:ascii="Times New Roman;Times;serif" w:hAnsi="Times New Roman;Times;serif"/>
          <w:sz w:val="20"/>
        </w:rPr>
        <w:t>Pre-commencement communications pursuant to Rule 13e-4(c) under the Exchange Act (17 CFR 240.13e-4(c))</w:t>
      </w:r>
    </w:p>
    <w:p>
      <w:pPr>
        <w:pStyle w:val="TextBody"/>
        <w:shd w:fill="FFFFFF" w:val="clear"/>
        <w:bidi w:val="0"/>
        <w:spacing w:before="100" w:after="1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1" w:name="Tc_7FBeVRj5iUCM8s8wTT6XLg_2_2"/>
      <w:bookmarkStart w:id="22" w:name="Tc_AJXi2Uvu6UuQzCuiBCk9jw_1_2"/>
      <w:bookmarkStart w:id="23" w:name="Tc_WHIYdNorz0SyOzvrP3pFlA_1_1"/>
      <w:bookmarkStart w:id="24" w:name="Tc_U4JG_E_zBEanI1KG9mZoGQ_1_0"/>
      <w:bookmarkStart w:id="25" w:name="_5f8e0419_d561_4aa1_bcac_d4b97b64fadf"/>
      <w:bookmarkStart w:id="26" w:name="Tc_7FBeVRj5iUCM8s8wTT6XLg_2_2"/>
      <w:bookmarkStart w:id="27" w:name="Tc_AJXi2Uvu6UuQzCuiBCk9jw_1_2"/>
      <w:bookmarkStart w:id="28" w:name="Tc_WHIYdNorz0SyOzvrP3pFlA_1_1"/>
      <w:bookmarkStart w:id="29" w:name="Tc_U4JG_E_zBEanI1KG9mZoGQ_1_0"/>
      <w:bookmarkStart w:id="30" w:name="_5f8e0419_d561_4aa1_bcac_d4b97b64fadf"/>
      <w:bookmarkEnd w:id="26"/>
      <w:bookmarkEnd w:id="27"/>
      <w:bookmarkEnd w:id="28"/>
      <w:bookmarkEnd w:id="29"/>
      <w:bookmarkEnd w:id="30"/>
    </w:p>
    <w:tbl>
      <w:tblPr>
        <w:tblW w:w="9018" w:type="dxa"/>
        <w:jc w:val="left"/>
        <w:tblInd w:w="0" w:type="dxa"/>
        <w:tblLayout w:type="fixed"/>
        <w:tblCellMar>
          <w:top w:w="0" w:type="dxa"/>
          <w:left w:w="0" w:type="dxa"/>
          <w:bottom w:w="0" w:type="dxa"/>
          <w:right w:w="0" w:type="dxa"/>
        </w:tblCellMar>
      </w:tblPr>
      <w:tblGrid>
        <w:gridCol w:w="3496"/>
        <w:gridCol w:w="1696"/>
        <w:gridCol w:w="382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19960" cy="29210"/>
                      <wp:effectExtent l="0" t="0" r="0" b="0"/>
                      <wp:wrapNone/>
                      <wp:docPr id="2" name="Frame2"/>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76960" cy="29210"/>
                      <wp:effectExtent l="0" t="0" r="0" b="0"/>
                      <wp:wrapNone/>
                      <wp:docPr id="3" name="Frame3"/>
                      <a:graphic xmlns:a="http://schemas.openxmlformats.org/drawingml/2006/main">
                        <a:graphicData uri="http://schemas.microsoft.com/office/word/2010/wordprocessingShape">
                          <wps:wsp>
                            <wps:cNvSpPr txBox="1"/>
                            <wps:spPr>
                              <a:xfrm>
                                <a:off x="0" y="0"/>
                                <a:ext cx="1076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429510" cy="29210"/>
                      <wp:effectExtent l="0" t="0" r="0" b="0"/>
                      <wp:wrapNone/>
                      <wp:docPr id="4" name="Frame4"/>
                      <a:graphic xmlns:a="http://schemas.openxmlformats.org/drawingml/2006/main">
                        <a:graphicData uri="http://schemas.microsoft.com/office/word/2010/wordprocessingShape">
                          <wps:wsp>
                            <wps:cNvSpPr txBox="1"/>
                            <wps:spPr>
                              <a:xfrm>
                                <a:off x="0" y="0"/>
                                <a:ext cx="2429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69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Symbol(s)</w:t>
            </w:r>
          </w:p>
        </w:tc>
        <w:tc>
          <w:tcPr>
            <w:tcW w:w="3826"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16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WLDN</w:t>
            </w:r>
          </w:p>
        </w:tc>
        <w:tc>
          <w:tcPr>
            <w:tcW w:w="3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left"/>
        <w:rPr>
          <w:rFonts w:ascii="Times New Roman;Times;serif" w:hAnsi="Times New Roman;Times;serif"/>
          <w:sz w:val="24"/>
        </w:rPr>
      </w:pPr>
      <w:r>
        <w:rPr>
          <w:rFonts w:ascii="Times New Roman;Times;serif" w:hAnsi="Times New Roman;Times;serif"/>
          <w:sz w:val="20"/>
        </w:rPr>
        <w:t xml:space="preserve">Emerging growth company </w:t>
      </w:r>
      <w:r>
        <w:rPr>
          <w:rFonts w:ascii="Times New Roman;Times;serif" w:hAnsi="Times New Roman;Times;serif"/>
          <w:sz w:val="24"/>
        </w:rPr>
        <w:t>☐ </w:t>
      </w:r>
    </w:p>
    <w:p>
      <w:pPr>
        <w:pStyle w:val="TextBody"/>
        <w:shd w:fill="FFFFFF" w:val="clear"/>
        <w:bidi w:val="0"/>
        <w:spacing w:before="100" w:after="10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100" w:after="10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shd w:fill="FFFFFF" w:val="clear"/>
        </w:rPr>
      </w:pPr>
      <w:r>
        <w:rPr>
          <w:shd w:fill="FFFFFF" w:val="clear"/>
        </w:rPr>
        <w:t>​</w:t>
      </w:r>
    </w:p>
    <w:p>
      <w:pPr>
        <w:pStyle w:val="TextBody"/>
        <w:bidi w:val="0"/>
        <w:spacing w:before="0" w:after="0"/>
        <w:ind w:left="0" w:right="0" w:hanging="0"/>
        <w:jc w:val="left"/>
        <w:rPr>
          <w:shd w:fill="FFFFFF" w:val="clear"/>
        </w:rPr>
      </w:pPr>
      <w:r>
        <w:rPr>
          <w:shd w:fill="FFFFFF" w:val="clear"/>
        </w:rPr>
        <w:t>​</w:t>
      </w:r>
    </w:p>
    <w:p>
      <w:pPr>
        <w:pStyle w:val="Normal"/>
        <w:bidi w:val="0"/>
        <w:spacing w:before="0" w:after="0"/>
        <w:ind w:left="600" w:right="600" w:hanging="0"/>
        <w:jc w:val="left"/>
        <w:rPr>
          <w:sz w:val="4"/>
          <w:szCs w:val="4"/>
        </w:rPr>
      </w:pPr>
      <w:r>
        <w:rPr>
          <w:sz w:val="4"/>
          <w:szCs w:val="4"/>
        </w:rPr>
      </w:r>
      <w:bookmarkStart w:id="31" w:name="_ef2625ae_6a2b_4078_9f59_be75e7f8f03a"/>
      <w:bookmarkStart w:id="32" w:name="_ef2625ae_6a2b_4078_9f59_be75e7f8f03a"/>
      <w:bookmarkEnd w:id="32"/>
    </w:p>
    <w:tbl>
      <w:tblPr>
        <w:tblW w:w="10205" w:type="dxa"/>
        <w:jc w:val="left"/>
        <w:tblInd w:w="0" w:type="dxa"/>
        <w:tblLayout w:type="fixed"/>
        <w:tblCellMar>
          <w:top w:w="0" w:type="dxa"/>
          <w:left w:w="0" w:type="dxa"/>
          <w:bottom w:w="0" w:type="dxa"/>
          <w:right w:w="0" w:type="dxa"/>
        </w:tblCellMar>
      </w:tblPr>
      <w:tblGrid>
        <w:gridCol w:w="829"/>
        <w:gridCol w:w="9376"/>
      </w:tblGrid>
      <w:tr>
        <w:trPr/>
        <w:tc>
          <w:tcPr>
            <w:tcW w:w="829"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5.02.</w:t>
            </w:r>
          </w:p>
        </w:tc>
        <w:tc>
          <w:tcPr>
            <w:tcW w:w="937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sz w:val="20"/>
        </w:rPr>
        <w:t>(e)</w:t>
      </w:r>
      <w:r>
        <w:rPr>
          <w:rFonts w:ascii="Times New Roman;Times;serif" w:hAnsi="Times New Roman;Times;serif"/>
          <w:i/>
          <w:sz w:val="20"/>
        </w:rPr>
        <w:t>Compensatory Arrangements of Certain Officers.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April 20, 2026, the Board of Directors (the “</w:t>
      </w:r>
      <w:r>
        <w:rPr>
          <w:rFonts w:ascii="Times New Roman;Times;serif" w:hAnsi="Times New Roman;Times;serif"/>
          <w:b/>
          <w:sz w:val="20"/>
        </w:rPr>
        <w:t>Board</w:t>
      </w:r>
      <w:r>
        <w:rPr>
          <w:rFonts w:ascii="Times New Roman;Times;serif" w:hAnsi="Times New Roman;Times;serif"/>
          <w:sz w:val="20"/>
        </w:rPr>
        <w:t>”) of Willdan Group, Inc. (the “</w:t>
      </w:r>
      <w:r>
        <w:rPr>
          <w:rFonts w:ascii="Times New Roman;Times;serif" w:hAnsi="Times New Roman;Times;serif"/>
          <w:b/>
          <w:sz w:val="20"/>
        </w:rPr>
        <w:t>Company</w:t>
      </w:r>
      <w:r>
        <w:rPr>
          <w:rFonts w:ascii="Times New Roman;Times;serif" w:hAnsi="Times New Roman;Times;serif"/>
          <w:sz w:val="20"/>
        </w:rPr>
        <w:t>”) approved amending and restating the Willdan Group, Inc. 2008 Performance Incentive Plan (the “</w:t>
      </w:r>
      <w:r>
        <w:rPr>
          <w:rFonts w:ascii="Times New Roman;Times;serif" w:hAnsi="Times New Roman;Times;serif"/>
          <w:b/>
          <w:sz w:val="20"/>
        </w:rPr>
        <w:t>2008 Plan</w:t>
      </w:r>
      <w:r>
        <w:rPr>
          <w:rFonts w:ascii="Times New Roman;Times;serif" w:hAnsi="Times New Roman;Times;serif"/>
          <w:sz w:val="20"/>
        </w:rPr>
        <w:t>”), subject to stockholder approval of the amendments to the 2008 Plan.  As disclosed in Item 5.07 of this Form 8-K, the Company’s stockholders have approved the amendments to the 2008 Plan.</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Among other things, the amendments to the 2008 Plan (i) increase the number of shares of the Company’s common stock (the “</w:t>
      </w:r>
      <w:r>
        <w:rPr>
          <w:rFonts w:ascii="Times New Roman;Times;serif" w:hAnsi="Times New Roman;Times;serif"/>
          <w:b/>
          <w:sz w:val="20"/>
        </w:rPr>
        <w:t>Common Stock</w:t>
      </w:r>
      <w:r>
        <w:rPr>
          <w:rFonts w:ascii="Times New Roman;Times;serif" w:hAnsi="Times New Roman;Times;serif"/>
          <w:sz w:val="20"/>
        </w:rPr>
        <w:t>”) available for award grants under the 2008 Plan by 380,000 shares, so that the new aggregate share limit for the 2008 Plan is 6,099,167 shares of Common Stock; (ii) increase the limit on the number of shares of Common Stock that may be delivered pursuant to “incentive stock options” under the 2008 Plan by 380,000 shares, so that the new aggregate limit for incentive stock options under the 2008 Plan is 6,330,000 shares; and (iii) extend the term of the 2008 Plan to April 19, 2036.</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foregoing summary of the amendments to the 2008 Plan is qualified in its entirety by reference to the text of the amended and restated 2008 Plan, which is filed as Exhibit 10.1 hereto and incorporated by reference herein.</w:t>
      </w:r>
    </w:p>
    <w:p>
      <w:pPr>
        <w:pStyle w:val="TextBody"/>
        <w:bidi w:val="0"/>
        <w:spacing w:before="0" w:after="0"/>
        <w:ind w:left="0" w:right="0" w:hanging="0"/>
        <w:jc w:val="left"/>
        <w:rPr/>
      </w:pPr>
      <w:r>
        <w:rPr/>
        <w:t> </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5.07.             Submission of Matters to a Vote of Security Holders.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held its Annual Meeting of Stockholders (the “</w:t>
      </w:r>
      <w:r>
        <w:rPr>
          <w:rFonts w:ascii="Times New Roman;Times;serif" w:hAnsi="Times New Roman;Times;serif"/>
          <w:b/>
          <w:sz w:val="20"/>
        </w:rPr>
        <w:t>Annual Meeting</w:t>
      </w:r>
      <w:r>
        <w:rPr>
          <w:rFonts w:ascii="Times New Roman;Times;serif" w:hAnsi="Times New Roman;Times;serif"/>
          <w:sz w:val="20"/>
        </w:rPr>
        <w:t>”) on June 17, 2026. At the Annual Meeting, five proposals, which are described in detail in the Company’s definitive proxy statement, dated April 24, 2026 for the Annual Meeting (the “</w:t>
      </w:r>
      <w:r>
        <w:rPr>
          <w:rFonts w:ascii="Times New Roman;Times;serif" w:hAnsi="Times New Roman;Times;serif"/>
          <w:b/>
          <w:sz w:val="20"/>
        </w:rPr>
        <w:t>Proxy Statement</w:t>
      </w:r>
      <w:r>
        <w:rPr>
          <w:rFonts w:ascii="Times New Roman;Times;serif" w:hAnsi="Times New Roman;Times;serif"/>
          <w:sz w:val="20"/>
        </w:rPr>
        <w:t>”), were submitted to a vote of the stockholders. At the Annual Meeting, stockholders (i) elected the seven director nominees named in the Proxy Statement; (ii) ratified the appointment of Crowe LLP (“</w:t>
      </w:r>
      <w:r>
        <w:rPr>
          <w:rFonts w:ascii="Times New Roman;Times;serif" w:hAnsi="Times New Roman;Times;serif"/>
          <w:b/>
          <w:sz w:val="20"/>
        </w:rPr>
        <w:t>Crowe</w:t>
      </w:r>
      <w:r>
        <w:rPr>
          <w:rFonts w:ascii="Times New Roman;Times;serif" w:hAnsi="Times New Roman;Times;serif"/>
          <w:sz w:val="20"/>
        </w:rPr>
        <w:t>”) as the Company’s independent registered public accounting firm for fiscal year 2026; (iii) approved, on a non-binding advisory basis, the Company’s named executive officer compensation; and (iv) approved the amendment to the 2008 Plan described above. Based on the results of the advisory vote on the frequency of future advisory votes on executive officer compensation, the Board determined that the Company will hold an advisory vote on executive officer compensation every one year until the next required advisory vote on the frequency of such votes.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total number of shares entitled to vote and represented by presence or by proxy was equal to 79.91% of the Company’s total shares issued and outstanding as of the April 21, 2026 record date, thereby constituting a quorum for the purpose of the Annual Meeting. Abstentions and broker non-votes were counted for purposes of determining whether a quorum was present.</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results of the vote for each proposal are as follows: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Proposal 1</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Each individual listed below was elected to serve on the Board until the 2026 annual meeting of stockholders and until his or her respective successor is duly elected and qualified, or until his or her earlier death, resignation or removal.</w:t>
      </w:r>
    </w:p>
    <w:p>
      <w:pPr>
        <w:pStyle w:val="TextBody"/>
        <w:bidi w:val="0"/>
        <w:spacing w:before="0" w:after="0"/>
        <w:ind w:left="0" w:right="0" w:hanging="0"/>
        <w:jc w:val="left"/>
        <w:rPr/>
      </w:pPr>
      <w:r>
        <w:rPr/>
        <w:t> </w:t>
      </w:r>
    </w:p>
    <w:tbl>
      <w:tblPr>
        <w:tblW w:w="5840" w:type="dxa"/>
        <w:jc w:val="left"/>
        <w:tblInd w:w="0" w:type="dxa"/>
        <w:tblLayout w:type="fixed"/>
        <w:tblCellMar>
          <w:top w:w="0" w:type="dxa"/>
          <w:left w:w="0" w:type="dxa"/>
          <w:bottom w:w="0" w:type="dxa"/>
          <w:right w:w="0" w:type="dxa"/>
        </w:tblCellMar>
      </w:tblPr>
      <w:tblGrid>
        <w:gridCol w:w="2281"/>
        <w:gridCol w:w="109"/>
        <w:gridCol w:w="931"/>
        <w:gridCol w:w="109"/>
        <w:gridCol w:w="781"/>
        <w:gridCol w:w="109"/>
        <w:gridCol w:w="1366"/>
        <w:gridCol w:w="154"/>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48435" cy="29210"/>
                      <wp:effectExtent l="0" t="0" r="0" b="0"/>
                      <wp:wrapNone/>
                      <wp:docPr id="5" name="Frame5"/>
                      <a:graphic xmlns:a="http://schemas.openxmlformats.org/drawingml/2006/main">
                        <a:graphicData uri="http://schemas.microsoft.com/office/word/2010/wordprocessingShape">
                          <wps:wsp>
                            <wps:cNvSpPr txBox="1"/>
                            <wps:spPr>
                              <a:xfrm>
                                <a:off x="0" y="0"/>
                                <a:ext cx="1448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9215" cy="29210"/>
                      <wp:effectExtent l="0" t="0" r="0" b="0"/>
                      <wp:wrapNone/>
                      <wp:docPr id="6" name="Frame6"/>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91185" cy="29210"/>
                      <wp:effectExtent l="0" t="0" r="0" b="0"/>
                      <wp:wrapNone/>
                      <wp:docPr id="7" name="Frame7"/>
                      <a:graphic xmlns:a="http://schemas.openxmlformats.org/drawingml/2006/main">
                        <a:graphicData uri="http://schemas.microsoft.com/office/word/2010/wordprocessingShape">
                          <wps:wsp>
                            <wps:cNvSpPr txBox="1"/>
                            <wps:spPr>
                              <a:xfrm>
                                <a:off x="0" y="0"/>
                                <a:ext cx="591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29210"/>
                      <wp:effectExtent l="0" t="0" r="0" b="0"/>
                      <wp:wrapNone/>
                      <wp:docPr id="8" name="Frame8"/>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95935" cy="29210"/>
                      <wp:effectExtent l="0" t="0" r="0" b="0"/>
                      <wp:wrapNone/>
                      <wp:docPr id="9" name="Frame9"/>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29210"/>
                      <wp:effectExtent l="0" t="0" r="0" b="0"/>
                      <wp:wrapNone/>
                      <wp:docPr id="10" name="Frame10"/>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867410" cy="29210"/>
                      <wp:effectExtent l="0" t="0" r="0" b="0"/>
                      <wp:wrapNone/>
                      <wp:docPr id="11" name="Frame11"/>
                      <a:graphic xmlns:a="http://schemas.openxmlformats.org/drawingml/2006/main">
                        <a:graphicData uri="http://schemas.microsoft.com/office/word/2010/wordprocessingShape">
                          <wps:wsp>
                            <wps:cNvSpPr txBox="1"/>
                            <wps:spPr>
                              <a:xfrm>
                                <a:off x="0" y="0"/>
                                <a:ext cx="867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29210"/>
                      <wp:effectExtent l="0" t="0" r="0" b="0"/>
                      <wp:wrapNone/>
                      <wp:docPr id="12" name="Frame12"/>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8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781" w:type="dxa"/>
            <w:tcBorders>
              <w:bottom w:val="single" w:sz="8"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Withheld</w: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1366" w:type="dxa"/>
            <w:tcBorders>
              <w:bottom w:val="single" w:sz="8"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Broker Non-Vote</w: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2281" w:type="dxa"/>
            <w:tcBorders/>
            <w:vAlign w:val="center"/>
          </w:tcPr>
          <w:p>
            <w:pPr>
              <w:pStyle w:val="TableContents"/>
              <w:pBdr/>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Thomas D. Brisbin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8,839,288</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438,007</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2,682,651</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81" w:type="dxa"/>
            <w:tcBorders/>
            <w:vAlign w:val="center"/>
          </w:tcPr>
          <w:p>
            <w:pPr>
              <w:pStyle w:val="TableContents"/>
              <w:pBdr/>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Michael A. Bieber</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9,099,674</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177,621</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2,682,651</w:t>
            </w:r>
          </w:p>
        </w:tc>
        <w:tc>
          <w:tcPr>
            <w:tcW w:w="154" w:type="dxa"/>
            <w:tcBorders/>
            <w:vAlign w:val="center"/>
          </w:tcPr>
          <w:p>
            <w:pPr>
              <w:pStyle w:val="TableContents"/>
              <w:bidi w:val="0"/>
              <w:spacing w:before="0" w:after="0"/>
              <w:ind w:left="0" w:right="0" w:hanging="0"/>
              <w:jc w:val="center"/>
              <w:rPr/>
            </w:pPr>
            <w:r>
              <w:rPr/>
              <w:t>​</w:t>
            </w:r>
          </w:p>
        </w:tc>
      </w:tr>
      <w:tr>
        <w:trPr/>
        <w:tc>
          <w:tcPr>
            <w:tcW w:w="2281" w:type="dxa"/>
            <w:tcBorders/>
            <w:vAlign w:val="center"/>
          </w:tcPr>
          <w:p>
            <w:pPr>
              <w:pStyle w:val="TableContents"/>
              <w:pBdr/>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Steven A. Cohen</w:t>
            </w:r>
          </w:p>
        </w:tc>
        <w:tc>
          <w:tcPr>
            <w:tcW w:w="109" w:type="dxa"/>
            <w:tcBorders/>
            <w:vAlign w:val="center"/>
          </w:tcPr>
          <w:p>
            <w:pPr>
              <w:pStyle w:val="TableContents"/>
              <w:bidi w:val="0"/>
              <w:spacing w:lineRule="atLeast" w:line="200" w:before="100" w:after="10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8,918,743</w:t>
            </w:r>
          </w:p>
        </w:tc>
        <w:tc>
          <w:tcPr>
            <w:tcW w:w="109" w:type="dxa"/>
            <w:tcBorders/>
            <w:vAlign w:val="center"/>
          </w:tcPr>
          <w:p>
            <w:pPr>
              <w:pStyle w:val="TableContents"/>
              <w:bidi w:val="0"/>
              <w:spacing w:lineRule="atLeast" w:line="200" w:before="100" w:after="10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358,552</w:t>
            </w:r>
          </w:p>
        </w:tc>
        <w:tc>
          <w:tcPr>
            <w:tcW w:w="109" w:type="dxa"/>
            <w:tcBorders/>
            <w:vAlign w:val="center"/>
          </w:tcPr>
          <w:p>
            <w:pPr>
              <w:pStyle w:val="TableContents"/>
              <w:bidi w:val="0"/>
              <w:spacing w:lineRule="atLeast" w:line="200" w:before="100" w:after="10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2,682,651</w:t>
            </w:r>
          </w:p>
        </w:tc>
        <w:tc>
          <w:tcPr>
            <w:tcW w:w="154" w:type="dxa"/>
            <w:tcBorders/>
            <w:vAlign w:val="center"/>
          </w:tcPr>
          <w:p>
            <w:pPr>
              <w:pStyle w:val="TableContents"/>
              <w:bidi w:val="0"/>
              <w:spacing w:lineRule="atLeast" w:line="200" w:before="100" w:after="100"/>
              <w:ind w:left="0" w:right="0" w:hanging="0"/>
              <w:jc w:val="center"/>
              <w:rPr/>
            </w:pPr>
            <w:r>
              <w:rPr/>
              <w:t>​</w:t>
            </w:r>
          </w:p>
        </w:tc>
      </w:tr>
      <w:tr>
        <w:trPr/>
        <w:tc>
          <w:tcPr>
            <w:tcW w:w="2281" w:type="dxa"/>
            <w:tcBorders/>
            <w:vAlign w:val="center"/>
          </w:tcPr>
          <w:p>
            <w:pPr>
              <w:pStyle w:val="TableContents"/>
              <w:pBdr/>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Cynthia A. Downes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9,226,015</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51,280</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2,682,651</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2281" w:type="dxa"/>
            <w:tcBorders/>
            <w:vAlign w:val="center"/>
          </w:tcPr>
          <w:p>
            <w:pPr>
              <w:pStyle w:val="TableContents"/>
              <w:pBdr/>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Dennis V. McGinn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8,991,602</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285,693</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2,682,651</w:t>
            </w:r>
          </w:p>
        </w:tc>
        <w:tc>
          <w:tcPr>
            <w:tcW w:w="154" w:type="dxa"/>
            <w:tcBorders/>
            <w:vAlign w:val="center"/>
          </w:tcPr>
          <w:p>
            <w:pPr>
              <w:pStyle w:val="TableContents"/>
              <w:bidi w:val="0"/>
              <w:spacing w:lineRule="atLeast" w:line="200" w:before="100" w:after="100"/>
              <w:ind w:left="0" w:right="0" w:hanging="0"/>
              <w:jc w:val="center"/>
              <w:rPr/>
            </w:pPr>
            <w:r>
              <w:rPr/>
              <w:t>​</w:t>
            </w:r>
          </w:p>
        </w:tc>
      </w:tr>
      <w:tr>
        <w:trPr/>
        <w:tc>
          <w:tcPr>
            <w:tcW w:w="2281" w:type="dxa"/>
            <w:tcBorders/>
            <w:vAlign w:val="center"/>
          </w:tcPr>
          <w:p>
            <w:pPr>
              <w:pStyle w:val="TableContents"/>
              <w:pBdr/>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Wanda K. Reder</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9,005,915</w:t>
            </w:r>
          </w:p>
        </w:tc>
        <w:tc>
          <w:tcPr>
            <w:tcW w:w="109"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271,380</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2,682,651</w:t>
            </w:r>
          </w:p>
        </w:tc>
        <w:tc>
          <w:tcPr>
            <w:tcW w:w="154" w:type="dxa"/>
            <w:tcBorders/>
            <w:vAlign w:val="center"/>
          </w:tcPr>
          <w:p>
            <w:pPr>
              <w:pStyle w:val="TableContents"/>
              <w:bidi w:val="0"/>
              <w:spacing w:lineRule="atLeast" w:line="200" w:before="100" w:after="100"/>
              <w:ind w:left="0" w:right="0" w:hanging="0"/>
              <w:jc w:val="center"/>
              <w:rPr/>
            </w:pPr>
            <w:r>
              <w:rPr/>
              <w:t>​</w:t>
            </w:r>
          </w:p>
        </w:tc>
      </w:tr>
      <w:tr>
        <w:trPr/>
        <w:tc>
          <w:tcPr>
            <w:tcW w:w="2281" w:type="dxa"/>
            <w:tcBorders/>
            <w:vAlign w:val="center"/>
          </w:tcPr>
          <w:p>
            <w:pPr>
              <w:pStyle w:val="TableContents"/>
              <w:pBdr/>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Mohammad Shahidehpour</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8,384,196</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893,099</w:t>
            </w:r>
          </w:p>
        </w:tc>
        <w:tc>
          <w:tcPr>
            <w:tcW w:w="109" w:type="dxa"/>
            <w:tcBorders/>
            <w:vAlign w:val="center"/>
          </w:tcPr>
          <w:p>
            <w:pPr>
              <w:pStyle w:val="TableContents"/>
              <w:bidi w:val="0"/>
              <w:spacing w:before="0" w:after="0"/>
              <w:ind w:left="0" w:right="0" w:hanging="0"/>
              <w:jc w:val="center"/>
              <w:rPr/>
            </w:pPr>
            <w:r>
              <w:rPr/>
              <w:t>​</w:t>
            </w:r>
          </w:p>
        </w:tc>
        <w:tc>
          <w:tcPr>
            <w:tcW w:w="13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2,682,651</w:t>
            </w:r>
          </w:p>
        </w:tc>
        <w:tc>
          <w:tcPr>
            <w:tcW w:w="154" w:type="dxa"/>
            <w:tcBorders/>
            <w:vAlign w:val="center"/>
          </w:tcPr>
          <w:p>
            <w:pPr>
              <w:pStyle w:val="TableContents"/>
              <w:bidi w:val="0"/>
              <w:spacing w:lineRule="atLeast" w:line="200" w:before="100" w:after="100"/>
              <w:ind w:left="0" w:right="0" w:hanging="0"/>
              <w:jc w:val="center"/>
              <w:rPr/>
            </w:pPr>
            <w:r>
              <w:rPr/>
              <w:t>​</w:t>
            </w:r>
          </w:p>
        </w:tc>
      </w:tr>
    </w:tbl>
    <w:p>
      <w:pPr>
        <w:pStyle w:val="TextBody"/>
        <w:bidi w:val="0"/>
        <w:spacing w:before="100" w:after="10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i</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Proposal 2</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Ratification of the Board’s appointment of Crowe as the Company’s independent registered public accounting firm for fiscal year 2026. </w:t>
      </w:r>
    </w:p>
    <w:p>
      <w:pPr>
        <w:pStyle w:val="TextBody"/>
        <w:bidi w:val="0"/>
        <w:spacing w:before="100" w:after="100"/>
        <w:ind w:left="0" w:right="0" w:firstLine="720"/>
        <w:jc w:val="left"/>
        <w:rPr/>
      </w:pPr>
      <w:r>
        <w:rPr/>
        <w:t>​</w:t>
      </w:r>
    </w:p>
    <w:tbl>
      <w:tblPr>
        <w:tblW w:w="2880" w:type="dxa"/>
        <w:jc w:val="left"/>
        <w:tblInd w:w="0" w:type="dxa"/>
        <w:tblLayout w:type="fixed"/>
        <w:tblCellMar>
          <w:top w:w="0" w:type="dxa"/>
          <w:left w:w="0" w:type="dxa"/>
          <w:bottom w:w="0" w:type="dxa"/>
          <w:right w:w="0" w:type="dxa"/>
        </w:tblCellMar>
      </w:tblPr>
      <w:tblGrid>
        <w:gridCol w:w="1051"/>
        <w:gridCol w:w="109"/>
        <w:gridCol w:w="781"/>
        <w:gridCol w:w="109"/>
        <w:gridCol w:w="676"/>
        <w:gridCol w:w="154"/>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7385" cy="29210"/>
                      <wp:effectExtent l="0" t="0" r="0" b="0"/>
                      <wp:wrapNone/>
                      <wp:docPr id="13" name="Frame13"/>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29210"/>
                      <wp:effectExtent l="0" t="0" r="0" b="0"/>
                      <wp:wrapNone/>
                      <wp:docPr id="14" name="Frame14"/>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95935" cy="29210"/>
                      <wp:effectExtent l="0" t="0" r="0" b="0"/>
                      <wp:wrapNone/>
                      <wp:docPr id="15" name="Frame15"/>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29210"/>
                      <wp:effectExtent l="0" t="0" r="0" b="0"/>
                      <wp:wrapNone/>
                      <wp:docPr id="16" name="Frame16"/>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9260" cy="29210"/>
                      <wp:effectExtent l="0" t="0" r="0" b="0"/>
                      <wp:wrapNone/>
                      <wp:docPr id="17" name="Frame17"/>
                      <a:graphic xmlns:a="http://schemas.openxmlformats.org/drawingml/2006/main">
                        <a:graphicData uri="http://schemas.microsoft.com/office/word/2010/wordprocessingShape">
                          <wps:wsp>
                            <wps:cNvSpPr txBox="1"/>
                            <wps:spPr>
                              <a:xfrm>
                                <a:off x="0" y="0"/>
                                <a:ext cx="429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29210"/>
                      <wp:effectExtent l="0" t="0" r="0" b="0"/>
                      <wp:wrapNone/>
                      <wp:docPr id="18" name="Frame18"/>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51"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109"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781"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Against</w:t>
            </w:r>
          </w:p>
        </w:tc>
        <w:tc>
          <w:tcPr>
            <w:tcW w:w="109"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Abstain</w:t>
            </w:r>
          </w:p>
        </w:tc>
        <w:tc>
          <w:tcPr>
            <w:tcW w:w="154"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11,780,234</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151,378</w:t>
            </w:r>
          </w:p>
        </w:tc>
        <w:tc>
          <w:tcPr>
            <w:tcW w:w="109"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28,334</w: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7385" cy="29210"/>
                      <wp:effectExtent l="0" t="0" r="0" b="0"/>
                      <wp:wrapNone/>
                      <wp:docPr id="19" name="Frame19"/>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29210"/>
                      <wp:effectExtent l="0" t="0" r="0" b="0"/>
                      <wp:wrapNone/>
                      <wp:docPr id="20" name="Frame20"/>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95935" cy="29210"/>
                      <wp:effectExtent l="0" t="0" r="0" b="0"/>
                      <wp:wrapNone/>
                      <wp:docPr id="21" name="Frame21"/>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9215" cy="29210"/>
                      <wp:effectExtent l="0" t="0" r="0" b="0"/>
                      <wp:wrapNone/>
                      <wp:docPr id="22" name="Frame22"/>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9260" cy="29210"/>
                      <wp:effectExtent l="0" t="0" r="0" b="0"/>
                      <wp:wrapNone/>
                      <wp:docPr id="23" name="Frame23"/>
                      <a:graphic xmlns:a="http://schemas.openxmlformats.org/drawingml/2006/main">
                        <a:graphicData uri="http://schemas.microsoft.com/office/word/2010/wordprocessingShape">
                          <wps:wsp>
                            <wps:cNvSpPr txBox="1"/>
                            <wps:spPr>
                              <a:xfrm>
                                <a:off x="0" y="0"/>
                                <a:ext cx="429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97790" cy="29210"/>
                      <wp:effectExtent l="0" t="0" r="0" b="0"/>
                      <wp:wrapNone/>
                      <wp:docPr id="24" name="Frame24"/>
                      <a:graphic xmlns:a="http://schemas.openxmlformats.org/drawingml/2006/main">
                        <a:graphicData uri="http://schemas.microsoft.com/office/word/2010/wordprocessingShape">
                          <wps:wsp>
                            <wps:cNvSpPr txBox="1"/>
                            <wps:spPr>
                              <a:xfrm>
                                <a:off x="0" y="0"/>
                                <a:ext cx="977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bl>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Proposal 3</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Approval, on a non-binding advisory basis, of the Company’s named executive officer compensation.</w:t>
      </w:r>
    </w:p>
    <w:p>
      <w:pPr>
        <w:pStyle w:val="TextBody"/>
        <w:bidi w:val="0"/>
        <w:spacing w:before="0" w:after="0"/>
        <w:ind w:left="0" w:right="0" w:hanging="0"/>
        <w:jc w:val="left"/>
        <w:rPr/>
      </w:pPr>
      <w:r>
        <w:rPr/>
        <w:t> </w:t>
      </w:r>
    </w:p>
    <w:tbl>
      <w:tblPr>
        <w:tblW w:w="4246" w:type="dxa"/>
        <w:jc w:val="left"/>
        <w:tblInd w:w="0" w:type="dxa"/>
        <w:tblLayout w:type="fixed"/>
        <w:tblCellMar>
          <w:top w:w="0" w:type="dxa"/>
          <w:left w:w="0" w:type="dxa"/>
          <w:bottom w:w="0" w:type="dxa"/>
          <w:right w:w="0" w:type="dxa"/>
        </w:tblCellMar>
      </w:tblPr>
      <w:tblGrid>
        <w:gridCol w:w="946"/>
        <w:gridCol w:w="109"/>
        <w:gridCol w:w="781"/>
        <w:gridCol w:w="109"/>
        <w:gridCol w:w="781"/>
        <w:gridCol w:w="109"/>
        <w:gridCol w:w="141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00710" cy="29210"/>
                      <wp:effectExtent l="0" t="0" r="0" b="0"/>
                      <wp:wrapNone/>
                      <wp:docPr id="25" name="Frame25"/>
                      <a:graphic xmlns:a="http://schemas.openxmlformats.org/drawingml/2006/main">
                        <a:graphicData uri="http://schemas.microsoft.com/office/word/2010/wordprocessingShape">
                          <wps:wsp>
                            <wps:cNvSpPr txBox="1"/>
                            <wps:spPr>
                              <a:xfrm>
                                <a:off x="0" y="0"/>
                                <a:ext cx="600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29210"/>
                      <wp:effectExtent l="0" t="0" r="0" b="0"/>
                      <wp:wrapNone/>
                      <wp:docPr id="26" name="Frame26"/>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95935" cy="29210"/>
                      <wp:effectExtent l="0" t="0" r="0" b="0"/>
                      <wp:wrapNone/>
                      <wp:docPr id="27" name="Frame27"/>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15" cy="29210"/>
                      <wp:effectExtent l="0" t="0" r="0" b="0"/>
                      <wp:wrapNone/>
                      <wp:docPr id="28" name="Frame28"/>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95935" cy="29210"/>
                      <wp:effectExtent l="0" t="0" r="0" b="0"/>
                      <wp:wrapNone/>
                      <wp:docPr id="29" name="Frame29"/>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29210"/>
                      <wp:effectExtent l="0" t="0" r="0" b="0"/>
                      <wp:wrapNone/>
                      <wp:docPr id="30" name="Frame30"/>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895985" cy="29210"/>
                      <wp:effectExtent l="0" t="0" r="0" b="0"/>
                      <wp:wrapNone/>
                      <wp:docPr id="31" name="Frame31"/>
                      <a:graphic xmlns:a="http://schemas.openxmlformats.org/drawingml/2006/main">
                        <a:graphicData uri="http://schemas.microsoft.com/office/word/2010/wordprocessingShape">
                          <wps:wsp>
                            <wps:cNvSpPr txBox="1"/>
                            <wps:spPr>
                              <a:xfrm>
                                <a:off x="0" y="0"/>
                                <a:ext cx="895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6"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109"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781"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Against</w:t>
            </w:r>
          </w:p>
        </w:tc>
        <w:tc>
          <w:tcPr>
            <w:tcW w:w="109"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781"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Abstain</w:t>
            </w:r>
          </w:p>
        </w:tc>
        <w:tc>
          <w:tcPr>
            <w:tcW w:w="109"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11"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Broker Non-Vote</w:t>
            </w:r>
          </w:p>
        </w:tc>
      </w:tr>
      <w:tr>
        <w:trPr/>
        <w:tc>
          <w:tcPr>
            <w:tcW w:w="9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8,650,776</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409,216</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217,303</w:t>
            </w:r>
          </w:p>
        </w:tc>
        <w:tc>
          <w:tcPr>
            <w:tcW w:w="109" w:type="dxa"/>
            <w:tcBorders/>
            <w:vAlign w:val="center"/>
          </w:tcPr>
          <w:p>
            <w:pPr>
              <w:pStyle w:val="TableContents"/>
              <w:bidi w:val="0"/>
              <w:spacing w:before="0" w:after="0"/>
              <w:ind w:left="0" w:right="0" w:hanging="0"/>
              <w:jc w:val="center"/>
              <w:rPr>
                <w:shd w:fill="FFFF00" w:val="clear"/>
              </w:rPr>
            </w:pPr>
            <w:r>
              <w:rPr>
                <w:shd w:fill="FFFF00" w:val="clea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2,682,651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Proposal 4</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Approval of the amendments to the 2008 Plan.</w:t>
      </w:r>
    </w:p>
    <w:p>
      <w:pPr>
        <w:pStyle w:val="TextBody"/>
        <w:bidi w:val="0"/>
        <w:spacing w:before="0" w:after="0"/>
        <w:ind w:left="0" w:right="0" w:hanging="0"/>
        <w:jc w:val="left"/>
        <w:rPr/>
      </w:pPr>
      <w:r>
        <w:rPr/>
        <w:t> </w:t>
      </w:r>
    </w:p>
    <w:tbl>
      <w:tblPr>
        <w:tblW w:w="4396" w:type="dxa"/>
        <w:jc w:val="left"/>
        <w:tblInd w:w="0" w:type="dxa"/>
        <w:tblLayout w:type="fixed"/>
        <w:tblCellMar>
          <w:top w:w="0" w:type="dxa"/>
          <w:left w:w="0" w:type="dxa"/>
          <w:bottom w:w="0" w:type="dxa"/>
          <w:right w:w="0" w:type="dxa"/>
        </w:tblCellMar>
      </w:tblPr>
      <w:tblGrid>
        <w:gridCol w:w="946"/>
        <w:gridCol w:w="109"/>
        <w:gridCol w:w="931"/>
        <w:gridCol w:w="109"/>
        <w:gridCol w:w="781"/>
        <w:gridCol w:w="109"/>
        <w:gridCol w:w="1411"/>
      </w:tblGrid>
      <w:tr>
        <w:trPr/>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00710" cy="29210"/>
                      <wp:effectExtent l="0" t="0" r="0" b="0"/>
                      <wp:wrapNone/>
                      <wp:docPr id="32" name="Frame32"/>
                      <a:graphic xmlns:a="http://schemas.openxmlformats.org/drawingml/2006/main">
                        <a:graphicData uri="http://schemas.microsoft.com/office/word/2010/wordprocessingShape">
                          <wps:wsp>
                            <wps:cNvSpPr txBox="1"/>
                            <wps:spPr>
                              <a:xfrm>
                                <a:off x="0" y="0"/>
                                <a:ext cx="600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29210"/>
                      <wp:effectExtent l="0" t="0" r="0" b="0"/>
                      <wp:wrapNone/>
                      <wp:docPr id="33" name="Frame33"/>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1185" cy="29210"/>
                      <wp:effectExtent l="0" t="0" r="0" b="0"/>
                      <wp:wrapNone/>
                      <wp:docPr id="34" name="Frame34"/>
                      <a:graphic xmlns:a="http://schemas.openxmlformats.org/drawingml/2006/main">
                        <a:graphicData uri="http://schemas.microsoft.com/office/word/2010/wordprocessingShape">
                          <wps:wsp>
                            <wps:cNvSpPr txBox="1"/>
                            <wps:spPr>
                              <a:xfrm>
                                <a:off x="0" y="0"/>
                                <a:ext cx="591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29210"/>
                      <wp:effectExtent l="0" t="0" r="0" b="0"/>
                      <wp:wrapNone/>
                      <wp:docPr id="35" name="Frame35"/>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495935" cy="29210"/>
                      <wp:effectExtent l="0" t="0" r="0" b="0"/>
                      <wp:wrapNone/>
                      <wp:docPr id="36" name="Frame36"/>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9215" cy="29210"/>
                      <wp:effectExtent l="0" t="0" r="0" b="0"/>
                      <wp:wrapNone/>
                      <wp:docPr id="37" name="Frame37"/>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895985" cy="29210"/>
                      <wp:effectExtent l="0" t="0" r="0" b="0"/>
                      <wp:wrapNone/>
                      <wp:docPr id="38" name="Frame38"/>
                      <a:graphic xmlns:a="http://schemas.openxmlformats.org/drawingml/2006/main">
                        <a:graphicData uri="http://schemas.microsoft.com/office/word/2010/wordprocessingShape">
                          <wps:wsp>
                            <wps:cNvSpPr txBox="1"/>
                            <wps:spPr>
                              <a:xfrm>
                                <a:off x="0" y="0"/>
                                <a:ext cx="895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46"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t>
            </w:r>
          </w:p>
        </w:tc>
        <w:tc>
          <w:tcPr>
            <w:tcW w:w="109"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931"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Against</w:t>
            </w:r>
          </w:p>
        </w:tc>
        <w:tc>
          <w:tcPr>
            <w:tcW w:w="109"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781"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Abstain</w:t>
            </w:r>
          </w:p>
        </w:tc>
        <w:tc>
          <w:tcPr>
            <w:tcW w:w="109"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1411" w:type="dxa"/>
            <w:tcBorders>
              <w:bottom w:val="single" w:sz="8"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Broker Non-Vote</w:t>
            </w:r>
          </w:p>
        </w:tc>
      </w:tr>
      <w:tr>
        <w:trPr/>
        <w:tc>
          <w:tcPr>
            <w:tcW w:w="9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7,934,725</w:t>
            </w:r>
          </w:p>
        </w:tc>
        <w:tc>
          <w:tcPr>
            <w:tcW w:w="109"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1,138,027</w:t>
            </w:r>
          </w:p>
        </w:tc>
        <w:tc>
          <w:tcPr>
            <w:tcW w:w="109"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204,543</w:t>
            </w:r>
          </w:p>
        </w:tc>
        <w:tc>
          <w:tcPr>
            <w:tcW w:w="109" w:type="dxa"/>
            <w:tcBorders/>
            <w:vAlign w:val="center"/>
          </w:tcPr>
          <w:p>
            <w:pPr>
              <w:pStyle w:val="TableContents"/>
              <w:bidi w:val="0"/>
              <w:spacing w:before="0" w:after="0"/>
              <w:ind w:left="0" w:right="0" w:hanging="0"/>
              <w:jc w:val="center"/>
              <w:rPr/>
            </w:pPr>
            <w:r>
              <w:rPr/>
              <w:t>​</w:t>
            </w:r>
          </w:p>
        </w:tc>
        <w:tc>
          <w:tcPr>
            <w:tcW w:w="14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2,682,651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tbl>
      <w:tblPr>
        <w:tblW w:w="3947" w:type="dxa"/>
        <w:jc w:val="left"/>
        <w:tblInd w:w="0" w:type="dxa"/>
        <w:tblLayout w:type="fixed"/>
        <w:tblCellMar>
          <w:top w:w="0" w:type="dxa"/>
          <w:left w:w="0" w:type="dxa"/>
          <w:bottom w:w="0" w:type="dxa"/>
          <w:right w:w="0" w:type="dxa"/>
        </w:tblCellMar>
      </w:tblPr>
      <w:tblGrid>
        <w:gridCol w:w="916"/>
        <w:gridCol w:w="3031"/>
      </w:tblGrid>
      <w:tr>
        <w:trPr/>
        <w:tc>
          <w:tcPr>
            <w:tcW w:w="916"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Item 9.01</w:t>
            </w:r>
          </w:p>
        </w:tc>
        <w:tc>
          <w:tcPr>
            <w:tcW w:w="3031" w:type="dxa"/>
            <w:tcBorders/>
            <w:vAlign w:val="center"/>
          </w:tcPr>
          <w:p>
            <w:pPr>
              <w:pStyle w:val="TableContents"/>
              <w:bidi w:val="0"/>
              <w:spacing w:before="0" w:after="0"/>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(d)Exhibits.</w:t>
      </w:r>
    </w:p>
    <w:p>
      <w:pPr>
        <w:pStyle w:val="TextBody"/>
        <w:bidi w:val="0"/>
        <w:spacing w:before="0" w:after="0"/>
        <w:ind w:left="0" w:right="0" w:hanging="0"/>
        <w:jc w:val="both"/>
        <w:rPr/>
      </w:pPr>
      <w:r>
        <w:rPr/>
        <w:t>​</w:t>
      </w:r>
    </w:p>
    <w:tbl>
      <w:tblPr>
        <w:tblW w:w="8683" w:type="dxa"/>
        <w:jc w:val="left"/>
        <w:tblInd w:w="0" w:type="dxa"/>
        <w:tblLayout w:type="fixed"/>
        <w:tblCellMar>
          <w:top w:w="0" w:type="dxa"/>
          <w:left w:w="0" w:type="dxa"/>
          <w:bottom w:w="0" w:type="dxa"/>
          <w:right w:w="0" w:type="dxa"/>
        </w:tblCellMar>
      </w:tblPr>
      <w:tblGrid>
        <w:gridCol w:w="725"/>
        <w:gridCol w:w="221"/>
        <w:gridCol w:w="146"/>
        <w:gridCol w:w="7591"/>
      </w:tblGrid>
      <w:tr>
        <w:trPr/>
        <w:tc>
          <w:tcPr>
            <w:tcW w:w="725" w:type="dxa"/>
            <w:tcBorders/>
            <w:vAlign w:val="center"/>
          </w:tcPr>
          <w:p>
            <w:pPr>
              <w:pStyle w:val="TableContents"/>
              <w:bidi w:val="0"/>
              <w:spacing w:before="0" w:after="283"/>
              <w:ind w:left="0" w:right="0" w:hanging="0"/>
              <w:jc w:val="left"/>
              <w:rPr>
                <w:sz w:val="4"/>
                <w:szCs w:val="4"/>
              </w:rPr>
            </w:pPr>
            <w:r>
              <w:rPr>
                <w:sz w:val="4"/>
                <w:szCs w:val="4"/>
              </w:rPr>
            </w:r>
          </w:p>
        </w:tc>
        <w:tc>
          <w:tcPr>
            <w:tcW w:w="2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92710" cy="29210"/>
                      <wp:effectExtent l="0" t="0" r="0" b="0"/>
                      <wp:wrapNone/>
                      <wp:docPr id="39" name="Frame39"/>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7591" w:type="dxa"/>
            <w:tcBorders/>
            <w:vAlign w:val="center"/>
          </w:tcPr>
          <w:p>
            <w:pPr>
              <w:pStyle w:val="TableContents"/>
              <w:bidi w:val="0"/>
              <w:spacing w:before="0" w:after="283"/>
              <w:ind w:left="0" w:right="0" w:hanging="0"/>
              <w:jc w:val="left"/>
              <w:rPr>
                <w:sz w:val="4"/>
                <w:szCs w:val="4"/>
              </w:rPr>
            </w:pPr>
            <w:r>
              <w:rPr>
                <w:sz w:val="4"/>
                <w:szCs w:val="4"/>
              </w:rPr>
            </w:r>
          </w:p>
        </w:tc>
      </w:tr>
      <w:tr>
        <w:trPr/>
        <w:tc>
          <w:tcPr>
            <w:tcW w:w="946" w:type="dxa"/>
            <w:gridSpan w:val="2"/>
            <w:tcBorders>
              <w:bottom w:val="single" w:sz="8"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Exhibit No.</w:t>
            </w:r>
          </w:p>
        </w:tc>
        <w:tc>
          <w:tcPr>
            <w:tcW w:w="146" w:type="dxa"/>
            <w:tcBorders>
              <w:bottom w:val="single" w:sz="8" w:space="0" w:color="000000"/>
            </w:tcBorders>
            <w:tcMar>
              <w:bottom w:w="28" w:type="dxa"/>
            </w:tcMar>
            <w:vAlign w:val="center"/>
          </w:tcPr>
          <w:p>
            <w:pPr>
              <w:pStyle w:val="TableContents"/>
              <w:bidi w:val="0"/>
              <w:spacing w:lineRule="auto" w:line="328" w:before="0" w:after="0"/>
              <w:ind w:left="0" w:right="0" w:hanging="0"/>
              <w:jc w:val="center"/>
              <w:rPr/>
            </w:pPr>
            <w:r>
              <w:rPr/>
              <w:t> </w:t>
            </w:r>
          </w:p>
        </w:tc>
        <w:tc>
          <w:tcPr>
            <w:tcW w:w="7591" w:type="dxa"/>
            <w:tcBorders>
              <w:bottom w:val="single" w:sz="8"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b/>
                <w:sz w:val="16"/>
              </w:rPr>
            </w:pPr>
            <w:r>
              <w:rPr>
                <w:rFonts w:ascii="Times New Roman;Times;serif" w:hAnsi="Times New Roman;Times;serif"/>
                <w:b/>
                <w:sz w:val="16"/>
              </w:rPr>
              <w:t>Document</w:t>
            </w:r>
          </w:p>
        </w:tc>
      </w:tr>
      <w:tr>
        <w:trPr/>
        <w:tc>
          <w:tcPr>
            <w:tcW w:w="725" w:type="dxa"/>
            <w:tcBorders/>
            <w:vAlign w:val="center"/>
          </w:tcPr>
          <w:p>
            <w:pPr>
              <w:pStyle w:val="TableContents"/>
              <w:bidi w:val="0"/>
              <w:spacing w:lineRule="auto" w:line="328" w:before="0" w:after="0"/>
              <w:ind w:left="0" w:right="0" w:hanging="0"/>
              <w:jc w:val="left"/>
              <w:rPr/>
            </w:pPr>
            <w:r>
              <w:rPr/>
              <w:t> </w:t>
            </w:r>
          </w:p>
        </w:tc>
        <w:tc>
          <w:tcPr>
            <w:tcW w:w="221" w:type="dxa"/>
            <w:tcBorders/>
            <w:vAlign w:val="center"/>
          </w:tcPr>
          <w:p>
            <w:pPr>
              <w:pStyle w:val="TableContents"/>
              <w:bidi w:val="0"/>
              <w:spacing w:lineRule="auto" w:line="328" w:before="0" w:after="0"/>
              <w:ind w:left="0" w:right="0" w:hanging="0"/>
              <w:jc w:val="left"/>
              <w:rPr/>
            </w:pPr>
            <w:r>
              <w:rPr/>
              <w:t> </w:t>
            </w:r>
          </w:p>
        </w:tc>
        <w:tc>
          <w:tcPr>
            <w:tcW w:w="146" w:type="dxa"/>
            <w:tcBorders/>
            <w:vAlign w:val="center"/>
          </w:tcPr>
          <w:p>
            <w:pPr>
              <w:pStyle w:val="TableContents"/>
              <w:bidi w:val="0"/>
              <w:spacing w:lineRule="auto" w:line="328" w:before="0" w:after="0"/>
              <w:ind w:left="0" w:right="0" w:hanging="0"/>
              <w:jc w:val="left"/>
              <w:rPr/>
            </w:pPr>
            <w:r>
              <w:rPr/>
              <w:t> </w:t>
            </w:r>
          </w:p>
        </w:tc>
        <w:tc>
          <w:tcPr>
            <w:tcW w:w="7591" w:type="dxa"/>
            <w:tcBorders/>
            <w:vAlign w:val="center"/>
          </w:tcPr>
          <w:p>
            <w:pPr>
              <w:pStyle w:val="TableContents"/>
              <w:bidi w:val="0"/>
              <w:spacing w:lineRule="auto" w:line="328" w:before="0" w:after="0"/>
              <w:ind w:left="0" w:right="0" w:hanging="0"/>
              <w:jc w:val="left"/>
              <w:rPr/>
            </w:pPr>
            <w:r>
              <w:rPr/>
              <w:t> </w:t>
            </w:r>
          </w:p>
        </w:tc>
      </w:tr>
      <w:tr>
        <w:trPr/>
        <w:tc>
          <w:tcPr>
            <w:tcW w:w="725"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221" w:type="dxa"/>
            <w:tcBorders/>
            <w:vAlign w:val="center"/>
          </w:tcPr>
          <w:p>
            <w:pPr>
              <w:pStyle w:val="TableContents"/>
              <w:bidi w:val="0"/>
              <w:spacing w:lineRule="auto" w:line="328" w:before="0" w:after="0"/>
              <w:ind w:left="0" w:right="0" w:hanging="0"/>
              <w:jc w:val="center"/>
              <w:rPr/>
            </w:pPr>
            <w:r>
              <w:rPr/>
              <w:t> </w:t>
            </w:r>
          </w:p>
        </w:tc>
        <w:tc>
          <w:tcPr>
            <w:tcW w:w="146" w:type="dxa"/>
            <w:tcBorders/>
            <w:vAlign w:val="center"/>
          </w:tcPr>
          <w:p>
            <w:pPr>
              <w:pStyle w:val="TableContents"/>
              <w:bidi w:val="0"/>
              <w:spacing w:lineRule="auto" w:line="328" w:before="0" w:after="0"/>
              <w:ind w:left="0" w:right="0" w:hanging="0"/>
              <w:jc w:val="left"/>
              <w:rPr/>
            </w:pPr>
            <w:r>
              <w:rPr/>
              <w:t> </w:t>
            </w:r>
          </w:p>
        </w:tc>
        <w:tc>
          <w:tcPr>
            <w:tcW w:w="7591" w:type="dxa"/>
            <w:tcBorders/>
            <w:vAlign w:val="center"/>
          </w:tcPr>
          <w:p>
            <w:pPr>
              <w:pStyle w:val="TableContents"/>
              <w:bidi w:val="0"/>
              <w:spacing w:before="0" w:after="0"/>
              <w:ind w:left="0" w:right="0" w:hanging="0"/>
              <w:jc w:val="left"/>
              <w:rPr/>
            </w:pPr>
            <w:hyperlink w:anchor="wldn-20260617xex10d1.htm">
              <w:r>
                <w:rPr>
                  <w:rStyle w:val="InternetLink"/>
                  <w:rFonts w:ascii="Times New Roman;Times;serif" w:hAnsi="Times New Roman;Times;serif"/>
                  <w:b w:val="false"/>
                  <w:i w:val="false"/>
                  <w:caps w:val="false"/>
                  <w:smallCaps w:val="false"/>
                  <w:sz w:val="24"/>
                </w:rPr>
                <w:t>Willdan Group, Inc. Amended and Restated 2008 Performance Incentive Plan.</w:t>
              </w:r>
            </w:hyperlink>
          </w:p>
        </w:tc>
      </w:tr>
      <w:tr>
        <w:trPr/>
        <w:tc>
          <w:tcPr>
            <w:tcW w:w="725"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221" w:type="dxa"/>
            <w:tcBorders/>
            <w:vAlign w:val="center"/>
          </w:tcPr>
          <w:p>
            <w:pPr>
              <w:pStyle w:val="TableContents"/>
              <w:bidi w:val="0"/>
              <w:spacing w:lineRule="auto" w:line="328" w:before="0" w:after="0"/>
              <w:ind w:left="0" w:right="0" w:hanging="0"/>
              <w:jc w:val="center"/>
              <w:rPr/>
            </w:pPr>
            <w:r>
              <w:rPr/>
              <w:t>​</w:t>
            </w:r>
          </w:p>
        </w:tc>
        <w:tc>
          <w:tcPr>
            <w:tcW w:w="146" w:type="dxa"/>
            <w:tcBorders/>
            <w:vAlign w:val="center"/>
          </w:tcPr>
          <w:p>
            <w:pPr>
              <w:pStyle w:val="TableContents"/>
              <w:bidi w:val="0"/>
              <w:spacing w:lineRule="auto" w:line="328" w:before="0" w:after="0"/>
              <w:ind w:left="0" w:right="0" w:hanging="0"/>
              <w:jc w:val="left"/>
              <w:rPr/>
            </w:pPr>
            <w:r>
              <w:rPr/>
              <w:t> </w:t>
            </w:r>
          </w:p>
        </w:tc>
        <w:tc>
          <w:tcPr>
            <w:tcW w:w="7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w:t>
            </w:r>
            <w:r>
              <w:rPr>
                <w:rFonts w:ascii="Times New Roman;Times;serif" w:hAnsi="Times New Roman;Times;serif"/>
                <w:sz w:val="20"/>
                <w:shd w:fill="FFFFFF" w:val="clear"/>
              </w:rPr>
              <w:t>embedded within the inline XBRL document</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ii</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bookmarkStart w:id="33" w:name="_fe6019dd_d9c5_4eb3_8c76_74e000101553"/>
      <w:bookmarkEnd w:id="33"/>
      <w:r>
        <w:rPr>
          <w:rFonts w:ascii="Times New Roman;Times;serif" w:hAnsi="Times New Roman;Times;serif"/>
          <w:sz w:val="20"/>
        </w:rPr>
        <w:t>SIGNATURES</w:t>
      </w:r>
    </w:p>
    <w:p>
      <w:pPr>
        <w:pStyle w:val="TextBody"/>
        <w:bidi w:val="0"/>
        <w:spacing w:before="0" w:after="0"/>
        <w:ind w:left="0" w:right="0" w:hanging="0"/>
        <w:jc w:val="center"/>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 </w:t>
      </w:r>
    </w:p>
    <w:tbl>
      <w:tblPr>
        <w:tblW w:w="6588" w:type="dxa"/>
        <w:jc w:val="left"/>
        <w:tblInd w:w="0" w:type="dxa"/>
        <w:tblLayout w:type="fixed"/>
        <w:tblCellMar>
          <w:top w:w="0" w:type="dxa"/>
          <w:left w:w="0" w:type="dxa"/>
          <w:bottom w:w="0" w:type="dxa"/>
          <w:right w:w="0" w:type="dxa"/>
        </w:tblCellMar>
      </w:tblPr>
      <w:tblGrid>
        <w:gridCol w:w="1741"/>
        <w:gridCol w:w="406"/>
        <w:gridCol w:w="444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8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WILLDAN GROUP, INC.</w:t>
            </w:r>
          </w:p>
        </w:tc>
      </w:tr>
      <w:tr>
        <w:trPr/>
        <w:tc>
          <w:tcPr>
            <w:tcW w:w="1741" w:type="dxa"/>
            <w:tcBorders/>
            <w:vAlign w:val="center"/>
          </w:tcPr>
          <w:p>
            <w:pPr>
              <w:pStyle w:val="TableContents"/>
              <w:pBdr/>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441"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18,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w:t>
            </w:r>
            <w:r>
              <w:rPr>
                <w:rFonts w:ascii="Times New Roman;Times;serif" w:hAnsi="Times New Roman;Times;serif"/>
                <w:sz w:val="20"/>
              </w:rPr>
              <w:t xml:space="preserve"> </w:t>
            </w:r>
            <w:r>
              <w:rPr>
                <w:rFonts w:ascii="Times New Roman;Times;serif" w:hAnsi="Times New Roman;Times;serif"/>
                <w:i/>
                <w:sz w:val="20"/>
              </w:rPr>
              <w:t>Creighton K. Early</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Creighton K. Early</w:t>
            </w:r>
          </w:p>
        </w:tc>
      </w:tr>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Chief Financial Officer and Executive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iii</w:t>
      </w:r>
    </w:p>
    <w:p>
      <w:pPr>
        <w:pStyle w:val="TextBody"/>
        <w:bidi w:val="0"/>
        <w:spacing w:lineRule="auto" w:line="285" w:before="0" w:after="0"/>
        <w:ind w:left="0" w:right="0" w:hanging="0"/>
        <w:jc w:val="right"/>
        <w:rPr>
          <w:rFonts w:ascii="Calibri Light" w:hAnsi="Calibri Light"/>
          <w:b/>
          <w:sz w:val="20"/>
        </w:rPr>
      </w:pPr>
      <w:bookmarkStart w:id="34" w:name="wldn-20260617xex10d1.htm"/>
      <w:bookmarkStart w:id="35" w:name="kswldn20260617xex10d1"/>
      <w:bookmarkEnd w:id="34"/>
      <w:bookmarkEnd w:id="35"/>
      <w:r>
        <w:rPr>
          <w:rFonts w:ascii="Calibri Light" w:hAnsi="Calibri Light"/>
          <w:b/>
          <w:sz w:val="20"/>
        </w:rPr>
        <w:t>Exhibit 10.1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Calibri Light" w:hAnsi="Calibri Light"/>
          <w:b/>
          <w:sz w:val="20"/>
        </w:rPr>
      </w:pPr>
      <w:bookmarkStart w:id="36" w:name="APPENDIXA_745796"/>
      <w:bookmarkEnd w:id="36"/>
      <w:r>
        <w:rPr>
          <w:rFonts w:ascii="Calibri Light" w:hAnsi="Calibri Light"/>
          <w:b/>
          <w:sz w:val="20"/>
        </w:rPr>
        <w:t>WILLDAN GROUP, INC.</w:t>
      </w:r>
    </w:p>
    <w:p>
      <w:pPr>
        <w:pStyle w:val="TextBody"/>
        <w:bidi w:val="0"/>
        <w:spacing w:lineRule="auto" w:line="285" w:before="0" w:after="0"/>
        <w:ind w:left="0" w:right="0" w:hanging="0"/>
        <w:jc w:val="center"/>
        <w:rPr>
          <w:rFonts w:ascii="Calibri Light" w:hAnsi="Calibri Light"/>
          <w:b/>
          <w:sz w:val="20"/>
        </w:rPr>
      </w:pPr>
      <w:r>
        <w:rPr>
          <w:rFonts w:ascii="Calibri Light" w:hAnsi="Calibri Light"/>
          <w:b/>
          <w:sz w:val="20"/>
        </w:rPr>
        <w:t>AMENDED AND RESTATED 2008 PERFORMANCE INCENTIVE PLAN</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Calibri Light" w:hAnsi="Calibri Light"/>
          <w:b/>
          <w:sz w:val="20"/>
        </w:rPr>
      </w:pPr>
      <w:r>
        <w:rPr>
          <w:rFonts w:ascii="Calibri Light" w:hAnsi="Calibri Light"/>
          <w:b/>
          <w:sz w:val="20"/>
        </w:rPr>
        <w:t>1.    PURPOSE OF PLAN</w:t>
      </w:r>
    </w:p>
    <w:p>
      <w:pPr>
        <w:pStyle w:val="TextBody"/>
        <w:bidi w:val="0"/>
        <w:spacing w:lineRule="auto" w:line="285" w:before="0" w:after="24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0"/>
        </w:rPr>
      </w:pPr>
      <w:r>
        <w:rPr>
          <w:rFonts w:ascii="Calibri Light" w:hAnsi="Calibri Light"/>
          <w:sz w:val="20"/>
        </w:rPr>
        <w:t>The purpose of this Willdan Group, Inc. Amended and Restated 2008 Performance Incentive Plan (this “</w:t>
      </w:r>
      <w:r>
        <w:rPr>
          <w:rFonts w:ascii="Calibri Light" w:hAnsi="Calibri Light"/>
          <w:b/>
          <w:sz w:val="20"/>
        </w:rPr>
        <w:t>Plan</w:t>
      </w:r>
      <w:r>
        <w:rPr>
          <w:rFonts w:ascii="Times New Roman;Times;serif" w:hAnsi="Times New Roman;Times;serif"/>
          <w:sz w:val="20"/>
        </w:rPr>
        <w:t>”</w:t>
      </w:r>
      <w:r>
        <w:rPr>
          <w:rFonts w:ascii="Calibri Light" w:hAnsi="Calibri Light"/>
          <w:sz w:val="20"/>
        </w:rPr>
        <w:t>) of Willdan Group, Inc., a Delaware corporation (the “</w:t>
      </w:r>
      <w:r>
        <w:rPr>
          <w:rFonts w:ascii="Calibri Light" w:hAnsi="Calibri Light"/>
          <w:b/>
          <w:sz w:val="20"/>
        </w:rPr>
        <w:t>Corporation</w:t>
      </w:r>
      <w:r>
        <w:rPr>
          <w:rFonts w:ascii="Times New Roman;Times;serif" w:hAnsi="Times New Roman;Times;serif"/>
          <w:sz w:val="20"/>
        </w:rPr>
        <w:t>”</w:t>
      </w:r>
      <w:r>
        <w:rPr>
          <w:rFonts w:ascii="Calibri Light" w:hAnsi="Calibri Light"/>
          <w:sz w:val="20"/>
        </w:rPr>
        <w:t xml:space="preserve">), is to promote the success of the Corporation and to increase stockholder value by providing an additional means through the grant of awards to attract, motivate, retain and reward selected employees and other eligible persons. </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Calibri Light" w:hAnsi="Calibri Light"/>
          <w:b/>
          <w:sz w:val="20"/>
        </w:rPr>
      </w:pPr>
      <w:r>
        <w:rPr>
          <w:rFonts w:ascii="Calibri Light" w:hAnsi="Calibri Light"/>
          <w:b/>
          <w:sz w:val="20"/>
        </w:rPr>
        <w:t>2.    ELIGIBILITY</w:t>
      </w:r>
    </w:p>
    <w:p>
      <w:pPr>
        <w:pStyle w:val="TextBody"/>
        <w:bidi w:val="0"/>
        <w:spacing w:lineRule="auto" w:line="285" w:before="0" w:after="24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0"/>
        </w:rPr>
      </w:pPr>
      <w:r>
        <w:rPr>
          <w:rFonts w:ascii="Calibri Light" w:hAnsi="Calibri Light"/>
          <w:sz w:val="20"/>
        </w:rPr>
        <w:t>The Administrator (as such term is defined in Section 3.1) may grant awards under this Plan only to those persons that the Administrator determines to be Eligible Persons. An “</w:t>
      </w:r>
      <w:r>
        <w:rPr>
          <w:rFonts w:ascii="Calibri Light" w:hAnsi="Calibri Light"/>
          <w:b/>
          <w:sz w:val="20"/>
        </w:rPr>
        <w:t>Eligible Person</w:t>
      </w:r>
      <w:r>
        <w:rPr>
          <w:rFonts w:ascii="Times New Roman;Times;serif" w:hAnsi="Times New Roman;Times;serif"/>
          <w:sz w:val="20"/>
        </w:rPr>
        <w:t xml:space="preserve">” </w:t>
      </w:r>
      <w:r>
        <w:rPr>
          <w:rFonts w:ascii="Calibri Light" w:hAnsi="Calibri Light"/>
          <w:sz w:val="20"/>
        </w:rPr>
        <w:t>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Calibri Light" w:hAnsi="Calibri Light"/>
          <w:b/>
          <w:sz w:val="20"/>
        </w:rPr>
        <w:t>Securities Act</w:t>
      </w:r>
      <w:r>
        <w:rPr>
          <w:rFonts w:ascii="Times New Roman;Times;serif" w:hAnsi="Times New Roman;Times;serif"/>
          <w:sz w:val="20"/>
        </w:rPr>
        <w:t>”</w:t>
      </w:r>
      <w:r>
        <w:rPr>
          <w:rFonts w:ascii="Calibri Light" w:hAnsi="Calibri Light"/>
          <w:sz w:val="20"/>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Calibri Light" w:hAnsi="Calibri Light"/>
          <w:b/>
          <w:sz w:val="20"/>
        </w:rPr>
        <w:t>Subsidiary</w:t>
      </w:r>
      <w:r>
        <w:rPr>
          <w:rFonts w:ascii="Times New Roman;Times;serif" w:hAnsi="Times New Roman;Times;serif"/>
          <w:sz w:val="20"/>
        </w:rPr>
        <w:t xml:space="preserve">” </w:t>
      </w:r>
      <w:r>
        <w:rPr>
          <w:rFonts w:ascii="Calibri Light" w:hAnsi="Calibri Light"/>
          <w:sz w:val="20"/>
        </w:rPr>
        <w:t>means any corporation or other entity a majority of whose outstanding voting stock or voting power is beneficially owned directly or indirectly by the Corporation; and “</w:t>
      </w:r>
      <w:r>
        <w:rPr>
          <w:rFonts w:ascii="Calibri Light" w:hAnsi="Calibri Light"/>
          <w:b/>
          <w:sz w:val="20"/>
        </w:rPr>
        <w:t>Board</w:t>
      </w:r>
      <w:r>
        <w:rPr>
          <w:rFonts w:ascii="Times New Roman;Times;serif" w:hAnsi="Times New Roman;Times;serif"/>
          <w:sz w:val="20"/>
        </w:rPr>
        <w:t xml:space="preserve">” </w:t>
      </w:r>
      <w:r>
        <w:rPr>
          <w:rFonts w:ascii="Calibri Light" w:hAnsi="Calibri Light"/>
          <w:sz w:val="20"/>
        </w:rPr>
        <w:t>means the Board of Directors of the Corporation.</w:t>
      </w:r>
    </w:p>
    <w:p>
      <w:pPr>
        <w:pStyle w:val="TextBody"/>
        <w:bidi w:val="0"/>
        <w:spacing w:lineRule="auto" w:line="285" w:before="0" w:after="240"/>
        <w:ind w:left="0" w:right="0" w:firstLine="720"/>
        <w:jc w:val="left"/>
        <w:rPr/>
      </w:pPr>
      <w:r>
        <w:rPr/>
        <w:t>​</w:t>
      </w:r>
    </w:p>
    <w:p>
      <w:pPr>
        <w:pStyle w:val="TextBody"/>
        <w:bidi w:val="0"/>
        <w:spacing w:lineRule="auto" w:line="285" w:before="0" w:after="0"/>
        <w:ind w:left="0" w:right="0" w:hanging="0"/>
        <w:jc w:val="left"/>
        <w:rPr>
          <w:rFonts w:ascii="Calibri Light" w:hAnsi="Calibri Light"/>
          <w:b/>
          <w:sz w:val="20"/>
        </w:rPr>
      </w:pPr>
      <w:r>
        <w:rPr>
          <w:rFonts w:ascii="Calibri Light" w:hAnsi="Calibri Light"/>
          <w:b/>
          <w:sz w:val="20"/>
        </w:rPr>
        <w:t>3.    PLAN ADMINISTRATION</w:t>
      </w:r>
    </w:p>
    <w:p>
      <w:pPr>
        <w:pStyle w:val="TextBody"/>
        <w:pBdr/>
        <w:bidi w:val="0"/>
        <w:spacing w:lineRule="auto" w:line="285" w:before="0" w:after="240"/>
        <w:ind w:left="720" w:right="0" w:hanging="72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3.1         </w:t>
      </w:r>
      <w:r>
        <w:rPr>
          <w:rFonts w:ascii="Calibri Light" w:hAnsi="Calibri Light"/>
          <w:b/>
          <w:i/>
          <w:sz w:val="20"/>
        </w:rPr>
        <w:t>The Administrator</w:t>
      </w:r>
      <w:r>
        <w:rPr>
          <w:rFonts w:ascii="Calibri Light" w:hAnsi="Calibri Light"/>
          <w:sz w:val="20"/>
        </w:rPr>
        <w:t>. This Plan shall be administered by and all awards under this Plan shall be authorized by the Administrator. The “</w:t>
      </w:r>
      <w:r>
        <w:rPr>
          <w:rFonts w:ascii="Calibri Light" w:hAnsi="Calibri Light"/>
          <w:b/>
          <w:sz w:val="20"/>
        </w:rPr>
        <w:t>Administrator</w:t>
      </w:r>
      <w:r>
        <w:rPr>
          <w:rFonts w:ascii="Times New Roman;Times;serif" w:hAnsi="Times New Roman;Times;serif"/>
          <w:sz w:val="20"/>
        </w:rPr>
        <w:t xml:space="preserve">” </w:t>
      </w:r>
      <w:r>
        <w:rPr>
          <w:rFonts w:ascii="Calibri Light" w:hAnsi="Calibri Light"/>
          <w:sz w:val="20"/>
        </w:rPr>
        <w:t>means the Board or one or more committees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Section 157(c) of the Delaware General Corporation Law and any other applicable law, to one or more officers of the Corporation, its powers under this Plan (a) to designate the officers and employees of the Corporation and its Subsidiaries who will receive grants of awards under this Plan, and (b) to determine the number of shares subject to, and the other terms and conditions of, such awards. The Board may delegate different levels of authority to different committees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p>
      <w:pPr>
        <w:pStyle w:val="TextBody"/>
        <w:bidi w:val="0"/>
        <w:spacing w:lineRule="auto" w:line="285" w:before="0" w:after="240"/>
        <w:ind w:left="144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sz w:val="20"/>
        </w:rPr>
        <w:t>With respect to awards intended to satisfy the requirements for performance-based compensation under Section 162(m) of the Internal Revenue Code of 1986, as amended (the “</w:t>
      </w:r>
      <w:r>
        <w:rPr>
          <w:rFonts w:ascii="Calibri Light" w:hAnsi="Calibri Light"/>
          <w:b/>
          <w:sz w:val="20"/>
        </w:rPr>
        <w:t>Code</w:t>
      </w:r>
      <w:r>
        <w:rPr>
          <w:rFonts w:ascii="Times New Roman;Times;serif" w:hAnsi="Times New Roman;Times;serif"/>
          <w:sz w:val="20"/>
        </w:rPr>
        <w:t>”</w:t>
      </w:r>
      <w:r>
        <w:rPr>
          <w:rFonts w:ascii="Calibri Light" w:hAnsi="Calibri Light"/>
          <w:sz w:val="20"/>
        </w:rPr>
        <w:t xml:space="preserve">), this Plan shall be administered by a committee consisting solely of two or more outside directors (as this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sz w:val="20"/>
        </w:rPr>
        <w:t>requirement is applied under Section 162(m) of the Code); provided, however, that the failure to satisfy such requirement shall not affect the validity of the action of any committee otherwise duly authorized and acting in the matter. Award grants, and transactions in or involving awards, intended to be exempt under Rule 16b-3 under the Securities Exchange Act of 1934, as amended (the “</w:t>
      </w:r>
      <w:r>
        <w:rPr>
          <w:rFonts w:ascii="Calibri Light" w:hAnsi="Calibri Light"/>
          <w:b/>
          <w:sz w:val="20"/>
        </w:rPr>
        <w:t>Exchange Act</w:t>
      </w:r>
      <w:r>
        <w:rPr>
          <w:rFonts w:ascii="Times New Roman;Times;serif" w:hAnsi="Times New Roman;Times;serif"/>
          <w:sz w:val="20"/>
        </w:rPr>
        <w:t>”</w:t>
      </w:r>
      <w:r>
        <w:rPr>
          <w:rFonts w:ascii="Calibri Light" w:hAnsi="Calibri Light"/>
          <w:sz w:val="20"/>
        </w:rPr>
        <w:t>), must be duly and timely authorized by the Board or a committee consisting solely of two or more non-employee directors (as this requirement is applied under Rule 16b-3 promulgated under the Exchange Act). To the extent required by any applicable listing agency, this Plan shall be administered by a committee composed entirely of independent directors (within the meaning of the applicable listing agency).</w:t>
      </w:r>
    </w:p>
    <w:p>
      <w:pPr>
        <w:pStyle w:val="TextBody"/>
        <w:bidi w:val="0"/>
        <w:spacing w:lineRule="auto" w:line="285" w:before="0" w:after="240"/>
        <w:ind w:left="144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3.2         </w:t>
      </w:r>
      <w:r>
        <w:rPr>
          <w:rFonts w:ascii="Calibri Light" w:hAnsi="Calibri Light"/>
          <w:b/>
          <w:i/>
          <w:sz w:val="20"/>
        </w:rPr>
        <w:t>Powers of the Administrator</w:t>
      </w:r>
      <w:r>
        <w:rPr>
          <w:rFonts w:ascii="Calibri Light" w:hAnsi="Calibri Light"/>
          <w:sz w:val="20"/>
        </w:rPr>
        <w:t>. Subject to the express provisions of this Plan, including, without limitation, Sections 3.6 and 3.7, the Administrator is authorized and empowered to do all things necessary or desirable in connection with the authorization of awards and the administration of this Plan (in the case of a committee or delegation to one or more officers, within the authority delegated to that committee or person(s)), including, without limitation, the authority to:</w:t>
      </w:r>
    </w:p>
    <w:p>
      <w:pPr>
        <w:pStyle w:val="TextBody"/>
        <w:bidi w:val="0"/>
        <w:spacing w:lineRule="auto" w:line="285" w:before="0" w:after="240"/>
        <w:ind w:left="0" w:right="0" w:firstLine="144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(a)</w:t>
      </w:r>
      <w:r>
        <w:rPr>
          <w:rFonts w:ascii="Times New Roman;Times;serif" w:hAnsi="Times New Roman;Times;serif"/>
          <w:sz w:val="20"/>
        </w:rPr>
        <w:t>          </w:t>
      </w:r>
      <w:r>
        <w:rPr>
          <w:rFonts w:ascii="Calibri Light" w:hAnsi="Calibri Light"/>
          <w:sz w:val="20"/>
        </w:rPr>
        <w:t>determine eligibility and, from among those persons determined to be eligible, the particular Eligible Persons who will receive an award under this Plan;</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(b)</w:t>
      </w:r>
      <w:r>
        <w:rPr>
          <w:rFonts w:ascii="Times New Roman;Times;serif" w:hAnsi="Times New Roman;Times;serif"/>
          <w:sz w:val="20"/>
        </w:rPr>
        <w:t>          </w:t>
      </w:r>
      <w:r>
        <w:rPr>
          <w:rFonts w:ascii="Calibri Light" w:hAnsi="Calibri Light"/>
          <w:sz w:val="20"/>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establish any applicable performance targets, and establish the events of termination or reversion of such awards;</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(c)</w:t>
      </w:r>
      <w:r>
        <w:rPr>
          <w:rFonts w:ascii="Times New Roman;Times;serif" w:hAnsi="Times New Roman;Times;serif"/>
          <w:sz w:val="20"/>
        </w:rPr>
        <w:t>          </w:t>
      </w:r>
      <w:r>
        <w:rPr>
          <w:rFonts w:ascii="Calibri Light" w:hAnsi="Calibri Light"/>
          <w:sz w:val="20"/>
        </w:rPr>
        <w:t>approve the forms of award agreements (which need not be identical either as to type of award or among participants);</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(d)</w:t>
      </w:r>
      <w:r>
        <w:rPr>
          <w:rFonts w:ascii="Times New Roman;Times;serif" w:hAnsi="Times New Roman;Times;serif"/>
          <w:sz w:val="20"/>
        </w:rPr>
        <w:t>          </w:t>
      </w:r>
      <w:r>
        <w:rPr>
          <w:rFonts w:ascii="Calibri Light" w:hAnsi="Calibri Light"/>
          <w:sz w:val="20"/>
        </w:rPr>
        <w:t>construe and interpret this Plan and any agreements defining the rights and obligations of the Corporation, its Subsidiaries, and participants under this Plan, further define the terms used in this Plan, and prescribe, amend and rescind rules and regulations relating to the administration of this Plan or the awards granted under this Plan;</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(e)</w:t>
      </w:r>
      <w:r>
        <w:rPr>
          <w:rFonts w:ascii="Times New Roman;Times;serif" w:hAnsi="Times New Roman;Times;serif"/>
          <w:sz w:val="20"/>
        </w:rPr>
        <w:t>          </w:t>
      </w:r>
      <w:r>
        <w:rPr>
          <w:rFonts w:ascii="Calibri Light" w:hAnsi="Calibri Light"/>
          <w:sz w:val="20"/>
        </w:rPr>
        <w:t>cancel, modify, or waive the Corporation’s rights with respect to, or modify, discontinue, suspend, or terminate any or all outstanding awards, subject to any required consent under Section 8.6.5;</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(f)</w:t>
      </w:r>
      <w:r>
        <w:rPr>
          <w:rFonts w:ascii="Times New Roman;Times;serif" w:hAnsi="Times New Roman;Times;serif"/>
          <w:sz w:val="20"/>
        </w:rPr>
        <w:t>          </w:t>
      </w:r>
      <w:r>
        <w:rPr>
          <w:rFonts w:ascii="Calibri Light" w:hAnsi="Calibri Light"/>
          <w:sz w:val="20"/>
        </w:rPr>
        <w:t>accelerate or extend the vesting or exercisability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w:t>
      </w:r>
    </w:p>
    <w:p>
      <w:pPr>
        <w:pStyle w:val="TextBody"/>
        <w:pBdr/>
        <w:bidi w:val="0"/>
        <w:spacing w:lineRule="auto" w:line="285" w:before="0" w:after="0"/>
        <w:ind w:left="1440" w:right="0" w:hanging="720"/>
        <w:jc w:val="left"/>
        <w:rPr/>
      </w:pPr>
      <w:r>
        <w:rPr/>
        <w:t>​</w:t>
      </w:r>
    </w:p>
    <w:p>
      <w:pPr>
        <w:pStyle w:val="TextBody"/>
        <w:pBdr/>
        <w:bidi w:val="0"/>
        <w:spacing w:lineRule="auto" w:line="285" w:before="0" w:after="0"/>
        <w:ind w:left="1440" w:right="0" w:hanging="720"/>
        <w:jc w:val="left"/>
        <w:rPr>
          <w:rFonts w:ascii="Calibri Light" w:hAnsi="Calibri Light"/>
          <w:sz w:val="20"/>
        </w:rPr>
      </w:pPr>
      <w:r>
        <w:rPr>
          <w:rFonts w:ascii="Calibri Light" w:hAnsi="Calibri Light"/>
          <w:sz w:val="20"/>
        </w:rPr>
        <w:t>(g)          adjust the number of shares of Common Stock subject to any award, adjust the price of any or all outstanding awards or otherwise change previously imposed terms and conditions, in such circumstances as the Administrator may deem appropriate, in each case subject to Sections 4 and 8.6 (and subject to the no repricing provision below);</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(h)</w:t>
      </w:r>
      <w:r>
        <w:rPr>
          <w:rFonts w:ascii="Times New Roman;Times;serif" w:hAnsi="Times New Roman;Times;serif"/>
          <w:sz w:val="20"/>
        </w:rPr>
        <w:t>          </w:t>
      </w:r>
      <w:r>
        <w:rPr>
          <w:rFonts w:ascii="Calibri Light" w:hAnsi="Calibri Light"/>
          <w:sz w:val="20"/>
        </w:rPr>
        <w:t>determine the date of grant of an award, which may be a designated date after but not before the date of the Administrator’s action (unless otherwise designated by the Administrator, the date of grant of an award shall be the date upon which the Administrator took the action granting an award);</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(i)</w:t>
      </w:r>
      <w:r>
        <w:rPr>
          <w:rFonts w:ascii="Times New Roman;Times;serif" w:hAnsi="Times New Roman;Times;serif"/>
          <w:sz w:val="20"/>
        </w:rPr>
        <w:t>           </w:t>
      </w:r>
      <w:r>
        <w:rPr>
          <w:rFonts w:ascii="Calibri Light" w:hAnsi="Calibri Light"/>
          <w:sz w:val="20"/>
        </w:rPr>
        <w:t>determine whether, and the extent to which, adjustments are required pursuant to Section 7 hereof and authorize the termination, conversion, substitution or succession of awards upon the occurrence of an event of the type described in Section 7;</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(j)</w:t>
      </w:r>
      <w:r>
        <w:rPr>
          <w:rFonts w:ascii="Times New Roman;Times;serif" w:hAnsi="Times New Roman;Times;serif"/>
          <w:sz w:val="20"/>
        </w:rPr>
        <w:t>           </w:t>
      </w:r>
      <w:r>
        <w:rPr>
          <w:rFonts w:ascii="Calibri Light" w:hAnsi="Calibri Light"/>
          <w:sz w:val="20"/>
        </w:rPr>
        <w:t>acquire or settle (subject to Sections 7 and 8.6) rights under awards in cash, stock of equivalent value, or other consideration (subject to the no repricing provision below); and</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(k)</w:t>
      </w:r>
      <w:r>
        <w:rPr>
          <w:rFonts w:ascii="Times New Roman;Times;serif" w:hAnsi="Times New Roman;Times;serif"/>
          <w:sz w:val="20"/>
        </w:rPr>
        <w:t>          </w:t>
      </w:r>
      <w:r>
        <w:rPr>
          <w:rFonts w:ascii="Calibri Light" w:hAnsi="Calibri Light"/>
          <w:sz w:val="20"/>
        </w:rPr>
        <w:t>determine the fair market value of the Common Stock or awards under this Plan from time to time and/or the manner in which such value will be determined.</w:t>
      </w:r>
    </w:p>
    <w:p>
      <w:pPr>
        <w:pStyle w:val="TextBody"/>
        <w:pBdr/>
        <w:bidi w:val="0"/>
        <w:spacing w:lineRule="auto" w:line="285" w:before="0" w:after="240"/>
        <w:ind w:left="1440" w:right="0" w:hanging="72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Notwithstanding the foregoing and except for an adjustment pursuant to Section 7.1 or a repricing approved by stockholders, in no case may the Administrator (1) amend an outstanding stock option or SAR to reduce the exercise price or base price of the award, (2) cancel, exchange,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pStyle w:val="TextBody"/>
        <w:bidi w:val="0"/>
        <w:spacing w:lineRule="auto" w:line="285" w:before="0" w:after="240"/>
        <w:ind w:left="0" w:right="0" w:firstLine="144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3.3         </w:t>
      </w:r>
      <w:r>
        <w:rPr>
          <w:rFonts w:ascii="Calibri Light" w:hAnsi="Calibri Light"/>
          <w:b/>
          <w:i/>
          <w:sz w:val="20"/>
        </w:rPr>
        <w:t>Binding Determinations</w:t>
      </w:r>
      <w:r>
        <w:rPr>
          <w:rFonts w:ascii="Calibri Light" w:hAnsi="Calibri Light"/>
          <w:sz w:val="20"/>
        </w:rPr>
        <w:t xml:space="preserve">. Any action taken by, or inaction of, the Corporation, any Subsidiary, or the Administrator relating or pursuant to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3.4         </w:t>
      </w:r>
      <w:r>
        <w:rPr>
          <w:rFonts w:ascii="Calibri Light" w:hAnsi="Calibri Light"/>
          <w:b/>
          <w:i/>
          <w:sz w:val="20"/>
        </w:rPr>
        <w:t>Reliance on Experts</w:t>
      </w:r>
      <w:r>
        <w:rPr>
          <w:rFonts w:ascii="Calibri Light" w:hAnsi="Calibri Light"/>
          <w:sz w:val="20"/>
        </w:rPr>
        <w:t>. In making any determination or in taking or not taking any action under this Plan, the Administrator may obtain and may rely upon the advice of experts, including employees and professional advisors to the Corporation. No director, officer or agent of the Corporation or any of its Subsidiaries shall be liable for any such action or determination taken or made or omitted in good faith.</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3.5         </w:t>
      </w:r>
      <w:r>
        <w:rPr>
          <w:rFonts w:ascii="Calibri Light" w:hAnsi="Calibri Light"/>
          <w:b/>
          <w:i/>
          <w:sz w:val="20"/>
        </w:rPr>
        <w:t>Delegation</w:t>
      </w:r>
      <w:r>
        <w:rPr>
          <w:rFonts w:ascii="Calibri Light" w:hAnsi="Calibri Light"/>
          <w:sz w:val="20"/>
        </w:rPr>
        <w:t>. The Administrator may delegate ministerial, non-discretionary functions to individuals who are officers or employees of the Corporation or any of its Subsidiaries or to third parties.</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3.6         </w:t>
      </w:r>
      <w:r>
        <w:rPr>
          <w:rFonts w:ascii="Calibri Light" w:hAnsi="Calibri Light"/>
          <w:b/>
          <w:i/>
          <w:sz w:val="20"/>
        </w:rPr>
        <w:t>Minimum Vesting Requirement</w:t>
      </w:r>
      <w:r>
        <w:rPr>
          <w:rFonts w:ascii="Calibri Light" w:hAnsi="Calibri Light"/>
          <w:sz w:val="20"/>
        </w:rPr>
        <w:t>. Except as provided in the next sentence, all awards granted under this Plan shall be subject to a minimum vesting requirement of one year, and no portion of any such award may vest earlier than the first anniversary of the grant date of the award (the “</w:t>
      </w:r>
      <w:r>
        <w:rPr>
          <w:rFonts w:ascii="Calibri Light" w:hAnsi="Calibri Light"/>
          <w:b/>
          <w:sz w:val="20"/>
        </w:rPr>
        <w:t>Minimum Vesting Requirement</w:t>
      </w:r>
      <w:r>
        <w:rPr>
          <w:rFonts w:ascii="Times New Roman;Times;serif" w:hAnsi="Times New Roman;Times;serif"/>
          <w:sz w:val="20"/>
        </w:rPr>
        <w:t>”</w:t>
      </w:r>
      <w:r>
        <w:rPr>
          <w:rFonts w:ascii="Calibri Light" w:hAnsi="Calibri Light"/>
          <w:sz w:val="20"/>
        </w:rPr>
        <w:t>). The Minimum Vesting Requirement shall not apply to 5% of the total number of shares available under this Plan.</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3.7         </w:t>
      </w:r>
      <w:r>
        <w:rPr>
          <w:rFonts w:ascii="Calibri Light" w:hAnsi="Calibri Light"/>
          <w:b/>
          <w:i/>
          <w:sz w:val="20"/>
        </w:rPr>
        <w:t>Dividends on Unvested Equity Awards</w:t>
      </w:r>
      <w:r>
        <w:rPr>
          <w:rFonts w:ascii="Calibri Light" w:hAnsi="Calibri Light"/>
          <w:sz w:val="20"/>
        </w:rPr>
        <w:t xml:space="preserve">. If the Corporation pays an ordinary cash dividend, the cash dividend shall not be paid on a current basis with respect to any awards that are not vested as of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the record date for the ordinary cash dividend. Nothing in this Section 3.7 shall limit or restrict the Administrator’s ability (1) for shares of Common Stock subject to restricted stock or performance stock awards, to pay the amount of the ordinary cash dividend upon (and subject to) the vesting of such shares of Common Stock subject to these Awards, or (2) for stock unit awards, to credit dividend equivalents with respect to such awards in the form of additional stock units that will be subject to the same vesting terms and conditions as the underlying stock unit awards to which they relate, or (3) to make any adjustment pursuant to Section 7 of this Plan.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Calibri Light" w:hAnsi="Calibri Light"/>
          <w:b/>
          <w:sz w:val="20"/>
        </w:rPr>
      </w:pPr>
      <w:r>
        <w:rPr>
          <w:rFonts w:ascii="Calibri Light" w:hAnsi="Calibri Light"/>
          <w:b/>
          <w:sz w:val="20"/>
        </w:rPr>
        <w:t>4.    SHARES OF COMMON STOCK SUBJECT TO THE PLAN; SHARE LIMITS</w:t>
      </w:r>
    </w:p>
    <w:p>
      <w:pPr>
        <w:pStyle w:val="TextBody"/>
        <w:pBdr/>
        <w:bidi w:val="0"/>
        <w:spacing w:lineRule="auto" w:line="285" w:before="0" w:after="240"/>
        <w:ind w:left="720" w:right="0" w:hanging="72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4.1         </w:t>
      </w:r>
      <w:r>
        <w:rPr>
          <w:rFonts w:ascii="Calibri Light" w:hAnsi="Calibri Light"/>
          <w:b/>
          <w:i/>
          <w:sz w:val="20"/>
        </w:rPr>
        <w:t>Shares Available</w:t>
      </w:r>
      <w:r>
        <w:rPr>
          <w:rFonts w:ascii="Calibri Light" w:hAnsi="Calibri Light"/>
          <w:sz w:val="20"/>
        </w:rPr>
        <w:t>. Subject to the provisions of Section 7.1, the capital stock that may be delivered under this Plan shall be shares of the Corporation’s authorized but unissued Common Stock and any shares of its Common Stock held as treasury shares. For purposes of this Plan, “</w:t>
      </w:r>
      <w:r>
        <w:rPr>
          <w:rFonts w:ascii="Calibri Light" w:hAnsi="Calibri Light"/>
          <w:b/>
          <w:sz w:val="20"/>
        </w:rPr>
        <w:t>Common Stock</w:t>
      </w:r>
      <w:r>
        <w:rPr>
          <w:rFonts w:ascii="Times New Roman;Times;serif" w:hAnsi="Times New Roman;Times;serif"/>
          <w:sz w:val="20"/>
        </w:rPr>
        <w:t xml:space="preserve">” </w:t>
      </w:r>
      <w:r>
        <w:rPr>
          <w:rFonts w:ascii="Calibri Light" w:hAnsi="Calibri Light"/>
          <w:sz w:val="20"/>
        </w:rPr>
        <w:t>shall mean the common stock of the Corporation and such other securities or property as may become the subject of awards under this Plan, or may become subject to such awards, pursuant to an adjustment made under Section 7.1.</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4.2         </w:t>
      </w:r>
      <w:r>
        <w:rPr>
          <w:rFonts w:ascii="Calibri Light" w:hAnsi="Calibri Light"/>
          <w:b/>
          <w:i/>
          <w:sz w:val="20"/>
        </w:rPr>
        <w:t>Share Limits</w:t>
      </w:r>
      <w:r>
        <w:rPr>
          <w:rFonts w:ascii="Calibri Light" w:hAnsi="Calibri Light"/>
          <w:sz w:val="20"/>
        </w:rPr>
        <w:t>. The maximum number of shares of Common Stock that may be delivered pursuant to awards granted to Eligible Persons under this Plan (the “</w:t>
      </w:r>
      <w:r>
        <w:rPr>
          <w:rFonts w:ascii="Calibri Light" w:hAnsi="Calibri Light"/>
          <w:b/>
          <w:sz w:val="20"/>
        </w:rPr>
        <w:t>Share Limit</w:t>
      </w:r>
      <w:r>
        <w:rPr>
          <w:rFonts w:ascii="Times New Roman;Times;serif" w:hAnsi="Times New Roman;Times;serif"/>
          <w:sz w:val="20"/>
        </w:rPr>
        <w:t>”</w:t>
      </w:r>
      <w:r>
        <w:rPr>
          <w:rFonts w:ascii="Calibri Light" w:hAnsi="Calibri Light"/>
          <w:sz w:val="20"/>
        </w:rPr>
        <w:t>) is equal to 6,099,167 shares of Common Stock.</w:t>
      </w:r>
    </w:p>
    <w:p>
      <w:pPr>
        <w:pStyle w:val="TextBody"/>
        <w:pBdr/>
        <w:bidi w:val="0"/>
        <w:spacing w:lineRule="auto" w:line="285" w:before="0" w:after="120"/>
        <w:ind w:left="1440" w:right="0" w:hanging="720"/>
        <w:jc w:val="left"/>
        <w:rPr/>
      </w:pPr>
      <w:r>
        <w:rPr/>
        <w:t>​</w:t>
      </w:r>
    </w:p>
    <w:p>
      <w:pPr>
        <w:pStyle w:val="TextBody"/>
        <w:bidi w:val="0"/>
        <w:spacing w:lineRule="auto" w:line="285" w:before="0" w:after="0"/>
        <w:ind w:left="1440" w:right="0" w:hanging="0"/>
        <w:jc w:val="left"/>
        <w:rPr>
          <w:rFonts w:ascii="Calibri Light" w:hAnsi="Calibri Light"/>
          <w:sz w:val="22"/>
        </w:rPr>
      </w:pPr>
      <w:r>
        <w:rPr>
          <w:rFonts w:ascii="Calibri Light" w:hAnsi="Calibri Light"/>
          <w:sz w:val="22"/>
        </w:rPr>
        <w:t>The following limits also apply with respect to awards granted under this Plan:</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(a)</w:t>
      </w:r>
      <w:r>
        <w:rPr>
          <w:rFonts w:ascii="Times New Roman;Times;serif" w:hAnsi="Times New Roman;Times;serif"/>
          <w:sz w:val="20"/>
        </w:rPr>
        <w:t>          </w:t>
      </w:r>
      <w:r>
        <w:rPr>
          <w:rFonts w:ascii="Calibri Light" w:hAnsi="Calibri Light"/>
          <w:sz w:val="20"/>
        </w:rPr>
        <w:t>The maximum number of shares of Common Stock that may be delivered pursuant to options qualified as incentive stock options granted under this Plan is 6,330,000 shares.</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(b)</w:t>
      </w:r>
      <w:r>
        <w:rPr>
          <w:rFonts w:ascii="Times New Roman;Times;serif" w:hAnsi="Times New Roman;Times;serif"/>
          <w:sz w:val="20"/>
        </w:rPr>
        <w:t>          </w:t>
      </w:r>
      <w:r>
        <w:rPr>
          <w:rFonts w:ascii="Calibri Light" w:hAnsi="Calibri Light"/>
          <w:sz w:val="20"/>
        </w:rPr>
        <w:t>The maximum number of shares of Common Stock subject to those options and stock appreciation rights that are granted during any calendar year to any individual under this Plan is 300,000</w:t>
      </w:r>
      <w:r>
        <w:rPr>
          <w:rFonts w:ascii="Times New Roman;Times;serif" w:hAnsi="Times New Roman;Times;serif"/>
          <w:sz w:val="20"/>
        </w:rPr>
        <w:t xml:space="preserve"> </w:t>
      </w:r>
      <w:r>
        <w:rPr>
          <w:rFonts w:ascii="Calibri Light" w:hAnsi="Calibri Light"/>
          <w:sz w:val="20"/>
        </w:rPr>
        <w:t>shares.</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(c)</w:t>
      </w:r>
      <w:r>
        <w:rPr>
          <w:rFonts w:ascii="Times New Roman;Times;serif" w:hAnsi="Times New Roman;Times;serif"/>
          <w:sz w:val="20"/>
        </w:rPr>
        <w:t>          </w:t>
      </w:r>
      <w:r>
        <w:rPr>
          <w:rFonts w:ascii="Calibri Light" w:hAnsi="Calibri Light"/>
          <w:sz w:val="20"/>
        </w:rPr>
        <w:t>Awards that are granted under this Plan during any one calendar year to any person who, on the grant date of the award, is a non-employee director are subject to the limits of this Section 4.2(c). The maximum number of shares of Common Stock subject to those awards that are granted under this Plan during any one calendar year to an individual who, on the grant date of the award, is a non-employee director is the number of shares that produce a grant date fair value for the award that, when combined with the grant date fair value of any other awards granted under this Plan during that same calendar year to that individual in his or her capacity as a non-employee director, is $200,000; provided that this limit is $400,000 as to (1) a non-employee director who is serving as the Independent Chair of the Board or the Lead Independent Director at the time the applicable grant is made or (2) any new non-employee director for the calendar year in which the non-employee director is first elected or appointed to the Board. For purposes of this Section 4.2(c), a “non-employee director” is an individual who, on the grant date of the award, is a member of the Board who is not then an officer or employee of the Corporation or one of its Subsidiaries. For purposes of this Section 4.2(c), “grant date fair value” means the value of the award as of the date of grant of the award and as determined using the equity award valuation principles applied in the Corporation’s financial reporting. The limits of this Section 4.2(c) do not apply to, and shall be determined without taking into account, any award granted to an individual who, on the grant date of the award, is an officer or employee of the Corporation or one of its Subsidiaries. The limits of this Section 4.2(c) apply on an individual basis and not on an aggregate basis to all non-employee directors as a group.</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144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Each of the foregoing numerical limits is subject to adjustment as contemplated by Section 4.3, Section 7.1, and Section 8.10.</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4.3         </w:t>
      </w:r>
      <w:r>
        <w:rPr>
          <w:rFonts w:ascii="Calibri Light" w:hAnsi="Calibri Light"/>
          <w:b/>
          <w:i/>
          <w:sz w:val="20"/>
        </w:rPr>
        <w:t>Awards Settled in Cash, Reissue of Awards and Shares</w:t>
      </w:r>
      <w:r>
        <w:rPr>
          <w:rFonts w:ascii="Calibri Light" w:hAnsi="Calibri Light"/>
          <w:sz w:val="20"/>
        </w:rPr>
        <w:t>. To the extent that an award granted under this Plan is settled in cash or a form other than shares of Common Stock, the shares that would have been delivered had there been no such cash or other settlement shall not be counted against the shares available for issuance under this Plan. In the event that shares of Common Stock are delivered in respect of a dividend equivalent right granted under this Plan, only the actual number of shares delivered with respect to the award shall be counted against the share limits of this Plan. To the extent that shares of Common Stock are delivered pursuant to the exercise of a stock appreciation right or stock option granted under this Plan, the number of underlying shares as to which the exercise related shall be counted against the applicable share limits under Section 4.2, as opposed to only counting the shares actually issued. (For purposes of clarity, if a stock appreciation right relates to 100,000 shares and is exercised at a time when the payment due to the participant is 15,000 shares, 100,000 shares shall be charged against the applicable share limits under Section 4.2 with respect to such exercise.) Except as provided in the next sentence, shares that are subject to or underlie awards granted under this Plan which expire or for any reason are cancelled or terminated, are forfeited, fail to vest, or for any other reason are not paid or delivered under this Plan shall again be available for subsequent awards under this Plan. Shares that are exchanged by a participant or withheld by the Corporation as full or partial payment in connection with any award under this Plan, as well as any shares exchanged by a participant or withheld by the Corporation or one of its Subsidiaries to satisfy the tax withholding obligations related to any award, shall not be available for subsequent awards under this Plan. Refer to Section 8.10 for application of the foregoing share limits with respect to assumed awards. The Corporation may not increase the Share Limit by repurchasing shares of Common Stock on the market (by using cash received through the exercise of stock options or otherwise.)</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4.4         </w:t>
      </w:r>
      <w:r>
        <w:rPr>
          <w:rFonts w:ascii="Calibri Light" w:hAnsi="Calibri Light"/>
          <w:b/>
          <w:i/>
          <w:sz w:val="20"/>
        </w:rPr>
        <w:t>Reservation of Shares; No Fractional Shares; Minimum Issue</w:t>
      </w:r>
      <w:r>
        <w:rPr>
          <w:rFonts w:ascii="Calibri Light" w:hAnsi="Calibri Light"/>
          <w:sz w:val="20"/>
        </w:rPr>
        <w:t>.</w:t>
      </w:r>
      <w:r>
        <w:rPr>
          <w:rFonts w:ascii="Times New Roman;Times;serif" w:hAnsi="Times New Roman;Times;serif"/>
          <w:sz w:val="20"/>
        </w:rPr>
        <w:t xml:space="preserve"> </w:t>
      </w:r>
      <w:r>
        <w:rPr>
          <w:rFonts w:ascii="Calibri Light" w:hAnsi="Calibri Light"/>
          <w:sz w:val="20"/>
        </w:rPr>
        <w:t>The Corporation shall at all times reserve a number of shares of Common Stock sufficient to cover the Corporation’s obligations and contingent obligations to deliver shares with respect to awards then outstanding under this Plan (exclusive of any dividend equivalent obligations to the extent the Corporation has the right to settle such rights in cash). No fractional shares shall be delivered under this Plan. The Administrator may pay cash in lieu of any fractional shares in settlements of awards under this Plan. No fewer than 100 shares may be purchased on exercise of any award (or, in the case of stock appreciation or purchase rights, no fewer than 100 rights may be exercised at any one time) unless the total number purchased or exercised is the total number at the time available for purchase or exercise under the award.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Calibri Light" w:hAnsi="Calibri Light"/>
          <w:b/>
          <w:sz w:val="20"/>
        </w:rPr>
      </w:pPr>
      <w:r>
        <w:rPr>
          <w:rFonts w:ascii="Calibri Light" w:hAnsi="Calibri Light"/>
          <w:b/>
          <w:sz w:val="20"/>
        </w:rPr>
        <w:t>5.    AWARDS</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5.1         </w:t>
      </w:r>
      <w:r>
        <w:rPr>
          <w:rFonts w:ascii="Calibri Light" w:hAnsi="Calibri Light"/>
          <w:b/>
          <w:i/>
          <w:sz w:val="20"/>
        </w:rPr>
        <w:t>Type and Form of Awards</w:t>
      </w:r>
      <w:r>
        <w:rPr>
          <w:rFonts w:ascii="Calibri Light" w:hAnsi="Calibri Light"/>
          <w:sz w:val="20"/>
        </w:rPr>
        <w:t>. The Administrator shall determine the type or types of award(s) to be made to each selected Eligible Person. 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 (subject, in each case, to the no repricing provisions of Section 3.2):</w:t>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5.1.1         </w:t>
      </w:r>
      <w:r>
        <w:rPr>
          <w:rFonts w:ascii="Calibri Light" w:hAnsi="Calibri Light"/>
          <w:b/>
          <w:i/>
          <w:sz w:val="20"/>
        </w:rPr>
        <w:t>Stock Options</w:t>
      </w:r>
      <w:r>
        <w:rPr>
          <w:rFonts w:ascii="Calibri Light" w:hAnsi="Calibri Light"/>
          <w:sz w:val="20"/>
        </w:rPr>
        <w:t>. A stock option is the grant of a right to purchase a specified number of shares of Common Stock during a specified period as determined by the Administrator. An option may be intended as an incentive stock option within the meaning of Section 422 of the Code (an “</w:t>
      </w:r>
      <w:r>
        <w:rPr>
          <w:rFonts w:ascii="Calibri Light" w:hAnsi="Calibri Light"/>
          <w:b/>
          <w:sz w:val="20"/>
        </w:rPr>
        <w:t>ISO</w:t>
      </w:r>
      <w:r>
        <w:rPr>
          <w:rFonts w:ascii="Times New Roman;Times;serif" w:hAnsi="Times New Roman;Times;serif"/>
          <w:sz w:val="20"/>
        </w:rPr>
        <w:t>”</w:t>
      </w:r>
      <w:r>
        <w:rPr>
          <w:rFonts w:ascii="Calibri Light" w:hAnsi="Calibri Light"/>
          <w:sz w:val="20"/>
        </w:rPr>
        <w:t xml:space="preserve">) or a nonqualified stock option (an option not intended to be an ISO). The award agreement for an option will indicate if the option is intended as an ISO; otherwise it will be deemed to be a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 xml:space="preserve">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5.5. </w:t>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5.1.2         </w:t>
      </w:r>
      <w:r>
        <w:rPr>
          <w:rFonts w:ascii="Calibri Light" w:hAnsi="Calibri Light"/>
          <w:b/>
          <w:i/>
          <w:sz w:val="20"/>
        </w:rPr>
        <w:t>Additional Rules Applicable to ISOs</w:t>
      </w:r>
      <w:r>
        <w:rPr>
          <w:rFonts w:ascii="Calibri Light" w:hAnsi="Calibri Light"/>
          <w:sz w:val="20"/>
        </w:rPr>
        <w:t>. To the extent that the aggregate fair market value (determined at the time of grant of the applicable 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There shall be imposed in any award agreement relating to ISOs such other terms and conditions as from time to time are required in order that the option be an “incentive stock option” as that term is defined in Section 422 of the Code.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 intended ISO fails to meet the applicable requirements of Section 422 of the Code, the option shall be a nonqualified stock option.</w:t>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5.1.3         </w:t>
      </w:r>
      <w:r>
        <w:rPr>
          <w:rFonts w:ascii="Calibri Light" w:hAnsi="Calibri Light"/>
          <w:b/>
          <w:i/>
          <w:sz w:val="20"/>
        </w:rPr>
        <w:t>Stock Appreciation Rights</w:t>
      </w:r>
      <w:r>
        <w:rPr>
          <w:rFonts w:ascii="Calibri Light" w:hAnsi="Calibri Light"/>
          <w:sz w:val="20"/>
        </w:rPr>
        <w:t>. A stock appreciation right or “</w:t>
      </w:r>
      <w:r>
        <w:rPr>
          <w:rFonts w:ascii="Calibri Light" w:hAnsi="Calibri Light"/>
          <w:b/>
          <w:sz w:val="20"/>
        </w:rPr>
        <w:t>SAR</w:t>
      </w:r>
      <w:r>
        <w:rPr>
          <w:rFonts w:ascii="Times New Roman;Times;serif" w:hAnsi="Times New Roman;Times;serif"/>
          <w:sz w:val="20"/>
        </w:rPr>
        <w:t xml:space="preserve">” </w:t>
      </w:r>
      <w:r>
        <w:rPr>
          <w:rFonts w:ascii="Calibri Light" w:hAnsi="Calibri Light"/>
          <w:sz w:val="20"/>
        </w:rPr>
        <w:t>is a right to receive a payment, in cash and/or Common Stock, equal to the excess of the fair market value of a specified number of shares of Common Stock on the date the SAR is exercised over the “</w:t>
      </w:r>
      <w:r>
        <w:rPr>
          <w:rFonts w:ascii="Calibri Light" w:hAnsi="Calibri Light"/>
          <w:b/>
          <w:sz w:val="20"/>
        </w:rPr>
        <w:t>base price</w:t>
      </w:r>
      <w:r>
        <w:rPr>
          <w:rFonts w:ascii="Times New Roman;Times;serif" w:hAnsi="Times New Roman;Times;serif"/>
          <w:sz w:val="20"/>
        </w:rPr>
        <w:t xml:space="preserve">” </w:t>
      </w:r>
      <w:r>
        <w:rPr>
          <w:rFonts w:ascii="Calibri Light" w:hAnsi="Calibri Light"/>
          <w:sz w:val="20"/>
        </w:rPr>
        <w:t>of the award, which base price shall be set forth in the applicable award agreement and shall be not less than 100% of the fair market value of a share of Common Stock on the date of grant of the SAR. The maximum term of a SAR shall be ten (10) years.</w:t>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5.1.4         </w:t>
      </w:r>
      <w:r>
        <w:rPr>
          <w:rFonts w:ascii="Calibri Light" w:hAnsi="Calibri Light"/>
          <w:b/>
          <w:i/>
          <w:sz w:val="20"/>
        </w:rPr>
        <w:t>Other Awards</w:t>
      </w:r>
      <w:r>
        <w:rPr>
          <w:rFonts w:ascii="Calibri Light" w:hAnsi="Calibri Light"/>
          <w:sz w:val="20"/>
        </w:rPr>
        <w:t>. The other types of awards that may be granted under this Plan include: (a) stock bonuses, restricted stock, performance stock, stock units, phantom stock, dividend equivalents, or similar rights to purchase or acquire shares, whether at a fixed or variable price (or no price) or ratio related to the Common Stock, and any of which may (but need not) be fully vested at grant or vest upon the passage of time, the occurrence of one or more events, or the satisfaction of performance criteria or other conditions, or any combination thereof; or (b) any similar awards with a value derived from the value of or related to the Common Stock and/or returns thereon and other cash awards.</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5.2         </w:t>
      </w:r>
      <w:r>
        <w:rPr>
          <w:rFonts w:ascii="Calibri Light" w:hAnsi="Calibri Light"/>
          <w:b/>
          <w:i/>
          <w:sz w:val="20"/>
        </w:rPr>
        <w:t>Reserved.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5.3         </w:t>
      </w:r>
      <w:r>
        <w:rPr>
          <w:rFonts w:ascii="Calibri Light" w:hAnsi="Calibri Light"/>
          <w:b/>
          <w:i/>
          <w:sz w:val="20"/>
        </w:rPr>
        <w:t>Award Agreements</w:t>
      </w:r>
      <w:r>
        <w:rPr>
          <w:rFonts w:ascii="Calibri Light" w:hAnsi="Calibri Light"/>
          <w:sz w:val="20"/>
        </w:rPr>
        <w:t xml:space="preserve">. Each award shall be evidenced by either (1) a written award agreement in a form approved by the Administrator and executed by the Corporation by an officer duly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 xml:space="preserve">authorized to act on its behalf, or (2) an electronic notice of award grant in a form approved by the Administrator and recorded by the Corporation (or its designee) in an electronic recordkeeping system used for the purpose of tracking award grants under this Plan generally (in each case, an “award agreement”), as the Administrator may provide and, in each case and if required by the Administrator, executed or otherwise electronically accepted by the recipient of the award in such form and manner as the Administrator may require. The Administrator may authorize any officer of the Corporation (other than the particular award recipient) to execute any or all award agreements on behalf of the Corporation. </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5.4         </w:t>
      </w:r>
      <w:r>
        <w:rPr>
          <w:rFonts w:ascii="Calibri Light" w:hAnsi="Calibri Light"/>
          <w:b/>
          <w:i/>
          <w:sz w:val="20"/>
        </w:rPr>
        <w:t>Deferrals and Settlements</w:t>
      </w:r>
      <w:r>
        <w:rPr>
          <w:rFonts w:ascii="Calibri Light" w:hAnsi="Calibri Light"/>
          <w:sz w:val="20"/>
        </w:rPr>
        <w:t>. Payment of awards may be in the form of cash, Common Stock, other awards or combinations thereof as the Administrator shall determine, and with such restrictions as it may impose. The Administrator may also require or permit participants to elect to defer the issuance of shares or the settlement of awards in cash under such rules and procedures as it may establish under this Plan. The Administrator may also provide that deferred settlements include the payment or crediting of interest or other earnings on the deferral amounts, or the payment or crediting of dividend equivalents where the deferred amounts are denominated in shares.</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5.5         </w:t>
      </w:r>
      <w:r>
        <w:rPr>
          <w:rFonts w:ascii="Calibri Light" w:hAnsi="Calibri Light"/>
          <w:b/>
          <w:i/>
          <w:sz w:val="20"/>
        </w:rPr>
        <w:t>Consideration for Common Stock or Awards</w:t>
      </w:r>
      <w:r>
        <w:rPr>
          <w:rFonts w:ascii="Calibri Light" w:hAnsi="Calibri Light"/>
          <w:sz w:val="20"/>
        </w:rPr>
        <w:t>. The purchase price for any award granted under this Plan or the Common Stock to be delivered pursuant to an award, as applicable, may be paid by means of any lawful consideration as determined by the Administrator, including, without limitation, one or a combination of the following methods:</w:t>
      </w:r>
    </w:p>
    <w:p>
      <w:pPr>
        <w:pStyle w:val="TextBody"/>
        <w:pBdr/>
        <w:bidi w:val="0"/>
        <w:spacing w:lineRule="auto" w:line="285" w:before="0" w:after="240"/>
        <w:ind w:left="1440" w:right="0" w:hanging="360"/>
        <w:jc w:val="left"/>
        <w:rPr/>
      </w:pPr>
      <w:r>
        <w:rPr/>
        <w:t>​</w:t>
      </w:r>
    </w:p>
    <w:p>
      <w:pPr>
        <w:pStyle w:val="TextBody"/>
        <w:pBdr/>
        <w:bidi w:val="0"/>
        <w:spacing w:lineRule="auto" w:line="285" w:before="0" w:after="0"/>
        <w:ind w:left="1440" w:right="0" w:hanging="360"/>
        <w:jc w:val="left"/>
        <w:rPr/>
      </w:pPr>
      <w:r>
        <w:rPr/>
        <w:t>●      </w:t>
      </w:r>
      <w:r>
        <w:rPr>
          <w:rFonts w:ascii="Calibri Light" w:hAnsi="Calibri Light"/>
          <w:sz w:val="20"/>
        </w:rPr>
        <w:t>services rendered by the recipient of such award;</w:t>
      </w:r>
    </w:p>
    <w:p>
      <w:pPr>
        <w:pStyle w:val="TextBody"/>
        <w:pBdr/>
        <w:bidi w:val="0"/>
        <w:spacing w:lineRule="auto" w:line="285" w:before="0" w:after="240"/>
        <w:ind w:left="1440" w:right="0" w:hanging="360"/>
        <w:jc w:val="left"/>
        <w:rPr/>
      </w:pPr>
      <w:r>
        <w:rPr/>
        <w:t>​</w:t>
      </w:r>
    </w:p>
    <w:p>
      <w:pPr>
        <w:pStyle w:val="TextBody"/>
        <w:pBdr/>
        <w:bidi w:val="0"/>
        <w:spacing w:lineRule="auto" w:line="285" w:before="0" w:after="0"/>
        <w:ind w:left="1440" w:right="0" w:hanging="360"/>
        <w:jc w:val="left"/>
        <w:rPr/>
      </w:pPr>
      <w:r>
        <w:rPr/>
        <w:t>●      </w:t>
      </w:r>
      <w:r>
        <w:rPr>
          <w:rFonts w:ascii="Calibri Light" w:hAnsi="Calibri Light"/>
          <w:sz w:val="20"/>
        </w:rPr>
        <w:t xml:space="preserve">cash, check payable to the order of the Corporation, or electronic funds transfer; </w:t>
      </w:r>
    </w:p>
    <w:p>
      <w:pPr>
        <w:pStyle w:val="TextBody"/>
        <w:bidi w:val="0"/>
        <w:spacing w:lineRule="auto" w:line="285" w:before="0" w:after="240"/>
        <w:ind w:left="0" w:right="0" w:firstLine="1440"/>
        <w:jc w:val="left"/>
        <w:rPr/>
      </w:pPr>
      <w:r>
        <w:rPr/>
        <w:t>​</w:t>
      </w:r>
    </w:p>
    <w:p>
      <w:pPr>
        <w:pStyle w:val="TextBody"/>
        <w:pBdr/>
        <w:bidi w:val="0"/>
        <w:spacing w:lineRule="auto" w:line="285" w:before="0" w:after="0"/>
        <w:ind w:left="1440" w:right="0" w:hanging="360"/>
        <w:jc w:val="left"/>
        <w:rPr/>
      </w:pPr>
      <w:r>
        <w:rPr/>
        <w:t>●      </w:t>
      </w:r>
      <w:r>
        <w:rPr>
          <w:rFonts w:ascii="Calibri Light" w:hAnsi="Calibri Light"/>
          <w:sz w:val="20"/>
        </w:rPr>
        <w:t>notice and third party payment in such manner as may be authorized by the Administrator;</w:t>
      </w:r>
    </w:p>
    <w:p>
      <w:pPr>
        <w:pStyle w:val="TextBody"/>
        <w:pBdr/>
        <w:bidi w:val="0"/>
        <w:spacing w:lineRule="auto" w:line="285" w:before="0" w:after="240"/>
        <w:ind w:left="1440" w:right="0" w:hanging="360"/>
        <w:jc w:val="left"/>
        <w:rPr/>
      </w:pPr>
      <w:r>
        <w:rPr/>
        <w:t>​</w:t>
      </w:r>
    </w:p>
    <w:p>
      <w:pPr>
        <w:pStyle w:val="TextBody"/>
        <w:pBdr/>
        <w:bidi w:val="0"/>
        <w:spacing w:lineRule="auto" w:line="285" w:before="0" w:after="0"/>
        <w:ind w:left="1440" w:right="0" w:hanging="360"/>
        <w:jc w:val="left"/>
        <w:rPr/>
      </w:pPr>
      <w:r>
        <w:rPr/>
        <w:t>●      </w:t>
      </w:r>
      <w:r>
        <w:rPr>
          <w:rFonts w:ascii="Calibri Light" w:hAnsi="Calibri Light"/>
          <w:sz w:val="20"/>
        </w:rPr>
        <w:t>the delivery of previously owned shares of Common Stock;</w:t>
      </w:r>
    </w:p>
    <w:p>
      <w:pPr>
        <w:pStyle w:val="TextBody"/>
        <w:pBdr/>
        <w:bidi w:val="0"/>
        <w:spacing w:lineRule="auto" w:line="285" w:before="0" w:after="240"/>
        <w:ind w:left="1440" w:right="0" w:hanging="360"/>
        <w:jc w:val="left"/>
        <w:rPr/>
      </w:pPr>
      <w:r>
        <w:rPr/>
        <w:t>​</w:t>
      </w:r>
    </w:p>
    <w:p>
      <w:pPr>
        <w:pStyle w:val="TextBody"/>
        <w:pBdr/>
        <w:bidi w:val="0"/>
        <w:spacing w:lineRule="auto" w:line="285" w:before="0" w:after="0"/>
        <w:ind w:left="1440" w:right="0" w:hanging="360"/>
        <w:jc w:val="left"/>
        <w:rPr/>
      </w:pPr>
      <w:r>
        <w:rPr/>
        <w:t>●      </w:t>
      </w:r>
      <w:r>
        <w:rPr>
          <w:rFonts w:ascii="Calibri Light" w:hAnsi="Calibri Light"/>
          <w:sz w:val="20"/>
        </w:rPr>
        <w:t>by a reduction in the number of shares otherwise deliverable pursuant to the award; or</w:t>
      </w:r>
    </w:p>
    <w:p>
      <w:pPr>
        <w:pStyle w:val="TextBody"/>
        <w:pBdr/>
        <w:bidi w:val="0"/>
        <w:spacing w:lineRule="auto" w:line="285" w:before="0" w:after="240"/>
        <w:ind w:left="1440" w:right="0" w:hanging="360"/>
        <w:jc w:val="left"/>
        <w:rPr/>
      </w:pPr>
      <w:r>
        <w:rPr/>
        <w:t>​</w:t>
      </w:r>
    </w:p>
    <w:p>
      <w:pPr>
        <w:pStyle w:val="TextBody"/>
        <w:pBdr/>
        <w:bidi w:val="0"/>
        <w:spacing w:lineRule="auto" w:line="285" w:before="0" w:after="0"/>
        <w:ind w:left="1440" w:right="0" w:hanging="360"/>
        <w:jc w:val="left"/>
        <w:rPr/>
      </w:pPr>
      <w:r>
        <w:rPr/>
        <w:t>●      </w:t>
      </w:r>
      <w:r>
        <w:rPr>
          <w:rFonts w:ascii="Calibri Light" w:hAnsi="Calibri Light"/>
          <w:sz w:val="20"/>
        </w:rPr>
        <w:t>subject to such procedures as the Administrator may adopt, pursuant to a “cashless exercise” with a third party who provides financing for the purposes of (or who otherwise facilitates) the purchase or exercise of awards.</w:t>
      </w:r>
    </w:p>
    <w:p>
      <w:pPr>
        <w:pStyle w:val="TextBody"/>
        <w:bidi w:val="0"/>
        <w:spacing w:lineRule="auto" w:line="285" w:before="0" w:after="240"/>
        <w:ind w:left="144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on the date of exercise.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the purchase or exercise price of any award or shares by any method other than cash payment to the Corporation.</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5.6</w:t>
      </w:r>
      <w:r>
        <w:rPr>
          <w:rFonts w:ascii="Times New Roman;Times;serif" w:hAnsi="Times New Roman;Times;serif"/>
          <w:sz w:val="20"/>
        </w:rPr>
        <w:t>         </w:t>
      </w:r>
      <w:r>
        <w:rPr>
          <w:rFonts w:ascii="Calibri Light" w:hAnsi="Calibri Light"/>
          <w:b/>
          <w:i/>
          <w:sz w:val="20"/>
        </w:rPr>
        <w:t>Definition of Fair Market Value</w:t>
      </w:r>
      <w:r>
        <w:rPr>
          <w:rFonts w:ascii="Calibri Light" w:hAnsi="Calibri Light"/>
          <w:sz w:val="20"/>
        </w:rPr>
        <w:t>. For purposes of this Plan, “fair market value” shall mean, unless otherwise determined or provided by the Administrator in the circumstances, the last price (in regular trading) for a share of Common Stock as furnished by the National Association of Securities Dealers, Inc. (the “</w:t>
      </w:r>
      <w:r>
        <w:rPr>
          <w:rFonts w:ascii="Calibri Light" w:hAnsi="Calibri Light"/>
          <w:b/>
          <w:sz w:val="20"/>
        </w:rPr>
        <w:t>NASD</w:t>
      </w:r>
      <w:r>
        <w:rPr>
          <w:rFonts w:ascii="Times New Roman;Times;serif" w:hAnsi="Times New Roman;Times;serif"/>
          <w:sz w:val="20"/>
        </w:rPr>
        <w:t>”</w:t>
      </w:r>
      <w:r>
        <w:rPr>
          <w:rFonts w:ascii="Calibri Light" w:hAnsi="Calibri Light"/>
          <w:sz w:val="20"/>
        </w:rPr>
        <w:t>) through the Nasdaq Global Market Reporting System (the “</w:t>
      </w:r>
      <w:r>
        <w:rPr>
          <w:rFonts w:ascii="Calibri Light" w:hAnsi="Calibri Light"/>
          <w:b/>
          <w:sz w:val="20"/>
        </w:rPr>
        <w:t>Global Market</w:t>
      </w:r>
      <w:r>
        <w:rPr>
          <w:rFonts w:ascii="Times New Roman;Times;serif" w:hAnsi="Times New Roman;Times;serif"/>
          <w:sz w:val="20"/>
        </w:rPr>
        <w:t>”</w:t>
      </w:r>
      <w:r>
        <w:rPr>
          <w:rFonts w:ascii="Calibri Light" w:hAnsi="Calibri Light"/>
          <w:sz w:val="20"/>
        </w:rPr>
        <w:t xml:space="preserve">) for the date in question or, if no sales of Common Stock were reported by the NASD on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the Global Market on that date, the last price (in regular trading) for a share of Common Stock as furnished by the NASD through the Global Market for the next preceding day on which sales of Common Stock were reported by the NASD. The Administrator may, however, provide with respect to one or more awards that the fair market value shall equal the last price (in regular trading) for a share of Common Stock as furnished by the NASD through the Global Market on the last trading day preceding the date in question or the average of the high and low trading prices of a share of Common Stock as furnished by the NASD through the Global Market for the date in question or the most recent trading day. If the Common Stock is no longer listed or is no longer actively traded on the Global Market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Calibri Light" w:hAnsi="Calibri Light"/>
          <w:b/>
          <w:sz w:val="20"/>
        </w:rPr>
        <w:t>5.7</w:t>
      </w:r>
      <w:r>
        <w:rPr>
          <w:rFonts w:ascii="Times New Roman;Times;serif" w:hAnsi="Times New Roman;Times;serif"/>
          <w:sz w:val="20"/>
        </w:rPr>
        <w:t>         </w:t>
      </w:r>
      <w:r>
        <w:rPr>
          <w:rFonts w:ascii="Calibri Light" w:hAnsi="Calibri Light"/>
          <w:b/>
          <w:i/>
          <w:sz w:val="20"/>
        </w:rPr>
        <w:t>Transfer Restrictions</w:t>
      </w:r>
      <w:r>
        <w:rPr>
          <w:rFonts w:ascii="Calibri Light" w:hAnsi="Calibri Light"/>
          <w:sz w:val="20"/>
        </w:rPr>
        <w:t>.</w:t>
      </w:r>
    </w:p>
    <w:p>
      <w:pPr>
        <w:pStyle w:val="TextBody"/>
        <w:bidi w:val="0"/>
        <w:spacing w:lineRule="auto" w:line="285" w:before="0" w:after="240"/>
        <w:ind w:left="144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5.7.1</w:t>
      </w:r>
      <w:r>
        <w:rPr>
          <w:rFonts w:ascii="Times New Roman;Times;serif" w:hAnsi="Times New Roman;Times;serif"/>
          <w:sz w:val="20"/>
        </w:rPr>
        <w:t>         </w:t>
      </w:r>
      <w:r>
        <w:rPr>
          <w:rFonts w:ascii="Calibri Light" w:hAnsi="Calibri Light"/>
          <w:b/>
          <w:i/>
          <w:sz w:val="20"/>
        </w:rPr>
        <w:t>Limitations on Exercise and Transfer</w:t>
      </w:r>
      <w:r>
        <w:rPr>
          <w:rFonts w:ascii="Calibri Light" w:hAnsi="Calibri Light"/>
          <w:sz w:val="20"/>
        </w:rPr>
        <w:t>. Unless otherwise expressly provided in (or pursuant to) this Section 5.7 or required by applicable law: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5.7.2</w:t>
      </w:r>
      <w:r>
        <w:rPr>
          <w:rFonts w:ascii="Times New Roman;Times;serif" w:hAnsi="Times New Roman;Times;serif"/>
          <w:sz w:val="20"/>
        </w:rPr>
        <w:t>         </w:t>
      </w:r>
      <w:r>
        <w:rPr>
          <w:rFonts w:ascii="Calibri Light" w:hAnsi="Calibri Light"/>
          <w:b/>
          <w:i/>
          <w:sz w:val="20"/>
        </w:rPr>
        <w:t>Exceptions</w:t>
      </w:r>
      <w:r>
        <w:rPr>
          <w:rFonts w:ascii="Calibri Light" w:hAnsi="Calibri Light"/>
          <w:sz w:val="20"/>
        </w:rPr>
        <w:t>. The Administrator may permit awards to be exercised by and paid to, or otherwise transferred to, other persons or entities 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pStyle w:val="TextBody"/>
        <w:bidi w:val="0"/>
        <w:spacing w:lineRule="auto" w:line="285" w:before="0" w:after="240"/>
        <w:ind w:left="0" w:right="0" w:firstLine="144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5.7.3</w:t>
      </w:r>
      <w:r>
        <w:rPr>
          <w:rFonts w:ascii="Times New Roman;Times;serif" w:hAnsi="Times New Roman;Times;serif"/>
          <w:sz w:val="20"/>
        </w:rPr>
        <w:t>      </w:t>
      </w:r>
      <w:r>
        <w:rPr>
          <w:rFonts w:ascii="Calibri Light" w:hAnsi="Calibri Light"/>
          <w:b/>
          <w:i/>
          <w:sz w:val="20"/>
        </w:rPr>
        <w:t>Further Exceptions to Limits on Transfer</w:t>
      </w:r>
      <w:r>
        <w:rPr>
          <w:rFonts w:ascii="Calibri Light" w:hAnsi="Calibri Light"/>
          <w:sz w:val="20"/>
        </w:rPr>
        <w:t xml:space="preserve">. The exercise and transfer restrictions in Section 5.7.1 shall not apply to: </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Calibri Light" w:hAnsi="Calibri Light"/>
          <w:sz w:val="20"/>
        </w:rPr>
      </w:pPr>
      <w:r>
        <w:rPr>
          <w:rFonts w:ascii="Calibri Light" w:hAnsi="Calibri Light"/>
          <w:sz w:val="20"/>
        </w:rPr>
        <w:t>(a)          transfers to the Corporation (for example, in connection with the expiration or termination of the award),</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Calibri Light" w:hAnsi="Calibri Light"/>
          <w:sz w:val="20"/>
        </w:rPr>
      </w:pPr>
      <w:r>
        <w:rPr>
          <w:rFonts w:ascii="Calibri Light" w:hAnsi="Calibri Light"/>
          <w:sz w:val="20"/>
        </w:rPr>
        <w:t>(b)          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Calibri Light" w:hAnsi="Calibri Light"/>
          <w:sz w:val="20"/>
        </w:rPr>
      </w:pPr>
      <w:r>
        <w:rPr>
          <w:rFonts w:ascii="Calibri Light" w:hAnsi="Calibri Light"/>
          <w:sz w:val="20"/>
        </w:rPr>
        <w:t>(c)          subject to any applicable limitations on ISOs, transfers to a family member (or former family member) pursuant to a domestic relations order if approved or ratified by the Administrator,</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Calibri Light" w:hAnsi="Calibri Light"/>
          <w:sz w:val="20"/>
        </w:rPr>
      </w:pPr>
      <w:r>
        <w:rPr>
          <w:rFonts w:ascii="Calibri Light" w:hAnsi="Calibri Light"/>
          <w:sz w:val="20"/>
        </w:rPr>
        <w:t>(d)          if the participant has suffered a disability, permitted transfers or exercises on behalf of the participant by his or her legal representative, or</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sz w:val="20"/>
        </w:rPr>
        <w:t>(e)</w:t>
      </w:r>
      <w:r>
        <w:rPr>
          <w:rFonts w:ascii="Times New Roman;Times;serif" w:hAnsi="Times New Roman;Times;serif"/>
          <w:sz w:val="20"/>
        </w:rPr>
        <w:t>          </w:t>
      </w:r>
      <w:r>
        <w:rPr>
          <w:rFonts w:ascii="Calibri Light" w:hAnsi="Calibri Light"/>
          <w:sz w:val="20"/>
        </w:rPr>
        <w:t>the authorization by the Administrator of “cashless exercise” procedures with third parties who provide financing for the purpose of (or who otherwise facilitate) the exercise of awards consistent with applicable laws and the express authorization of the Administrator.</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5.8</w:t>
      </w:r>
      <w:r>
        <w:rPr>
          <w:rFonts w:ascii="Times New Roman;Times;serif" w:hAnsi="Times New Roman;Times;serif"/>
          <w:sz w:val="20"/>
        </w:rPr>
        <w:t>         </w:t>
      </w:r>
      <w:r>
        <w:rPr>
          <w:rFonts w:ascii="Calibri Light" w:hAnsi="Calibri Light"/>
          <w:b/>
          <w:i/>
          <w:sz w:val="20"/>
        </w:rPr>
        <w:t>International Awards</w:t>
      </w:r>
      <w:r>
        <w:rPr>
          <w:rFonts w:ascii="Calibri Light" w:hAnsi="Calibri Light"/>
          <w:sz w:val="20"/>
        </w:rPr>
        <w:t>. One or more awards may be granted to Eligible Persons who provide services to the Corporation or one of its Subsidiaries outside of the United States. Any awards granted to such persons may be granted pursuant to the terms and conditions of any applicable sub-plans, if any, appended to this Plan and approved by the Administrator.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Calibri Light" w:hAnsi="Calibri Light"/>
          <w:b/>
          <w:sz w:val="20"/>
        </w:rPr>
      </w:pPr>
      <w:r>
        <w:rPr>
          <w:rFonts w:ascii="Calibri Light" w:hAnsi="Calibri Light"/>
          <w:b/>
          <w:sz w:val="20"/>
        </w:rPr>
        <w:t>6.    EFFECT OF TERMINATION OF EMPLOYMENT OR SERVICE ON AWARDS</w:t>
      </w:r>
    </w:p>
    <w:p>
      <w:pPr>
        <w:pStyle w:val="TextBody"/>
        <w:pBdr/>
        <w:bidi w:val="0"/>
        <w:spacing w:lineRule="auto" w:line="285" w:before="0" w:after="240"/>
        <w:ind w:left="720" w:right="0" w:hanging="72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6.1</w:t>
      </w:r>
      <w:r>
        <w:rPr>
          <w:rFonts w:ascii="Times New Roman;Times;serif" w:hAnsi="Times New Roman;Times;serif"/>
          <w:sz w:val="20"/>
        </w:rPr>
        <w:t>         </w:t>
      </w:r>
      <w:r>
        <w:rPr>
          <w:rFonts w:ascii="Calibri Light" w:hAnsi="Calibri Light"/>
          <w:b/>
          <w:i/>
          <w:sz w:val="20"/>
        </w:rPr>
        <w:t>General</w:t>
      </w:r>
      <w:r>
        <w:rPr>
          <w:rFonts w:ascii="Calibri Light" w:hAnsi="Calibri Light"/>
          <w:sz w:val="20"/>
        </w:rPr>
        <w:t>. The Administrator shall establish the effect of a termination of employment or service on the rights and benefits under each award under this Plan and in so doing may make distinctions based upon, inter alia, the cause of termination and type of award. If the participant is not an employee of the Corporation or one of its Subsidiaries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6.2</w:t>
      </w:r>
      <w:r>
        <w:rPr>
          <w:rFonts w:ascii="Times New Roman;Times;serif" w:hAnsi="Times New Roman;Times;serif"/>
          <w:sz w:val="20"/>
        </w:rPr>
        <w:t>         </w:t>
      </w:r>
      <w:r>
        <w:rPr>
          <w:rFonts w:ascii="Calibri Light" w:hAnsi="Calibri Light"/>
          <w:b/>
          <w:i/>
          <w:sz w:val="20"/>
        </w:rPr>
        <w:t>Events Not Deemed Terminations of Service</w:t>
      </w:r>
      <w:r>
        <w:rPr>
          <w:rFonts w:ascii="Calibri Light" w:hAnsi="Calibri Light"/>
          <w:sz w:val="20"/>
        </w:rPr>
        <w:t>. Unless the express policy of the Corporation or one of its Subsidiaries, or the Administrator, otherwise provides,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the term set forth in the applicable award agreement.</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6.3</w:t>
      </w:r>
      <w:r>
        <w:rPr>
          <w:rFonts w:ascii="Times New Roman;Times;serif" w:hAnsi="Times New Roman;Times;serif"/>
          <w:sz w:val="20"/>
        </w:rPr>
        <w:t>         </w:t>
      </w:r>
      <w:r>
        <w:rPr>
          <w:rFonts w:ascii="Calibri Light" w:hAnsi="Calibri Light"/>
          <w:b/>
          <w:i/>
          <w:sz w:val="20"/>
        </w:rPr>
        <w:t>Effect of Change of Subsidiary Status</w:t>
      </w:r>
      <w:r>
        <w:rPr>
          <w:rFonts w:ascii="Calibri Light" w:hAnsi="Calibri Light"/>
          <w:sz w:val="20"/>
        </w:rPr>
        <w:t>. For purposes of this Plan and any award, if an entity ceases to be a Subsidiary of the Corporation a 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Calibri Light" w:hAnsi="Calibri Light"/>
          <w:b/>
          <w:sz w:val="20"/>
        </w:rPr>
      </w:pPr>
      <w:r>
        <w:rPr>
          <w:rFonts w:ascii="Calibri Light" w:hAnsi="Calibri Light"/>
          <w:b/>
          <w:sz w:val="20"/>
        </w:rPr>
        <w:t>7.    ADJUSTMENTS; ACCELERATION</w:t>
      </w:r>
    </w:p>
    <w:p>
      <w:pPr>
        <w:pStyle w:val="TextBody"/>
        <w:pBdr/>
        <w:bidi w:val="0"/>
        <w:spacing w:lineRule="auto" w:line="285" w:before="0" w:after="240"/>
        <w:ind w:left="720" w:right="0" w:hanging="72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7.1</w:t>
      </w:r>
      <w:r>
        <w:rPr>
          <w:rFonts w:ascii="Times New Roman;Times;serif" w:hAnsi="Times New Roman;Times;serif"/>
          <w:sz w:val="20"/>
        </w:rPr>
        <w:t>         </w:t>
      </w:r>
      <w:r>
        <w:rPr>
          <w:rFonts w:ascii="Calibri Light" w:hAnsi="Calibri Light"/>
          <w:b/>
          <w:i/>
          <w:sz w:val="20"/>
        </w:rPr>
        <w:t>Adjustments</w:t>
      </w:r>
      <w:r>
        <w:rPr>
          <w:rFonts w:ascii="Calibri Light" w:hAnsi="Calibri Light"/>
          <w:sz w:val="20"/>
        </w:rPr>
        <w:t xml:space="preserve">. Subject to Section 7.2, upon (or, as may be necessary to effect the adjustment, immediately prior to): any reclassification, recapitalization, stock split (including a 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120"/>
        <w:ind w:left="1440" w:right="0" w:hanging="0"/>
        <w:jc w:val="left"/>
        <w:rPr>
          <w:rFonts w:ascii="Calibri Light" w:hAnsi="Calibri Light"/>
          <w:sz w:val="20"/>
        </w:rPr>
      </w:pPr>
      <w:r>
        <w:rPr>
          <w:rFonts w:ascii="Calibri Light" w:hAnsi="Calibri Light"/>
          <w:sz w:val="20"/>
        </w:rPr>
        <w:t>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 Corporation as an entirety, the Administrator shall equitably and proportionately adjust the performance standards and/or period applicable to any then-outstanding performance-based awards to the extent necessary to preserve (but not increase) the level of incentives intended by this Plan and the then-outstanding performance-based awards.</w:t>
      </w:r>
    </w:p>
    <w:p>
      <w:pPr>
        <w:pStyle w:val="TextBody"/>
        <w:bidi w:val="0"/>
        <w:spacing w:lineRule="auto" w:line="285" w:before="0" w:after="240"/>
        <w:ind w:left="144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It is intended that, if possible, any adjustments contemplated by the preceding two paragraphs be made in a manner that satisfies applicable U.S. legal, tax (including, without limitation and as applicable in the circumstances, Section 424 of the Code, Section 409A of the Code and Section 162(m) of the Code) and accounting (so as to not trigger any charge to earnings with respect to such adjustment) requirements.</w:t>
      </w:r>
    </w:p>
    <w:p>
      <w:pPr>
        <w:pStyle w:val="TextBody"/>
        <w:bidi w:val="0"/>
        <w:spacing w:lineRule="auto" w:line="285" w:before="0" w:after="240"/>
        <w:ind w:left="144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Without limiting the generality of Section 3.3, any good faith determination by the Administrator as to whether an adjustment is required in the circumstances pursuant to this Section 7.1, and the extent and nature of any such adjustment, shall be conclusive and binding on all persons.</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7.2</w:t>
      </w:r>
      <w:r>
        <w:rPr>
          <w:rFonts w:ascii="Times New Roman;Times;serif" w:hAnsi="Times New Roman;Times;serif"/>
          <w:sz w:val="20"/>
        </w:rPr>
        <w:t>         </w:t>
      </w:r>
      <w:r>
        <w:rPr>
          <w:rFonts w:ascii="Calibri Light" w:hAnsi="Calibri Light"/>
          <w:b/>
          <w:i/>
          <w:sz w:val="20"/>
        </w:rPr>
        <w:t>Corporate Transactions - Assumption and Termination of Awards</w:t>
      </w:r>
      <w:r>
        <w:rPr>
          <w:rFonts w:ascii="Calibri Light" w:hAnsi="Calibri Light"/>
          <w:sz w:val="20"/>
        </w:rPr>
        <w:t>. Upon the occurrence of any of the following: any merger, combination, consolidation, or other reorganization; any exchange of Common Stock or other securities of the Corporation; a sale of all or substantially all the business, stock or assets of the Corporation; a dissolution of the Corporation; or any other event in which the Corporation does not survive (or does not survive as a public company in respect of its Common Stock); then the Administrator may make provision for a cash payment in settlement of, or for the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Upon the occurrence of any event described in the preceding sentence, then, unless the Administrator has made a provision for the substitution, assumption, exchange or other continuation or settlement of the award or the award would otherwise continue in accordance with its terms in the circumstances: (1) subject to Section 7.4 and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Without limiting the preceding paragraph, in connection with any event referred to in the preceding paragraph or any change in control event defined in any applicable award agreement, the Administrator may, in its discretion, provide for the accelerated vesting of any award or awards as and to the extent determined by the Administrator in the circumstances.</w:t>
      </w:r>
    </w:p>
    <w:p>
      <w:pPr>
        <w:pStyle w:val="TextBody"/>
        <w:bidi w:val="0"/>
        <w:spacing w:lineRule="auto" w:line="285" w:before="0" w:after="0"/>
        <w:ind w:left="1440" w:right="0" w:hanging="0"/>
        <w:jc w:val="left"/>
        <w:rPr/>
      </w:pPr>
      <w:r>
        <w:rPr/>
        <w:t>​</w:t>
      </w:r>
    </w:p>
    <w:p>
      <w:pPr>
        <w:pStyle w:val="TextBody"/>
        <w:bidi w:val="0"/>
        <w:spacing w:lineRule="auto" w:line="285" w:before="0" w:after="120"/>
        <w:ind w:left="1440" w:right="0" w:hanging="0"/>
        <w:jc w:val="left"/>
        <w:rPr>
          <w:rFonts w:ascii="Calibri Light" w:hAnsi="Calibri Light"/>
          <w:sz w:val="20"/>
        </w:rPr>
      </w:pPr>
      <w:r>
        <w:rPr>
          <w:rFonts w:ascii="Calibri Light" w:hAnsi="Calibri Light"/>
          <w:sz w:val="20"/>
        </w:rPr>
        <w:t xml:space="preserve">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 xml:space="preserve">In any of the events referred to in this Section 7.2, the Administrator may take such action contemplated by this Section 7.2 prior to such event (as opposed to on the occurrence of such event) to the extent that the Administrator deems the action necessary to permit the participant to realize the benefits intended to be conveyed with respect to the underlying shares. Without limiting the generality of the foregoing, the Administrator may deem an acceleration to occur immediately prior to the applicable event and/or reinstate the original terms of the award if an event giving rise to an acceleration does not occur. </w:t>
      </w:r>
    </w:p>
    <w:p>
      <w:pPr>
        <w:pStyle w:val="TextBody"/>
        <w:bidi w:val="0"/>
        <w:spacing w:lineRule="auto" w:line="285" w:before="0" w:after="0"/>
        <w:ind w:left="144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 xml:space="preserve">Without limiting the generality of Section 3.3, any good faith determination by the Administrator pursuant to its authority under this Section 7.2 shall be conclusive and binding on all persons. </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7.3</w:t>
      </w:r>
      <w:r>
        <w:rPr>
          <w:rFonts w:ascii="Times New Roman;Times;serif" w:hAnsi="Times New Roman;Times;serif"/>
          <w:sz w:val="20"/>
        </w:rPr>
        <w:t>         </w:t>
      </w:r>
      <w:r>
        <w:rPr>
          <w:rFonts w:ascii="Calibri Light" w:hAnsi="Calibri Light"/>
          <w:b/>
          <w:i/>
          <w:sz w:val="20"/>
        </w:rPr>
        <w:t>Other Acceleration Rules</w:t>
      </w:r>
      <w:r>
        <w:rPr>
          <w:rFonts w:ascii="Calibri Light" w:hAnsi="Calibri Light"/>
          <w:sz w:val="20"/>
        </w:rPr>
        <w:t>. The Administrator may override the provisions of Section 7.2 and/or 7.4 by express provision in the award agreement and may accord any Eligible Person a right to refuse any acceleration, whether pursuant to the award agreement or otherwise, in such circumstances as the Administrator may approve. The portion of any ISO accelerated in connection with an event referred to in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7.4</w:t>
      </w:r>
      <w:r>
        <w:rPr>
          <w:rFonts w:ascii="Times New Roman;Times;serif" w:hAnsi="Times New Roman;Times;serif"/>
          <w:sz w:val="20"/>
        </w:rPr>
        <w:t>         </w:t>
      </w:r>
      <w:r>
        <w:rPr>
          <w:rFonts w:ascii="Calibri Light" w:hAnsi="Calibri Light"/>
          <w:b/>
          <w:i/>
          <w:sz w:val="20"/>
        </w:rPr>
        <w:t>Golden Parachute Limitation</w:t>
      </w:r>
      <w:r>
        <w:rPr>
          <w:rFonts w:ascii="Calibri Light" w:hAnsi="Calibri Light"/>
          <w:sz w:val="20"/>
        </w:rPr>
        <w:t>. Notwithstanding anything else contained in this Section 7 to the contrary, in no event shall any award or payment be accelerated under this Plan to an extent or in a manner so that such award or payment, together with any other compensation and benefits provided to, or for the benefit of, the participant under any other plan or agreement of the Corporation or any of its Subsidiaries, would not be fully deductible by the Corporation or one of its Subsidiaries for federal income tax purposes because of Section 280G of the Code. If a participant would be entitled to benefits or payments hereunder and under any other plan or program that would constitute “parachute payments” as defined in Section 280G of the Code, then the participant may by written notice to the Corporation designate the order in which such parachute payments will be reduced or modified so that the Corporation or one of its Subsidiaries is not denied federal income tax deductions for any “parachute payments” because of Section 280G of the Code.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Calibri Light" w:hAnsi="Calibri Light"/>
          <w:b/>
          <w:sz w:val="20"/>
        </w:rPr>
      </w:pPr>
      <w:r>
        <w:rPr>
          <w:rFonts w:ascii="Calibri Light" w:hAnsi="Calibri Light"/>
          <w:b/>
          <w:sz w:val="20"/>
        </w:rPr>
        <w:t>8.    OTHER PROVISIONS</w:t>
      </w:r>
    </w:p>
    <w:p>
      <w:pPr>
        <w:pStyle w:val="TextBody"/>
        <w:pBdr/>
        <w:bidi w:val="0"/>
        <w:spacing w:lineRule="auto" w:line="285" w:before="0" w:after="240"/>
        <w:ind w:left="720" w:right="0" w:hanging="72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8.1</w:t>
      </w:r>
      <w:r>
        <w:rPr>
          <w:rFonts w:ascii="Times New Roman;Times;serif" w:hAnsi="Times New Roman;Times;serif"/>
          <w:sz w:val="20"/>
        </w:rPr>
        <w:t>         </w:t>
      </w:r>
      <w:r>
        <w:rPr>
          <w:rFonts w:ascii="Calibri Light" w:hAnsi="Calibri Light"/>
          <w:b/>
          <w:i/>
          <w:sz w:val="20"/>
        </w:rPr>
        <w:t>Compliance with Laws</w:t>
      </w:r>
      <w:r>
        <w:rPr>
          <w:rFonts w:ascii="Calibri Light" w:hAnsi="Calibri Light"/>
          <w:sz w:val="20"/>
        </w:rPr>
        <w:t xml:space="preserve">. This Plan, the granting and vesting of awards under this Plan, the offer, issuance and delivery of shares of Common Stock, and/or the payment of money under this Plan or under awards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its Subsidiaries, provide such assurances and representations to the Corporation or one of its Subsidiaries as the Administrator may deem necessary or desirable to assure compliance with all applicable legal and accounting requirements.</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8.2</w:t>
      </w:r>
      <w:r>
        <w:rPr>
          <w:rFonts w:ascii="Times New Roman;Times;serif" w:hAnsi="Times New Roman;Times;serif"/>
          <w:sz w:val="20"/>
        </w:rPr>
        <w:t>         </w:t>
      </w:r>
      <w:r>
        <w:rPr>
          <w:rFonts w:ascii="Calibri Light" w:hAnsi="Calibri Light"/>
          <w:b/>
          <w:i/>
          <w:sz w:val="20"/>
        </w:rPr>
        <w:t>No Rights to Award</w:t>
      </w:r>
      <w:r>
        <w:rPr>
          <w:rFonts w:ascii="Calibri Light" w:hAnsi="Calibri Light"/>
          <w:sz w:val="20"/>
        </w:rPr>
        <w:t>. No person shall have any claim or rights to be granted an award (or additional awards, as the case may be) under this Plan, subject to any express contractual rights (set forth in a document other than this Plan) to the contrary.</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8.3</w:t>
      </w:r>
      <w:r>
        <w:rPr>
          <w:rFonts w:ascii="Times New Roman;Times;serif" w:hAnsi="Times New Roman;Times;serif"/>
          <w:sz w:val="20"/>
        </w:rPr>
        <w:t>         </w:t>
      </w:r>
      <w:r>
        <w:rPr>
          <w:rFonts w:ascii="Calibri Light" w:hAnsi="Calibri Light"/>
          <w:b/>
          <w:i/>
          <w:sz w:val="20"/>
        </w:rPr>
        <w:t>No Employment/Service Contract</w:t>
      </w:r>
      <w:r>
        <w:rPr>
          <w:rFonts w:ascii="Calibri Light" w:hAnsi="Calibri Light"/>
          <w:sz w:val="20"/>
        </w:rPr>
        <w:t>. Nothing contained in this Plan (or in any other documents under this Plan or in any award) shall confer 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8.4</w:t>
      </w:r>
      <w:r>
        <w:rPr>
          <w:rFonts w:ascii="Times New Roman;Times;serif" w:hAnsi="Times New Roman;Times;serif"/>
          <w:sz w:val="20"/>
        </w:rPr>
        <w:t>         </w:t>
      </w:r>
      <w:r>
        <w:rPr>
          <w:rFonts w:ascii="Calibri Light" w:hAnsi="Calibri Light"/>
          <w:b/>
          <w:i/>
          <w:sz w:val="20"/>
        </w:rPr>
        <w:t>Plan Not Funded</w:t>
      </w:r>
      <w:r>
        <w:rPr>
          <w:rFonts w:ascii="Calibri Light" w:hAnsi="Calibri Light"/>
          <w:sz w:val="20"/>
        </w:rPr>
        <w:t>. Awards payable under this Plan shall be payable in shares or from the general assets of the Corporation, and no special 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8.5</w:t>
      </w:r>
      <w:r>
        <w:rPr>
          <w:rFonts w:ascii="Times New Roman;Times;serif" w:hAnsi="Times New Roman;Times;serif"/>
          <w:sz w:val="20"/>
        </w:rPr>
        <w:t>         </w:t>
      </w:r>
      <w:r>
        <w:rPr>
          <w:rFonts w:ascii="Calibri Light" w:hAnsi="Calibri Light"/>
          <w:b/>
          <w:i/>
          <w:sz w:val="20"/>
        </w:rPr>
        <w:t>Tax Withholding</w:t>
      </w:r>
      <w:r>
        <w:rPr>
          <w:rFonts w:ascii="Calibri Light" w:hAnsi="Calibri Light"/>
          <w:sz w:val="20"/>
        </w:rPr>
        <w:t>. Upon any exercise, vesting, or payment of any award or upon the disposition of shares of Common Stock acquired pursuant to the exercise</w:t>
      </w:r>
      <w:r>
        <w:rPr>
          <w:rFonts w:ascii="Times New Roman;Times;serif" w:hAnsi="Times New Roman;Times;serif"/>
          <w:sz w:val="20"/>
        </w:rPr>
        <w:t xml:space="preserve"> </w:t>
      </w:r>
      <w:r>
        <w:rPr>
          <w:rFonts w:ascii="Calibri Light" w:hAnsi="Calibri Light"/>
          <w:sz w:val="20"/>
        </w:rPr>
        <w:t>of an ISO prior to satisfaction of the holding period requirements of Section 422 of the Code or upon any other tax withholding event, the Corporation or one of its Subsidiaries shall have the right at its option to:</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Calibri Light" w:hAnsi="Calibri Light"/>
          <w:sz w:val="20"/>
        </w:rPr>
      </w:pPr>
      <w:r>
        <w:rPr>
          <w:rFonts w:ascii="Calibri Light" w:hAnsi="Calibri Light"/>
          <w:sz w:val="20"/>
        </w:rPr>
        <w:t>(a)          require the participant (or the participant’s personal representative or beneficiary, as the case may be) to pay or provide for payment of at least the minimum amount of any taxes which the Corporation or one of its Subsidiaries may be required to withhold with respect to such award event or payment; or</w:t>
      </w:r>
    </w:p>
    <w:p>
      <w:pPr>
        <w:pStyle w:val="TextBody"/>
        <w:pBdr/>
        <w:bidi w:val="0"/>
        <w:spacing w:lineRule="auto" w:line="285" w:before="0" w:after="240"/>
        <w:ind w:left="1440" w:right="0" w:hanging="720"/>
        <w:jc w:val="left"/>
        <w:rPr/>
      </w:pPr>
      <w:r>
        <w:rPr/>
        <w:t>​</w:t>
      </w:r>
    </w:p>
    <w:p>
      <w:pPr>
        <w:pStyle w:val="TextBody"/>
        <w:pBdr/>
        <w:bidi w:val="0"/>
        <w:spacing w:lineRule="auto" w:line="285" w:before="0" w:after="0"/>
        <w:ind w:left="1440" w:right="0" w:hanging="720"/>
        <w:jc w:val="left"/>
        <w:rPr>
          <w:rFonts w:ascii="Calibri Light" w:hAnsi="Calibri Light"/>
          <w:sz w:val="20"/>
        </w:rPr>
      </w:pPr>
      <w:r>
        <w:rPr>
          <w:rFonts w:ascii="Calibri Light" w:hAnsi="Calibri Light"/>
          <w:sz w:val="20"/>
        </w:rPr>
        <w:t>(b)          deduct from any amount otherwise payable in cash to the participant (or the participant’s personal representative or beneficiary, as the case may be) the minimum amount of any taxes which the Corporation or one of its Subsidiaries may be required to withhold with respect to such cash payment.</w:t>
      </w:r>
    </w:p>
    <w:p>
      <w:pPr>
        <w:pStyle w:val="TextBody"/>
        <w:bidi w:val="0"/>
        <w:spacing w:lineRule="auto" w:line="285" w:before="0" w:after="240"/>
        <w:ind w:left="144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 xml:space="preserve">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sales price in accordance with authorized procedures for cashless exercises, necessary to satisfy any applicable withholding obligation on exercise, vesting or payment.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Calibri Light" w:hAnsi="Calibri Light"/>
          <w:b/>
          <w:sz w:val="20"/>
        </w:rPr>
        <w:t>8.6</w:t>
      </w:r>
      <w:r>
        <w:rPr>
          <w:rFonts w:ascii="Times New Roman;Times;serif" w:hAnsi="Times New Roman;Times;serif"/>
          <w:sz w:val="20"/>
        </w:rPr>
        <w:t>         </w:t>
      </w:r>
      <w:r>
        <w:rPr>
          <w:rFonts w:ascii="Calibri Light" w:hAnsi="Calibri Light"/>
          <w:b/>
          <w:i/>
          <w:sz w:val="20"/>
        </w:rPr>
        <w:t>Effective Date, Termination and Suspension, Amendments</w:t>
      </w:r>
      <w:r>
        <w:rPr>
          <w:rFonts w:ascii="Calibri Light" w:hAnsi="Calibri Light"/>
          <w:sz w:val="20"/>
        </w:rPr>
        <w:t>.</w:t>
      </w:r>
    </w:p>
    <w:p>
      <w:pPr>
        <w:pStyle w:val="TextBody"/>
        <w:bidi w:val="0"/>
        <w:spacing w:lineRule="auto" w:line="285" w:before="0" w:after="240"/>
        <w:ind w:left="144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8.6.1</w:t>
      </w:r>
      <w:r>
        <w:rPr>
          <w:rFonts w:ascii="Times New Roman;Times;serif" w:hAnsi="Times New Roman;Times;serif"/>
          <w:sz w:val="20"/>
        </w:rPr>
        <w:t>        </w:t>
      </w:r>
      <w:r>
        <w:rPr>
          <w:rFonts w:ascii="Calibri Light" w:hAnsi="Calibri Light"/>
          <w:b/>
          <w:i/>
          <w:sz w:val="20"/>
        </w:rPr>
        <w:t>Effective Date</w:t>
      </w:r>
      <w:r>
        <w:rPr>
          <w:rFonts w:ascii="Calibri Light" w:hAnsi="Calibri Light"/>
          <w:sz w:val="20"/>
        </w:rPr>
        <w:t>. This Plan was originally effective as of June 9, 2008, and has been amended from time to time. This amended version of the Plan was adopted by the Board on April 20, 2026 (the “Board Adoption Date”) and shall become effective on June 17, 2026, subject to this amended version of the Plan being approved by the stockholders of the Corporation on such date. Unless earlier terminated by the Board and subject to any extension that may be approved by the stockholders of the Corporation, this Plan shall terminate at the close of business on the day before the tenth anniversary of the Board Adoption Date. After the termination of this Plan either upon such stated expiration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8.6.2</w:t>
      </w:r>
      <w:r>
        <w:rPr>
          <w:rFonts w:ascii="Times New Roman;Times;serif" w:hAnsi="Times New Roman;Times;serif"/>
          <w:sz w:val="20"/>
        </w:rPr>
        <w:t>         </w:t>
      </w:r>
      <w:r>
        <w:rPr>
          <w:rFonts w:ascii="Calibri Light" w:hAnsi="Calibri Light"/>
          <w:b/>
          <w:i/>
          <w:sz w:val="20"/>
        </w:rPr>
        <w:t>Board Authorization</w:t>
      </w:r>
      <w:r>
        <w:rPr>
          <w:rFonts w:ascii="Calibri Light" w:hAnsi="Calibri Light"/>
          <w:sz w:val="20"/>
        </w:rPr>
        <w:t>. The Board may, at any time, terminate or, from time to time, amend, modify or suspend this Plan, in whole or in part. No awards may be granted during any period that the Board suspends this Plan.</w:t>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8.6.3</w:t>
      </w:r>
      <w:r>
        <w:rPr>
          <w:rFonts w:ascii="Times New Roman;Times;serif" w:hAnsi="Times New Roman;Times;serif"/>
          <w:sz w:val="20"/>
        </w:rPr>
        <w:t>         </w:t>
      </w:r>
      <w:r>
        <w:rPr>
          <w:rFonts w:ascii="Calibri Light" w:hAnsi="Calibri Light"/>
          <w:b/>
          <w:i/>
          <w:sz w:val="20"/>
        </w:rPr>
        <w:t>Stockholder Approval</w:t>
      </w:r>
      <w:r>
        <w:rPr>
          <w:rFonts w:ascii="Calibri Light" w:hAnsi="Calibri Light"/>
          <w:sz w:val="20"/>
        </w:rPr>
        <w:t>. To the extent then required by applicable law or any applicable listing agency or required under Sections 422 or 424 of the Code to preserve the intended tax consequences of this Plan, or deemed necessary or advisable by the Board, any amendment to this Plan shall be subject to stockholder approval.</w:t>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8.6.4</w:t>
      </w:r>
      <w:r>
        <w:rPr>
          <w:rFonts w:ascii="Times New Roman;Times;serif" w:hAnsi="Times New Roman;Times;serif"/>
          <w:sz w:val="20"/>
        </w:rPr>
        <w:t>         </w:t>
      </w:r>
      <w:r>
        <w:rPr>
          <w:rFonts w:ascii="Calibri Light" w:hAnsi="Calibri Light"/>
          <w:b/>
          <w:i/>
          <w:sz w:val="20"/>
        </w:rPr>
        <w:t>Amendments to Awards</w:t>
      </w:r>
      <w:r>
        <w:rPr>
          <w:rFonts w:ascii="Calibri Light" w:hAnsi="Calibri Light"/>
          <w:sz w:val="20"/>
        </w:rPr>
        <w:t>. Without limiting any other express authority of the Administrator under (but subject to) the express limits of this 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no repricing provision set forth in Section 3.2(g).</w:t>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8.6.5</w:t>
      </w:r>
      <w:r>
        <w:rPr>
          <w:rFonts w:ascii="Times New Roman;Times;serif" w:hAnsi="Times New Roman;Times;serif"/>
          <w:sz w:val="20"/>
        </w:rPr>
        <w:t>        </w:t>
      </w:r>
      <w:r>
        <w:rPr>
          <w:rFonts w:ascii="Calibri Light" w:hAnsi="Calibri Light"/>
          <w:b/>
          <w:i/>
          <w:sz w:val="20"/>
        </w:rPr>
        <w:t>Limitations on Amendments to Plan and Awards</w:t>
      </w:r>
      <w:r>
        <w:rPr>
          <w:rFonts w:ascii="Calibri Light" w:hAnsi="Calibri Light"/>
          <w:sz w:val="20"/>
        </w:rPr>
        <w:t>. No amendment, suspension or termination of this Plan or amendment of any 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8.7</w:t>
      </w:r>
      <w:r>
        <w:rPr>
          <w:rFonts w:ascii="Times New Roman;Times;serif" w:hAnsi="Times New Roman;Times;serif"/>
          <w:sz w:val="20"/>
        </w:rPr>
        <w:t>         </w:t>
      </w:r>
      <w:r>
        <w:rPr>
          <w:rFonts w:ascii="Calibri Light" w:hAnsi="Calibri Light"/>
          <w:b/>
          <w:i/>
          <w:sz w:val="20"/>
        </w:rPr>
        <w:t>Privileges of Stock Ownership</w:t>
      </w:r>
      <w:r>
        <w:rPr>
          <w:rFonts w:ascii="Calibri Light" w:hAnsi="Calibri Light"/>
          <w:sz w:val="20"/>
        </w:rPr>
        <w:t>. Except as otherwise expressly authorized by the Administrator, a participant shall not be entitled to any privilege of stock ownership 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Calibri Light" w:hAnsi="Calibri Light"/>
          <w:b/>
          <w:sz w:val="20"/>
        </w:rPr>
        <w:t>8.8</w:t>
      </w:r>
      <w:r>
        <w:rPr>
          <w:rFonts w:ascii="Times New Roman;Times;serif" w:hAnsi="Times New Roman;Times;serif"/>
          <w:sz w:val="20"/>
        </w:rPr>
        <w:t>         </w:t>
      </w:r>
      <w:r>
        <w:rPr>
          <w:rFonts w:ascii="Calibri Light" w:hAnsi="Calibri Light"/>
          <w:b/>
          <w:i/>
          <w:sz w:val="20"/>
        </w:rPr>
        <w:t>Governing Law; Construction; Severability</w:t>
      </w:r>
      <w:r>
        <w:rPr>
          <w:rFonts w:ascii="Calibri Light" w:hAnsi="Calibri Light"/>
          <w:sz w:val="20"/>
        </w:rPr>
        <w:t>.</w:t>
      </w:r>
    </w:p>
    <w:p>
      <w:pPr>
        <w:pStyle w:val="TextBody"/>
        <w:bidi w:val="0"/>
        <w:spacing w:lineRule="auto" w:line="285" w:before="0" w:after="240"/>
        <w:ind w:left="144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8.8.1 </w:t>
      </w:r>
      <w:r>
        <w:rPr>
          <w:rFonts w:ascii="Times New Roman;Times;serif" w:hAnsi="Times New Roman;Times;serif"/>
          <w:sz w:val="20"/>
        </w:rPr>
        <w:t>        </w:t>
      </w:r>
      <w:r>
        <w:rPr>
          <w:rFonts w:ascii="Calibri Light" w:hAnsi="Calibri Light"/>
          <w:b/>
          <w:i/>
          <w:sz w:val="20"/>
        </w:rPr>
        <w:t>Choice of Law</w:t>
      </w:r>
      <w:r>
        <w:rPr>
          <w:rFonts w:ascii="Calibri Light" w:hAnsi="Calibri Light"/>
          <w:sz w:val="20"/>
        </w:rPr>
        <w:t>. This Plan, the awards, all documents evidencing awards and all other related documents shall be governed by, and construed in accordance with the laws of the State of Delaware.</w:t>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Times New Roman;Times;serif" w:hAnsi="Times New Roman;Times;serif"/>
          <w:sz w:val="20"/>
        </w:rPr>
      </w:pPr>
      <w:r>
        <w:rPr>
          <w:rFonts w:ascii="Calibri Light" w:hAnsi="Calibri Light"/>
          <w:b/>
          <w:sz w:val="20"/>
        </w:rPr>
        <w:t>8.8.2</w:t>
      </w:r>
      <w:r>
        <w:rPr>
          <w:rFonts w:ascii="Times New Roman;Times;serif" w:hAnsi="Times New Roman;Times;serif"/>
          <w:sz w:val="20"/>
        </w:rPr>
        <w:t>         </w:t>
      </w:r>
      <w:r>
        <w:rPr>
          <w:rFonts w:ascii="Calibri Light" w:hAnsi="Calibri Light"/>
          <w:b/>
          <w:i/>
          <w:sz w:val="20"/>
        </w:rPr>
        <w:t>Severability</w:t>
      </w:r>
      <w:r>
        <w:rPr>
          <w:rFonts w:ascii="Calibri Light" w:hAnsi="Calibri Light"/>
          <w:sz w:val="20"/>
        </w:rPr>
        <w:t>. If a court</w:t>
      </w:r>
      <w:r>
        <w:rPr>
          <w:rFonts w:ascii="Times New Roman;Times;serif" w:hAnsi="Times New Roman;Times;serif"/>
          <w:sz w:val="20"/>
        </w:rPr>
        <w:t xml:space="preserve"> </w:t>
      </w:r>
      <w:r>
        <w:rPr>
          <w:rFonts w:ascii="Calibri Light" w:hAnsi="Calibri Light"/>
          <w:sz w:val="20"/>
        </w:rPr>
        <w:t>of competent jurisdiction holds any provision invalid and unenforceable, the remaining provisions of this Plan shall continue in effect.</w:t>
      </w:r>
    </w:p>
    <w:p>
      <w:pPr>
        <w:pStyle w:val="TextBody"/>
        <w:bidi w:val="0"/>
        <w:spacing w:lineRule="auto" w:line="285" w:before="0" w:after="0"/>
        <w:ind w:left="0" w:right="0" w:hanging="0"/>
        <w:jc w:val="left"/>
        <w:rPr/>
      </w:pPr>
      <w:r>
        <w:rPr/>
        <w:t>​</w:t>
      </w:r>
    </w:p>
    <w:p>
      <w:pPr>
        <w:pStyle w:val="TextBody"/>
        <w:pBdr/>
        <w:bidi w:val="0"/>
        <w:spacing w:lineRule="auto" w:line="285" w:before="0" w:after="0"/>
        <w:ind w:left="1440" w:right="0" w:hanging="720"/>
        <w:jc w:val="left"/>
        <w:rPr>
          <w:rFonts w:ascii="Times New Roman;Times;serif" w:hAnsi="Times New Roman;Times;serif"/>
          <w:sz w:val="20"/>
        </w:rPr>
      </w:pPr>
      <w:r>
        <w:rPr>
          <w:rFonts w:ascii="Calibri Light" w:hAnsi="Calibri Light"/>
          <w:b/>
          <w:sz w:val="20"/>
        </w:rPr>
        <w:t>8.8.3</w:t>
      </w:r>
      <w:r>
        <w:rPr>
          <w:rFonts w:ascii="Times New Roman;Times;serif" w:hAnsi="Times New Roman;Times;serif"/>
          <w:sz w:val="20"/>
        </w:rPr>
        <w:t>         </w:t>
      </w:r>
      <w:r>
        <w:rPr>
          <w:rFonts w:ascii="Calibri Light" w:hAnsi="Calibri Light"/>
          <w:b/>
          <w:i/>
          <w:sz w:val="20"/>
        </w:rPr>
        <w:t>Plan Construction</w:t>
      </w:r>
      <w:r>
        <w:rPr>
          <w:rFonts w:ascii="Calibri Light" w:hAnsi="Calibri Light"/>
          <w:sz w:val="20"/>
        </w:rPr>
        <w:t>.</w:t>
      </w:r>
    </w:p>
    <w:p>
      <w:pPr>
        <w:pStyle w:val="TextBody"/>
        <w:pBdr/>
        <w:bidi w:val="0"/>
        <w:spacing w:lineRule="auto" w:line="285" w:before="0" w:after="240"/>
        <w:ind w:left="2160" w:right="0" w:hanging="720"/>
        <w:jc w:val="left"/>
        <w:rPr/>
      </w:pPr>
      <w:r>
        <w:rPr/>
        <w:t>​</w:t>
      </w:r>
    </w:p>
    <w:p>
      <w:pPr>
        <w:pStyle w:val="TextBody"/>
        <w:pBdr/>
        <w:bidi w:val="0"/>
        <w:spacing w:lineRule="auto" w:line="285" w:before="0" w:after="0"/>
        <w:ind w:left="2871" w:right="0" w:hanging="9"/>
        <w:jc w:val="left"/>
        <w:rPr>
          <w:rFonts w:ascii="Calibri Light" w:hAnsi="Calibri Light"/>
          <w:sz w:val="20"/>
        </w:rPr>
      </w:pPr>
      <w:r>
        <w:rPr>
          <w:rFonts w:ascii="Calibri Light" w:hAnsi="Calibri Light"/>
          <w:sz w:val="20"/>
        </w:rPr>
        <w:t>It is the intent of the Corporation that the awards and transactions permitted by awards be interpreted in a manner that, in the case of participants who are or may be subject to Section 16 of the Exchange Act, qualify, to the maximum extent compatible with the express terms of the award, for exemption from matching liability under Rule 16b-3 promulgated under the Exchange Act. Notwithstanding the foregoing, the Corporation shall have no liability to any participant for Section 16 consequences of awards or events under awards if an award or event does not so qualify.</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8.9</w:t>
      </w:r>
      <w:r>
        <w:rPr>
          <w:rFonts w:ascii="Times New Roman;Times;serif" w:hAnsi="Times New Roman;Times;serif"/>
          <w:sz w:val="20"/>
        </w:rPr>
        <w:t>         </w:t>
      </w:r>
      <w:r>
        <w:rPr>
          <w:rFonts w:ascii="Calibri Light" w:hAnsi="Calibri Light"/>
          <w:b/>
          <w:i/>
          <w:sz w:val="20"/>
        </w:rPr>
        <w:t>Captions</w:t>
      </w:r>
      <w:r>
        <w:rPr>
          <w:rFonts w:ascii="Calibri Light" w:hAnsi="Calibri Light"/>
          <w:sz w:val="20"/>
        </w:rPr>
        <w:t>. Captions and headings are given to the sections and subsections of this Plan solely as a convenience to facilitate reference. Such headings shall not be deemed in any way material or relevant to the construction or interpretation of this Plan or any provision thereof.</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8.10</w:t>
      </w:r>
      <w:r>
        <w:rPr>
          <w:rFonts w:ascii="Times New Roman;Times;serif" w:hAnsi="Times New Roman;Times;serif"/>
          <w:sz w:val="20"/>
        </w:rPr>
        <w:t>       </w:t>
      </w:r>
      <w:r>
        <w:rPr>
          <w:rFonts w:ascii="Calibri Light" w:hAnsi="Calibri Light"/>
          <w:b/>
          <w:i/>
          <w:sz w:val="20"/>
        </w:rPr>
        <w:t>Stock-Based Awards in Substitution for Stock Options or Awards Granted by Other Corporation</w:t>
      </w:r>
      <w:r>
        <w:rPr>
          <w:rFonts w:ascii="Calibri Light" w:hAnsi="Calibri Light"/>
          <w:sz w:val="20"/>
        </w:rPr>
        <w:t>. Awards may be granted to Eligible 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adjustments giving effect to the assumption or substitution consistent with the conversion applicable to the Common Stock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by an acquired company (or previously granted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8.11</w:t>
      </w:r>
      <w:r>
        <w:rPr>
          <w:rFonts w:ascii="Times New Roman;Times;serif" w:hAnsi="Times New Roman;Times;serif"/>
          <w:sz w:val="20"/>
        </w:rPr>
        <w:t>       </w:t>
      </w:r>
      <w:r>
        <w:rPr>
          <w:rFonts w:ascii="Calibri Light" w:hAnsi="Calibri Light"/>
          <w:b/>
          <w:i/>
          <w:sz w:val="20"/>
        </w:rPr>
        <w:t>Non-Exclusivity</w:t>
      </w:r>
      <w:r>
        <w:rPr>
          <w:rFonts w:ascii="Times New Roman;Times;serif" w:hAnsi="Times New Roman;Times;serif"/>
          <w:sz w:val="20"/>
        </w:rPr>
        <w:t xml:space="preserve"> </w:t>
      </w:r>
      <w:r>
        <w:rPr>
          <w:rFonts w:ascii="Calibri Light" w:hAnsi="Calibri Light"/>
          <w:b/>
          <w:i/>
          <w:sz w:val="20"/>
        </w:rPr>
        <w:t>of Plan</w:t>
      </w:r>
      <w:r>
        <w:rPr>
          <w:rFonts w:ascii="Calibri Light" w:hAnsi="Calibri Light"/>
          <w:sz w:val="20"/>
        </w:rPr>
        <w:t>. Nothing in this Plan shall limit or be deemed to limit the authority of the Board or the Administrator to grant awards or authorize any other compensation, with or without reference to the Common Stock, under any other plan or authority.</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8.12</w:t>
      </w:r>
      <w:r>
        <w:rPr>
          <w:rFonts w:ascii="Times New Roman;Times;serif" w:hAnsi="Times New Roman;Times;serif"/>
          <w:sz w:val="20"/>
        </w:rPr>
        <w:t>       </w:t>
      </w:r>
      <w:r>
        <w:rPr>
          <w:rFonts w:ascii="Calibri Light" w:hAnsi="Calibri Light"/>
          <w:b/>
          <w:i/>
          <w:sz w:val="20"/>
        </w:rPr>
        <w:t>No Corporate Action Restriction</w:t>
      </w:r>
      <w:r>
        <w:rPr>
          <w:rFonts w:ascii="Calibri Light" w:hAnsi="Calibri Light"/>
          <w:sz w:val="20"/>
        </w:rPr>
        <w:t xml:space="preserve">. The existence of this Plan, the award agreements and the awards granted hereunder shall not limit, affect or restrict in any way the right or power of the Board or the stockholders of the Corporation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1440" w:right="0" w:hanging="0"/>
        <w:jc w:val="left"/>
        <w:rPr>
          <w:rFonts w:ascii="Calibri Light" w:hAnsi="Calibri Light"/>
          <w:sz w:val="20"/>
        </w:rPr>
      </w:pPr>
      <w:r>
        <w:rPr>
          <w:rFonts w:ascii="Calibri Light" w:hAnsi="Calibri Light"/>
          <w:sz w:val="20"/>
        </w:rPr>
        <w:t>or any Subsidiary, (d) any dissolution or liquidation of the Corporation or any Subsidiary, (e) any sale or transfer of all or any part of the assets or business of the Corporation or any Subsidiary, or (f)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8.13</w:t>
      </w:r>
      <w:r>
        <w:rPr>
          <w:rFonts w:ascii="Times New Roman;Times;serif" w:hAnsi="Times New Roman;Times;serif"/>
          <w:sz w:val="20"/>
        </w:rPr>
        <w:t>       </w:t>
      </w:r>
      <w:r>
        <w:rPr>
          <w:rFonts w:ascii="Calibri Light" w:hAnsi="Calibri Light"/>
          <w:b/>
          <w:i/>
          <w:sz w:val="20"/>
        </w:rPr>
        <w:t>Other Company Benefit and Compensation Programs</w:t>
      </w:r>
      <w:r>
        <w:rPr>
          <w:rFonts w:ascii="Calibri Light" w:hAnsi="Calibri Light"/>
          <w:sz w:val="20"/>
        </w:rPr>
        <w:t>. Payments and other benefits received by a participant under an award made pursuant 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or arrangements of the Corporation or its Subsidiaries.</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720"/>
        <w:jc w:val="left"/>
        <w:rPr>
          <w:rFonts w:ascii="Times New Roman;Times;serif" w:hAnsi="Times New Roman;Times;serif"/>
          <w:sz w:val="20"/>
        </w:rPr>
      </w:pPr>
      <w:r>
        <w:rPr>
          <w:rFonts w:ascii="Calibri Light" w:hAnsi="Calibri Light"/>
          <w:b/>
          <w:sz w:val="20"/>
        </w:rPr>
        <w:t>8.14</w:t>
      </w:r>
      <w:r>
        <w:rPr>
          <w:rFonts w:ascii="Times New Roman;Times;serif" w:hAnsi="Times New Roman;Times;serif"/>
          <w:sz w:val="20"/>
        </w:rPr>
        <w:t>       </w:t>
      </w:r>
      <w:r>
        <w:rPr>
          <w:rFonts w:ascii="Calibri Light" w:hAnsi="Calibri Light"/>
          <w:b/>
          <w:i/>
          <w:sz w:val="20"/>
        </w:rPr>
        <w:t>Administrator Discretion</w:t>
      </w:r>
      <w:r>
        <w:rPr>
          <w:rFonts w:ascii="Calibri Light" w:hAnsi="Calibri Light"/>
          <w:sz w:val="20"/>
        </w:rPr>
        <w:t>. Notwithstanding Section 3.6, the Minimum Vesting Requirement shall not limit or restrict the Administrator’s discretion to accelerate the vesting of any award in circumstances it determines to be appropriate (whether in connection with a transaction, termination of employment or for any other reason).</w:t>
      </w:r>
    </w:p>
    <w:p>
      <w:pPr>
        <w:pStyle w:val="TextBody"/>
        <w:bidi w:val="0"/>
        <w:spacing w:lineRule="auto" w:line="285" w:before="0" w:after="0"/>
        <w:ind w:left="0" w:right="0" w:hanging="0"/>
        <w:jc w:val="left"/>
        <w:rPr/>
      </w:pPr>
      <w:r>
        <w:rPr/>
        <w:t>​</w:t>
      </w:r>
    </w:p>
    <w:p>
      <w:pPr>
        <w:pStyle w:val="TextBody"/>
        <w:pBdr/>
        <w:bidi w:val="0"/>
        <w:spacing w:lineRule="auto" w:line="285" w:before="0" w:after="240"/>
        <w:ind w:left="720" w:right="0" w:hanging="720"/>
        <w:jc w:val="left"/>
        <w:rPr>
          <w:rFonts w:ascii="Times New Roman;Times;serif" w:hAnsi="Times New Roman;Times;serif"/>
          <w:sz w:val="20"/>
        </w:rPr>
      </w:pPr>
      <w:r>
        <w:rPr>
          <w:rFonts w:ascii="Calibri Light" w:hAnsi="Calibri Light"/>
          <w:b/>
          <w:sz w:val="20"/>
        </w:rPr>
        <w:t>8.15</w:t>
      </w:r>
      <w:r>
        <w:rPr>
          <w:rFonts w:ascii="Times New Roman;Times;serif" w:hAnsi="Times New Roman;Times;serif"/>
          <w:sz w:val="20"/>
        </w:rPr>
        <w:t>       </w:t>
      </w:r>
      <w:r>
        <w:rPr>
          <w:rFonts w:ascii="Calibri Light" w:hAnsi="Calibri Light"/>
          <w:b/>
          <w:i/>
          <w:sz w:val="20"/>
        </w:rPr>
        <w:t>Clawback Policy</w:t>
      </w:r>
      <w:r>
        <w:rPr>
          <w:rFonts w:ascii="Calibri Light" w:hAnsi="Calibri Light"/>
          <w:sz w:val="20"/>
        </w:rPr>
        <w:t>. The awards granted under this Plan are subject to the terms of the Corporation’s recoupment, clawback or similar policy 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Ligh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10406</Words>
  <Characters>53355</Characters>
  <CharactersWithSpaces>64470</CharactersWithSpaces>
  <Paragraphs>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